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b" ContentType="application/vnd.ms-excel.sheet.binary.macroEnabled.12"/>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displacedByCustomXml="next"/>
    <w:bookmarkEnd w:id="0" w:displacedByCustomXml="next"/>
    <w:sdt>
      <w:sdtPr>
        <w:rPr>
          <w:rFonts w:eastAsiaTheme="minorEastAsia"/>
          <w:lang w:val="en-US" w:eastAsia="ja-JP"/>
        </w:rPr>
        <w:id w:val="1050423868"/>
        <w:docPartObj>
          <w:docPartGallery w:val="Cover Pages"/>
          <w:docPartUnique/>
        </w:docPartObj>
      </w:sdtPr>
      <w:sdtEndPr>
        <w:rPr>
          <w:rFonts w:eastAsia="Calibri"/>
          <w:lang w:val="en-AU" w:eastAsia="en-US"/>
        </w:rPr>
      </w:sdtEndPr>
      <w:sdtContent>
        <w:p w14:paraId="142A4B01" w14:textId="77777777" w:rsidR="001514A2" w:rsidRPr="001B1467" w:rsidRDefault="001514A2" w:rsidP="001B1467">
          <w:pPr>
            <w:sectPr w:rsidR="001514A2" w:rsidRPr="001B1467" w:rsidSect="001514A2">
              <w:footerReference w:type="default" r:id="rId10"/>
              <w:pgSz w:w="11907" w:h="16839" w:code="9"/>
              <w:pgMar w:top="426" w:right="567" w:bottom="284" w:left="426" w:header="277" w:footer="0" w:gutter="0"/>
              <w:cols w:space="708"/>
              <w:docGrid w:linePitch="360"/>
            </w:sectPr>
          </w:pPr>
          <w:r>
            <w:rPr>
              <w:noProof/>
              <w:lang w:eastAsia="en-AU"/>
            </w:rPr>
            <mc:AlternateContent>
              <mc:Choice Requires="wps">
                <w:drawing>
                  <wp:anchor distT="0" distB="0" distL="114300" distR="114300" simplePos="0" relativeHeight="251661312" behindDoc="0" locked="0" layoutInCell="1" allowOverlap="1" wp14:anchorId="142A4CD9" wp14:editId="142A4CDA">
                    <wp:simplePos x="0" y="0"/>
                    <wp:positionH relativeFrom="column">
                      <wp:posOffset>2758440</wp:posOffset>
                    </wp:positionH>
                    <wp:positionV relativeFrom="paragraph">
                      <wp:posOffset>4892039</wp:posOffset>
                    </wp:positionV>
                    <wp:extent cx="3895725" cy="333375"/>
                    <wp:effectExtent l="0" t="0" r="9525" b="9525"/>
                    <wp:wrapNone/>
                    <wp:docPr id="3" name="Text Box 3"/>
                    <wp:cNvGraphicFramePr/>
                    <a:graphic xmlns:a="http://schemas.openxmlformats.org/drawingml/2006/main">
                      <a:graphicData uri="http://schemas.microsoft.com/office/word/2010/wordprocessingShape">
                        <wps:wsp>
                          <wps:cNvSpPr txBox="1"/>
                          <wps:spPr>
                            <a:xfrm>
                              <a:off x="0" y="0"/>
                              <a:ext cx="3895725" cy="3333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42A4CF7" w14:textId="77777777" w:rsidR="00171B39" w:rsidRPr="001B1467" w:rsidRDefault="00171B39" w:rsidP="001514A2">
                                <w:pPr>
                                  <w:jc w:val="right"/>
                                  <w:rPr>
                                    <w:rFonts w:ascii="Arial" w:hAnsi="Arial" w:cs="Arial"/>
                                    <w:b/>
                                    <w:sz w:val="32"/>
                                    <w:szCs w:val="32"/>
                                  </w:rPr>
                                </w:pPr>
                                <w:r w:rsidRPr="001B1467">
                                  <w:rPr>
                                    <w:rFonts w:ascii="Arial" w:hAnsi="Arial" w:cs="Arial"/>
                                    <w:b/>
                                    <w:sz w:val="32"/>
                                    <w:szCs w:val="32"/>
                                  </w:rPr>
                                  <w:t>2016-17 Compliance Report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2A4CD9" id="_x0000_t202" coordsize="21600,21600" o:spt="202" path="m,l,21600r21600,l21600,xe">
                    <v:stroke joinstyle="miter"/>
                    <v:path gradientshapeok="t" o:connecttype="rect"/>
                  </v:shapetype>
                  <v:shape id="Text Box 3" o:spid="_x0000_s1026" type="#_x0000_t202" style="position:absolute;margin-left:217.2pt;margin-top:385.2pt;width:306.75pt;height:26.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" fillcolor="white [3201]" stroked="f" strokeweight=".5pt">
                    <v:textbox>
                      <w:txbxContent>
                        <w:p w14:paraId="142A4CF7" w14:textId="77777777" w:rsidR="00171B39" w:rsidRPr="001B1467" w:rsidRDefault="00171B39" w:rsidP="001514A2">
                          <w:pPr>
                            <w:jc w:val="right"/>
                            <w:rPr>
                              <w:rFonts w:ascii="Arial" w:hAnsi="Arial" w:cs="Arial"/>
                              <w:b/>
                              <w:sz w:val="32"/>
                              <w:szCs w:val="32"/>
                            </w:rPr>
                          </w:pPr>
                          <w:r w:rsidRPr="001B1467">
                            <w:rPr>
                              <w:rFonts w:ascii="Arial" w:hAnsi="Arial" w:cs="Arial"/>
                              <w:b/>
                              <w:sz w:val="32"/>
                              <w:szCs w:val="32"/>
                            </w:rPr>
                            <w:t>2016-17 Compliance Report</w:t>
                          </w:r>
                        </w:p>
                      </w:txbxContent>
                    </v:textbox>
                  </v:shape>
                </w:pict>
              </mc:Fallback>
            </mc:AlternateContent>
          </w:r>
          <w:r>
            <w:rPr>
              <w:noProof/>
              <w:lang w:eastAsia="en-AU"/>
            </w:rPr>
            <w:drawing>
              <wp:anchor distT="0" distB="0" distL="114300" distR="114300" simplePos="0" relativeHeight="251660288" behindDoc="1" locked="0" layoutInCell="1" allowOverlap="1" wp14:anchorId="142A4CDB" wp14:editId="142A4CDC">
                <wp:simplePos x="0" y="0"/>
                <wp:positionH relativeFrom="column">
                  <wp:posOffset>-32385</wp:posOffset>
                </wp:positionH>
                <wp:positionV relativeFrom="paragraph">
                  <wp:posOffset>-122555</wp:posOffset>
                </wp:positionV>
                <wp:extent cx="6930390" cy="9801225"/>
                <wp:effectExtent l="0" t="0" r="3810"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15 PSFP cover.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930390" cy="9801225"/>
                        </a:xfrm>
                        <a:prstGeom prst="rect">
                          <a:avLst/>
                        </a:prstGeom>
                      </pic:spPr>
                    </pic:pic>
                  </a:graphicData>
                </a:graphic>
                <wp14:sizeRelH relativeFrom="page">
                  <wp14:pctWidth>0</wp14:pctWidth>
                </wp14:sizeRelH>
                <wp14:sizeRelV relativeFrom="page">
                  <wp14:pctHeight>0</wp14:pctHeight>
                </wp14:sizeRelV>
              </wp:anchor>
            </w:drawing>
          </w:r>
        </w:p>
      </w:sdtContent>
    </w:sdt>
    <w:p w14:paraId="142A4B02" w14:textId="77777777" w:rsidR="00E32BAB" w:rsidRPr="006D14A9" w:rsidRDefault="00EA080A" w:rsidP="006D14A9">
      <w:pPr>
        <w:pStyle w:val="Heading3"/>
      </w:pPr>
      <w:bookmarkStart w:id="1" w:name="Summary"/>
      <w:r>
        <w:lastRenderedPageBreak/>
        <w:t>Protective S</w:t>
      </w:r>
      <w:r w:rsidR="00F54456">
        <w:t xml:space="preserve">ecurity </w:t>
      </w:r>
      <w:r>
        <w:t>P</w:t>
      </w:r>
      <w:r w:rsidR="00F54456">
        <w:t xml:space="preserve">olicy </w:t>
      </w:r>
      <w:r>
        <w:t>F</w:t>
      </w:r>
      <w:r w:rsidR="00F54456">
        <w:t>ramework</w:t>
      </w:r>
    </w:p>
    <w:bookmarkEnd w:id="1"/>
    <w:p w14:paraId="142A4B03" w14:textId="77777777" w:rsidR="00C441F9" w:rsidRPr="003E35AF" w:rsidRDefault="00894191" w:rsidP="003E35AF">
      <w:pPr>
        <w:rPr>
          <w:rFonts w:eastAsia="Times New Roman"/>
          <w:color w:val="000000"/>
          <w:lang w:eastAsia="en-AU"/>
        </w:rPr>
      </w:pPr>
      <w:r w:rsidRPr="003E35AF">
        <w:rPr>
          <w:rFonts w:eastAsia="Times New Roman"/>
          <w:color w:val="000000"/>
          <w:lang w:eastAsia="en-AU"/>
        </w:rPr>
        <w:t xml:space="preserve">Effective protective security is </w:t>
      </w:r>
      <w:r w:rsidR="00F8178C" w:rsidRPr="003E35AF">
        <w:rPr>
          <w:rFonts w:eastAsia="Times New Roman"/>
          <w:color w:val="000000"/>
          <w:lang w:eastAsia="en-AU"/>
        </w:rPr>
        <w:t xml:space="preserve">essential </w:t>
      </w:r>
      <w:r w:rsidRPr="003E35AF">
        <w:rPr>
          <w:rFonts w:eastAsia="Times New Roman"/>
          <w:color w:val="000000"/>
          <w:lang w:eastAsia="en-AU"/>
        </w:rPr>
        <w:t xml:space="preserve">to </w:t>
      </w:r>
      <w:r w:rsidR="00F8178C" w:rsidRPr="003E35AF">
        <w:rPr>
          <w:rFonts w:eastAsia="Times New Roman"/>
          <w:color w:val="000000"/>
          <w:lang w:eastAsia="en-AU"/>
        </w:rPr>
        <w:t>the secur</w:t>
      </w:r>
      <w:r w:rsidR="00FC4BB4" w:rsidRPr="003E35AF">
        <w:rPr>
          <w:rFonts w:eastAsia="Times New Roman"/>
          <w:color w:val="000000"/>
          <w:lang w:eastAsia="en-AU"/>
        </w:rPr>
        <w:t>e</w:t>
      </w:r>
      <w:r w:rsidR="00F8178C" w:rsidRPr="003E35AF">
        <w:rPr>
          <w:rFonts w:eastAsia="Times New Roman"/>
          <w:color w:val="000000"/>
          <w:lang w:eastAsia="en-AU"/>
        </w:rPr>
        <w:t xml:space="preserve"> delivery of </w:t>
      </w:r>
      <w:r w:rsidR="00CC00CE" w:rsidRPr="003E35AF">
        <w:rPr>
          <w:rFonts w:eastAsia="Times New Roman"/>
          <w:color w:val="000000"/>
          <w:lang w:eastAsia="en-AU"/>
        </w:rPr>
        <w:t>g</w:t>
      </w:r>
      <w:r w:rsidR="00383D17" w:rsidRPr="003E35AF">
        <w:rPr>
          <w:rFonts w:eastAsia="Times New Roman"/>
          <w:color w:val="000000"/>
          <w:lang w:eastAsia="en-AU"/>
        </w:rPr>
        <w:t>overnment business</w:t>
      </w:r>
      <w:r w:rsidR="00C441F9" w:rsidRPr="003E35AF">
        <w:rPr>
          <w:rFonts w:eastAsia="Times New Roman"/>
          <w:color w:val="000000"/>
          <w:lang w:eastAsia="en-AU"/>
        </w:rPr>
        <w:t xml:space="preserve">. </w:t>
      </w:r>
    </w:p>
    <w:p w14:paraId="142A4B04" w14:textId="77777777" w:rsidR="00C441F9" w:rsidRPr="003E35AF" w:rsidRDefault="00C441F9" w:rsidP="003E35AF">
      <w:pPr>
        <w:spacing w:after="0"/>
        <w:rPr>
          <w:rFonts w:eastAsia="Times New Roman"/>
          <w:color w:val="000000"/>
          <w:lang w:eastAsia="en-AU"/>
        </w:rPr>
      </w:pPr>
      <w:r w:rsidRPr="003E35AF">
        <w:rPr>
          <w:rFonts w:eastAsia="Times New Roman"/>
          <w:color w:val="000000"/>
          <w:lang w:eastAsia="en-AU"/>
        </w:rPr>
        <w:t>S</w:t>
      </w:r>
      <w:r w:rsidR="00894191" w:rsidRPr="003E35AF">
        <w:rPr>
          <w:rFonts w:eastAsia="Times New Roman"/>
          <w:color w:val="000000"/>
          <w:lang w:eastAsia="en-AU"/>
        </w:rPr>
        <w:t xml:space="preserve">ecurity arrangements support </w:t>
      </w:r>
      <w:r w:rsidR="0087423B" w:rsidRPr="003E35AF">
        <w:rPr>
          <w:rFonts w:eastAsia="Times New Roman"/>
          <w:color w:val="000000"/>
          <w:lang w:eastAsia="en-AU"/>
        </w:rPr>
        <w:t>g</w:t>
      </w:r>
      <w:r w:rsidR="00894191" w:rsidRPr="003E35AF">
        <w:rPr>
          <w:rFonts w:eastAsia="Times New Roman"/>
          <w:color w:val="000000"/>
          <w:lang w:eastAsia="en-AU"/>
        </w:rPr>
        <w:t xml:space="preserve">overnment </w:t>
      </w:r>
      <w:r w:rsidR="00E2712B" w:rsidRPr="003E35AF">
        <w:rPr>
          <w:rFonts w:eastAsia="Times New Roman"/>
          <w:color w:val="000000"/>
          <w:lang w:eastAsia="en-AU"/>
        </w:rPr>
        <w:t xml:space="preserve">entities </w:t>
      </w:r>
      <w:r w:rsidR="00894191" w:rsidRPr="003E35AF">
        <w:rPr>
          <w:rFonts w:eastAsia="Times New Roman"/>
          <w:color w:val="000000"/>
          <w:lang w:eastAsia="en-AU"/>
        </w:rPr>
        <w:t>to identify threats and manage risks that have the potential to</w:t>
      </w:r>
      <w:r w:rsidRPr="003E35AF">
        <w:rPr>
          <w:rFonts w:eastAsia="Times New Roman"/>
          <w:color w:val="000000"/>
          <w:lang w:eastAsia="en-AU"/>
        </w:rPr>
        <w:t>:</w:t>
      </w:r>
    </w:p>
    <w:p w14:paraId="142A4B05" w14:textId="77777777" w:rsidR="00C441F9" w:rsidRPr="003E35AF" w:rsidRDefault="00894191" w:rsidP="003E35AF">
      <w:pPr>
        <w:pStyle w:val="ListParagraph"/>
        <w:numPr>
          <w:ilvl w:val="0"/>
          <w:numId w:val="52"/>
        </w:numPr>
        <w:rPr>
          <w:rFonts w:eastAsia="Times New Roman"/>
          <w:color w:val="000000"/>
          <w:lang w:eastAsia="en-AU"/>
        </w:rPr>
      </w:pPr>
      <w:r w:rsidRPr="003E35AF">
        <w:rPr>
          <w:rFonts w:eastAsia="Times New Roman"/>
          <w:color w:val="000000"/>
          <w:lang w:eastAsia="en-AU"/>
        </w:rPr>
        <w:t>harm staff or the public</w:t>
      </w:r>
    </w:p>
    <w:p w14:paraId="142A4B06" w14:textId="77777777" w:rsidR="00C441F9" w:rsidRPr="003E35AF" w:rsidRDefault="00894191" w:rsidP="003E35AF">
      <w:pPr>
        <w:pStyle w:val="ListParagraph"/>
        <w:numPr>
          <w:ilvl w:val="0"/>
          <w:numId w:val="52"/>
        </w:numPr>
        <w:rPr>
          <w:rFonts w:eastAsia="Times New Roman"/>
          <w:color w:val="000000"/>
          <w:lang w:eastAsia="en-AU"/>
        </w:rPr>
      </w:pPr>
      <w:r w:rsidRPr="003E35AF">
        <w:rPr>
          <w:rFonts w:eastAsia="Times New Roman"/>
          <w:color w:val="000000"/>
          <w:lang w:eastAsia="en-AU"/>
        </w:rPr>
        <w:t>compromise official information or assets</w:t>
      </w:r>
      <w:r w:rsidR="00C441F9" w:rsidRPr="003E35AF">
        <w:rPr>
          <w:rFonts w:eastAsia="Times New Roman"/>
          <w:color w:val="000000"/>
          <w:lang w:eastAsia="en-AU"/>
        </w:rPr>
        <w:t>,</w:t>
      </w:r>
      <w:r w:rsidRPr="003E35AF">
        <w:rPr>
          <w:rFonts w:eastAsia="Times New Roman"/>
          <w:color w:val="000000"/>
          <w:lang w:eastAsia="en-AU"/>
        </w:rPr>
        <w:t xml:space="preserve"> or</w:t>
      </w:r>
    </w:p>
    <w:p w14:paraId="142A4B07" w14:textId="77777777" w:rsidR="00894191" w:rsidRPr="003E35AF" w:rsidRDefault="00894191" w:rsidP="003E35AF">
      <w:pPr>
        <w:pStyle w:val="ListParagraph"/>
        <w:numPr>
          <w:ilvl w:val="0"/>
          <w:numId w:val="52"/>
        </w:numPr>
        <w:rPr>
          <w:rFonts w:eastAsia="Times New Roman"/>
          <w:color w:val="000000"/>
          <w:lang w:eastAsia="en-AU"/>
        </w:rPr>
      </w:pPr>
      <w:r w:rsidRPr="003E35AF">
        <w:rPr>
          <w:rFonts w:eastAsia="Times New Roman"/>
          <w:color w:val="000000"/>
          <w:lang w:eastAsia="en-AU"/>
        </w:rPr>
        <w:t xml:space="preserve">interrupt progress toward meeting </w:t>
      </w:r>
      <w:r w:rsidR="007943C3" w:rsidRPr="003E35AF">
        <w:rPr>
          <w:rFonts w:eastAsia="Times New Roman"/>
          <w:color w:val="000000"/>
          <w:lang w:eastAsia="en-AU"/>
        </w:rPr>
        <w:t>g</w:t>
      </w:r>
      <w:r w:rsidRPr="003E35AF">
        <w:rPr>
          <w:rFonts w:eastAsia="Times New Roman"/>
          <w:color w:val="000000"/>
          <w:lang w:eastAsia="en-AU"/>
        </w:rPr>
        <w:t>overnment policy objectives.</w:t>
      </w:r>
    </w:p>
    <w:p w14:paraId="142A4B08" w14:textId="77777777" w:rsidR="00DA663F" w:rsidRDefault="006D14A9" w:rsidP="00C441F9">
      <w:r w:rsidRPr="006D14A9">
        <w:t>The Protective Security Policy Framework (PSPF</w:t>
      </w:r>
      <w:r w:rsidR="00274DCA" w:rsidRPr="006D14A9">
        <w:t>)</w:t>
      </w:r>
      <w:r w:rsidR="00274DCA">
        <w:t xml:space="preserve"> is</w:t>
      </w:r>
      <w:r w:rsidRPr="006D14A9">
        <w:t xml:space="preserve"> administered by the Attorney</w:t>
      </w:r>
      <w:r w:rsidR="00C441F9">
        <w:t>-</w:t>
      </w:r>
      <w:r w:rsidRPr="006D14A9">
        <w:t>General’s Department (AGD)</w:t>
      </w:r>
      <w:r w:rsidR="00274DCA">
        <w:t>. It</w:t>
      </w:r>
      <w:r w:rsidRPr="006D14A9">
        <w:t xml:space="preserve"> mandates 36 </w:t>
      </w:r>
      <w:r w:rsidR="00F54456">
        <w:t>security</w:t>
      </w:r>
      <w:r w:rsidRPr="006D14A9">
        <w:t xml:space="preserve"> requirements</w:t>
      </w:r>
      <w:r w:rsidR="0087423B">
        <w:t xml:space="preserve"> </w:t>
      </w:r>
      <w:r w:rsidR="00274DCA">
        <w:t xml:space="preserve">as </w:t>
      </w:r>
      <w:r w:rsidR="000618A8">
        <w:t>detailed</w:t>
      </w:r>
      <w:r w:rsidR="00274DCA" w:rsidRPr="00274DCA">
        <w:t xml:space="preserve"> </w:t>
      </w:r>
      <w:r w:rsidR="00274DCA">
        <w:t xml:space="preserve">at </w:t>
      </w:r>
      <w:r w:rsidR="00274DCA" w:rsidRPr="000618A8">
        <w:rPr>
          <w:b/>
        </w:rPr>
        <w:t>Attachment A</w:t>
      </w:r>
      <w:r w:rsidRPr="006D14A9">
        <w:t>.</w:t>
      </w:r>
      <w:r w:rsidR="004D6B65">
        <w:t xml:space="preserve"> </w:t>
      </w:r>
    </w:p>
    <w:p w14:paraId="142A4B09" w14:textId="77777777" w:rsidR="00F54456" w:rsidRPr="00F54456" w:rsidRDefault="00F54456" w:rsidP="0044550E">
      <w:r w:rsidRPr="00F54456">
        <w:rPr>
          <w:rFonts w:eastAsia="Times New Roman"/>
          <w:color w:val="000000"/>
          <w:lang w:eastAsia="en-AU"/>
        </w:rPr>
        <w:t>The PSPF</w:t>
      </w:r>
      <w:r>
        <w:rPr>
          <w:rFonts w:eastAsia="Times New Roman"/>
          <w:color w:val="000000"/>
          <w:lang w:eastAsia="en-AU"/>
        </w:rPr>
        <w:t xml:space="preserve"> </w:t>
      </w:r>
      <w:r w:rsidRPr="00F54456">
        <w:rPr>
          <w:rFonts w:eastAsia="Times New Roman"/>
          <w:color w:val="000000"/>
          <w:lang w:eastAsia="en-AU"/>
        </w:rPr>
        <w:t>appl</w:t>
      </w:r>
      <w:r w:rsidR="00274DCA">
        <w:rPr>
          <w:rFonts w:eastAsia="Times New Roman"/>
          <w:color w:val="000000"/>
          <w:lang w:eastAsia="en-AU"/>
        </w:rPr>
        <w:t>ies</w:t>
      </w:r>
      <w:r w:rsidRPr="00F54456">
        <w:rPr>
          <w:rFonts w:eastAsia="Times New Roman"/>
          <w:color w:val="000000"/>
          <w:lang w:eastAsia="en-AU"/>
        </w:rPr>
        <w:t xml:space="preserve"> to non</w:t>
      </w:r>
      <w:r w:rsidR="00274DCA">
        <w:rPr>
          <w:rFonts w:eastAsia="Times New Roman"/>
          <w:color w:val="000000"/>
          <w:lang w:eastAsia="en-AU"/>
        </w:rPr>
        <w:t>-</w:t>
      </w:r>
      <w:r w:rsidRPr="00F54456">
        <w:rPr>
          <w:rFonts w:eastAsia="Times New Roman"/>
          <w:color w:val="000000"/>
          <w:lang w:eastAsia="en-AU"/>
        </w:rPr>
        <w:t xml:space="preserve">corporate Commonwealth entities </w:t>
      </w:r>
      <w:r w:rsidRPr="00F21136">
        <w:rPr>
          <w:color w:val="000000"/>
          <w:lang w:val="en-US"/>
        </w:rPr>
        <w:t xml:space="preserve">(NCCEs) </w:t>
      </w:r>
      <w:r w:rsidRPr="00F54456">
        <w:rPr>
          <w:rFonts w:eastAsia="Times New Roman"/>
          <w:color w:val="000000"/>
          <w:lang w:eastAsia="en-AU"/>
        </w:rPr>
        <w:t xml:space="preserve">subject to the </w:t>
      </w:r>
      <w:r w:rsidRPr="00F54456">
        <w:rPr>
          <w:rFonts w:eastAsia="Times New Roman"/>
          <w:i/>
          <w:color w:val="000000"/>
          <w:lang w:eastAsia="en-AU"/>
        </w:rPr>
        <w:t>Public Governance, Performance and Accountability Act 2013</w:t>
      </w:r>
      <w:r>
        <w:rPr>
          <w:rFonts w:eastAsia="Times New Roman"/>
          <w:color w:val="000000"/>
          <w:lang w:eastAsia="en-AU"/>
        </w:rPr>
        <w:t xml:space="preserve"> </w:t>
      </w:r>
      <w:r w:rsidR="003A1AA7">
        <w:rPr>
          <w:rFonts w:eastAsia="Times New Roman"/>
          <w:color w:val="000000"/>
          <w:lang w:eastAsia="en-AU"/>
        </w:rPr>
        <w:t>in 2016</w:t>
      </w:r>
      <w:r w:rsidR="00D448D5">
        <w:t>–</w:t>
      </w:r>
      <w:r w:rsidR="003A1AA7">
        <w:rPr>
          <w:rFonts w:eastAsia="Times New Roman"/>
          <w:color w:val="000000"/>
          <w:lang w:eastAsia="en-AU"/>
        </w:rPr>
        <w:t>17</w:t>
      </w:r>
      <w:r w:rsidRPr="00F54456">
        <w:rPr>
          <w:rFonts w:eastAsia="Times New Roman"/>
          <w:color w:val="000000"/>
          <w:lang w:eastAsia="en-AU"/>
        </w:rPr>
        <w:t xml:space="preserve">. </w:t>
      </w:r>
      <w:r w:rsidR="00C441F9">
        <w:rPr>
          <w:rFonts w:eastAsia="Times New Roman"/>
          <w:color w:val="000000"/>
          <w:lang w:eastAsia="en-AU"/>
        </w:rPr>
        <w:t>F</w:t>
      </w:r>
      <w:r w:rsidRPr="00F54456">
        <w:rPr>
          <w:rFonts w:eastAsia="Times New Roman"/>
          <w:color w:val="000000"/>
          <w:lang w:eastAsia="en-AU"/>
        </w:rPr>
        <w:t xml:space="preserve">or </w:t>
      </w:r>
      <w:r w:rsidR="00274DCA" w:rsidRPr="00F54456">
        <w:rPr>
          <w:rFonts w:eastAsia="Times New Roman"/>
          <w:color w:val="000000"/>
          <w:lang w:eastAsia="en-AU"/>
        </w:rPr>
        <w:t xml:space="preserve">corporate Commonwealth entities and </w:t>
      </w:r>
      <w:r w:rsidR="0087423B" w:rsidRPr="00F54456">
        <w:rPr>
          <w:rFonts w:eastAsia="Times New Roman"/>
          <w:color w:val="000000"/>
          <w:lang w:eastAsia="en-AU"/>
        </w:rPr>
        <w:t>wholly-owned Commonwealth companies</w:t>
      </w:r>
      <w:r w:rsidR="0087423B">
        <w:rPr>
          <w:rFonts w:eastAsia="Times New Roman"/>
          <w:color w:val="000000"/>
          <w:lang w:eastAsia="en-AU"/>
        </w:rPr>
        <w:t xml:space="preserve"> </w:t>
      </w:r>
      <w:r w:rsidR="0044550E">
        <w:rPr>
          <w:rFonts w:eastAsia="Times New Roman"/>
          <w:color w:val="000000"/>
          <w:lang w:eastAsia="en-AU"/>
        </w:rPr>
        <w:t>(CCEs</w:t>
      </w:r>
      <w:r w:rsidR="00274DCA">
        <w:rPr>
          <w:rFonts w:eastAsia="Times New Roman"/>
          <w:color w:val="000000"/>
          <w:lang w:eastAsia="en-AU"/>
        </w:rPr>
        <w:t>)</w:t>
      </w:r>
      <w:r w:rsidR="00C441F9">
        <w:rPr>
          <w:rFonts w:eastAsia="Times New Roman"/>
          <w:color w:val="000000"/>
          <w:lang w:eastAsia="en-AU"/>
        </w:rPr>
        <w:t>, the</w:t>
      </w:r>
      <w:r w:rsidR="00C441F9" w:rsidRPr="00C441F9">
        <w:rPr>
          <w:rFonts w:eastAsia="Times New Roman"/>
          <w:color w:val="000000"/>
          <w:lang w:eastAsia="en-AU"/>
        </w:rPr>
        <w:t xml:space="preserve"> </w:t>
      </w:r>
      <w:r w:rsidR="00C441F9" w:rsidRPr="00F54456">
        <w:rPr>
          <w:rFonts w:eastAsia="Times New Roman"/>
          <w:color w:val="000000"/>
          <w:lang w:eastAsia="en-AU"/>
        </w:rPr>
        <w:t>PSPF represents better practice</w:t>
      </w:r>
      <w:r w:rsidR="00C441F9">
        <w:rPr>
          <w:rFonts w:eastAsia="Times New Roman"/>
          <w:color w:val="000000"/>
          <w:lang w:eastAsia="en-AU"/>
        </w:rPr>
        <w:t>.</w:t>
      </w:r>
    </w:p>
    <w:p w14:paraId="142A4B0A" w14:textId="77777777" w:rsidR="00F54456" w:rsidRDefault="0087423B" w:rsidP="0044550E">
      <w:r>
        <w:t>E</w:t>
      </w:r>
      <w:r w:rsidR="00F54456">
        <w:t xml:space="preserve">ntities </w:t>
      </w:r>
      <w:r w:rsidR="00C441F9">
        <w:t xml:space="preserve">are required to </w:t>
      </w:r>
      <w:r w:rsidR="00DF172F">
        <w:t>undertake a</w:t>
      </w:r>
      <w:r>
        <w:t>n annual</w:t>
      </w:r>
      <w:r w:rsidR="00DF172F">
        <w:t xml:space="preserve"> self-assessment of their </w:t>
      </w:r>
      <w:r>
        <w:t xml:space="preserve">PSPF </w:t>
      </w:r>
      <w:r w:rsidR="00DF172F">
        <w:t>compliance</w:t>
      </w:r>
      <w:r w:rsidR="008B3EE6">
        <w:t>,</w:t>
      </w:r>
      <w:r w:rsidR="00DF172F">
        <w:t xml:space="preserve"> </w:t>
      </w:r>
      <w:r>
        <w:t>then</w:t>
      </w:r>
      <w:r w:rsidR="00DF172F">
        <w:t xml:space="preserve"> </w:t>
      </w:r>
      <w:r w:rsidR="00F54456">
        <w:t xml:space="preserve">report on their security posture </w:t>
      </w:r>
      <w:r>
        <w:t>and</w:t>
      </w:r>
      <w:r w:rsidR="00F54456">
        <w:t xml:space="preserve"> measures taken to </w:t>
      </w:r>
      <w:r>
        <w:t>address</w:t>
      </w:r>
      <w:r w:rsidR="00F54456">
        <w:t xml:space="preserve"> </w:t>
      </w:r>
      <w:r w:rsidR="00C441F9">
        <w:t xml:space="preserve">identified </w:t>
      </w:r>
      <w:r>
        <w:t xml:space="preserve">key </w:t>
      </w:r>
      <w:r w:rsidR="00F54456">
        <w:t>risks.</w:t>
      </w:r>
    </w:p>
    <w:p w14:paraId="142A4B0B" w14:textId="77777777" w:rsidR="00B87E49" w:rsidRPr="00557D71" w:rsidRDefault="00EC51D4" w:rsidP="00274DCA">
      <w:pPr>
        <w:pStyle w:val="Heading4"/>
        <w:keepNext w:val="0"/>
      </w:pPr>
      <w:r>
        <w:t>Entity reporting</w:t>
      </w:r>
    </w:p>
    <w:p w14:paraId="142A4B0C" w14:textId="77777777" w:rsidR="0044550E" w:rsidRPr="0044550E" w:rsidRDefault="003A1AA7" w:rsidP="0044550E">
      <w:pPr>
        <w:rPr>
          <w:rFonts w:eastAsia="Times New Roman"/>
          <w:color w:val="000000"/>
          <w:lang w:eastAsia="en-AU"/>
        </w:rPr>
      </w:pPr>
      <w:r>
        <w:rPr>
          <w:rFonts w:eastAsia="Times New Roman"/>
          <w:color w:val="000000"/>
          <w:lang w:eastAsia="en-AU"/>
        </w:rPr>
        <w:t xml:space="preserve">All </w:t>
      </w:r>
      <w:r w:rsidR="0044550E">
        <w:rPr>
          <w:rFonts w:eastAsia="Times New Roman"/>
          <w:color w:val="000000"/>
          <w:lang w:eastAsia="en-AU"/>
        </w:rPr>
        <w:t xml:space="preserve">NCCEs </w:t>
      </w:r>
      <w:r w:rsidR="0044550E" w:rsidRPr="0044550E">
        <w:rPr>
          <w:rFonts w:eastAsia="Times New Roman"/>
          <w:color w:val="000000"/>
          <w:lang w:eastAsia="en-AU"/>
        </w:rPr>
        <w:t xml:space="preserve">submitted </w:t>
      </w:r>
      <w:r w:rsidR="00DF172F">
        <w:rPr>
          <w:rFonts w:eastAsia="Times New Roman"/>
          <w:color w:val="000000"/>
          <w:lang w:eastAsia="en-AU"/>
        </w:rPr>
        <w:t>a</w:t>
      </w:r>
      <w:r w:rsidR="0044550E" w:rsidRPr="0044550E">
        <w:rPr>
          <w:rFonts w:eastAsia="Times New Roman"/>
          <w:color w:val="000000"/>
          <w:lang w:eastAsia="en-AU"/>
        </w:rPr>
        <w:t xml:space="preserve"> </w:t>
      </w:r>
      <w:r w:rsidR="004D6B65">
        <w:rPr>
          <w:rFonts w:eastAsia="Times New Roman"/>
          <w:color w:val="000000"/>
          <w:lang w:eastAsia="en-AU"/>
        </w:rPr>
        <w:t xml:space="preserve">PSPF </w:t>
      </w:r>
      <w:r w:rsidR="0044550E" w:rsidRPr="0044550E">
        <w:rPr>
          <w:rFonts w:eastAsia="Times New Roman"/>
          <w:color w:val="000000"/>
          <w:lang w:eastAsia="en-AU"/>
        </w:rPr>
        <w:t>compliance report</w:t>
      </w:r>
      <w:r w:rsidR="0044550E">
        <w:rPr>
          <w:rFonts w:eastAsia="Times New Roman"/>
          <w:color w:val="000000"/>
          <w:lang w:eastAsia="en-AU"/>
        </w:rPr>
        <w:t xml:space="preserve"> </w:t>
      </w:r>
      <w:r>
        <w:rPr>
          <w:rFonts w:eastAsia="Times New Roman"/>
          <w:color w:val="000000"/>
          <w:lang w:eastAsia="en-AU"/>
        </w:rPr>
        <w:t>for</w:t>
      </w:r>
      <w:r w:rsidR="0044550E">
        <w:rPr>
          <w:rFonts w:eastAsia="Times New Roman"/>
          <w:color w:val="000000"/>
          <w:lang w:eastAsia="en-AU"/>
        </w:rPr>
        <w:t xml:space="preserve"> </w:t>
      </w:r>
      <w:r w:rsidR="00D448D5">
        <w:rPr>
          <w:rFonts w:eastAsia="Times New Roman"/>
          <w:color w:val="000000"/>
          <w:lang w:eastAsia="en-AU"/>
        </w:rPr>
        <w:br/>
      </w:r>
      <w:r w:rsidR="0044550E">
        <w:rPr>
          <w:rFonts w:eastAsia="Times New Roman"/>
          <w:color w:val="000000"/>
          <w:lang w:eastAsia="en-AU"/>
        </w:rPr>
        <w:t>2016</w:t>
      </w:r>
      <w:r w:rsidR="00D448D5">
        <w:t>–</w:t>
      </w:r>
      <w:r w:rsidR="0044550E">
        <w:rPr>
          <w:rFonts w:eastAsia="Times New Roman"/>
          <w:color w:val="000000"/>
          <w:lang w:eastAsia="en-AU"/>
        </w:rPr>
        <w:t>17</w:t>
      </w:r>
      <w:r>
        <w:rPr>
          <w:rFonts w:eastAsia="Times New Roman"/>
          <w:color w:val="000000"/>
          <w:lang w:eastAsia="en-AU"/>
        </w:rPr>
        <w:t>;</w:t>
      </w:r>
      <w:r w:rsidR="00FF2FBD">
        <w:rPr>
          <w:rFonts w:eastAsia="Times New Roman"/>
          <w:color w:val="000000"/>
          <w:lang w:eastAsia="en-AU"/>
        </w:rPr>
        <w:t xml:space="preserve"> </w:t>
      </w:r>
      <w:r>
        <w:rPr>
          <w:rFonts w:eastAsia="Times New Roman"/>
          <w:color w:val="000000"/>
          <w:lang w:eastAsia="en-AU"/>
        </w:rPr>
        <w:t xml:space="preserve">this is an improvement from </w:t>
      </w:r>
      <w:r w:rsidR="00FF2FBD">
        <w:rPr>
          <w:rFonts w:eastAsia="Times New Roman"/>
          <w:color w:val="000000"/>
          <w:lang w:eastAsia="en-AU"/>
        </w:rPr>
        <w:t>2015</w:t>
      </w:r>
      <w:r w:rsidR="00D448D5">
        <w:t>–</w:t>
      </w:r>
      <w:r w:rsidR="00FF2FBD">
        <w:rPr>
          <w:rFonts w:eastAsia="Times New Roman"/>
          <w:color w:val="000000"/>
          <w:lang w:eastAsia="en-AU"/>
        </w:rPr>
        <w:t>16</w:t>
      </w:r>
      <w:r>
        <w:rPr>
          <w:rFonts w:eastAsia="Times New Roman"/>
          <w:color w:val="000000"/>
          <w:lang w:eastAsia="en-AU"/>
        </w:rPr>
        <w:t xml:space="preserve"> where</w:t>
      </w:r>
      <w:r w:rsidR="00FF2FBD">
        <w:rPr>
          <w:rFonts w:eastAsia="Times New Roman"/>
          <w:color w:val="000000"/>
          <w:lang w:eastAsia="en-AU"/>
        </w:rPr>
        <w:t xml:space="preserve"> </w:t>
      </w:r>
      <w:r w:rsidR="00C441F9">
        <w:rPr>
          <w:rFonts w:eastAsia="Times New Roman"/>
          <w:color w:val="000000"/>
          <w:lang w:eastAsia="en-AU"/>
        </w:rPr>
        <w:t>two </w:t>
      </w:r>
      <w:r w:rsidR="00EF380D">
        <w:rPr>
          <w:rFonts w:eastAsia="Times New Roman"/>
          <w:color w:val="000000"/>
          <w:lang w:eastAsia="en-AU"/>
        </w:rPr>
        <w:t>NCCEs</w:t>
      </w:r>
      <w:r w:rsidR="00FF2FBD">
        <w:rPr>
          <w:rFonts w:eastAsia="Times New Roman"/>
          <w:color w:val="000000"/>
          <w:lang w:eastAsia="en-AU"/>
        </w:rPr>
        <w:t xml:space="preserve"> failed to report</w:t>
      </w:r>
      <w:r w:rsidR="0044550E" w:rsidRPr="0044550E">
        <w:rPr>
          <w:rFonts w:eastAsia="Times New Roman"/>
          <w:color w:val="000000"/>
          <w:lang w:eastAsia="en-AU"/>
        </w:rPr>
        <w:t xml:space="preserve">. In addition, </w:t>
      </w:r>
      <w:r w:rsidR="00C441F9">
        <w:rPr>
          <w:rFonts w:eastAsia="Times New Roman"/>
          <w:color w:val="000000"/>
          <w:lang w:eastAsia="en-AU"/>
        </w:rPr>
        <w:t>five</w:t>
      </w:r>
      <w:r w:rsidR="0044550E" w:rsidRPr="0044550E">
        <w:rPr>
          <w:rFonts w:eastAsia="Times New Roman"/>
          <w:color w:val="000000"/>
          <w:lang w:eastAsia="en-AU"/>
        </w:rPr>
        <w:t xml:space="preserve"> </w:t>
      </w:r>
      <w:r w:rsidR="0044550E">
        <w:rPr>
          <w:rFonts w:eastAsia="Times New Roman"/>
          <w:color w:val="000000"/>
          <w:lang w:eastAsia="en-AU"/>
        </w:rPr>
        <w:t>CCEs</w:t>
      </w:r>
      <w:r w:rsidR="0044550E" w:rsidRPr="0044550E">
        <w:rPr>
          <w:rFonts w:eastAsia="Times New Roman"/>
          <w:color w:val="000000"/>
          <w:lang w:eastAsia="en-AU"/>
        </w:rPr>
        <w:t xml:space="preserve"> </w:t>
      </w:r>
      <w:r w:rsidR="004D6B65" w:rsidRPr="0044550E">
        <w:rPr>
          <w:rFonts w:eastAsia="Times New Roman"/>
          <w:color w:val="000000"/>
          <w:lang w:eastAsia="en-AU"/>
        </w:rPr>
        <w:t xml:space="preserve">reported </w:t>
      </w:r>
      <w:r w:rsidR="0044550E" w:rsidRPr="0044550E">
        <w:rPr>
          <w:rFonts w:eastAsia="Times New Roman"/>
          <w:color w:val="000000"/>
          <w:lang w:eastAsia="en-AU"/>
        </w:rPr>
        <w:t xml:space="preserve">voluntarily </w:t>
      </w:r>
      <w:r w:rsidR="00FF2FBD">
        <w:rPr>
          <w:rFonts w:eastAsia="Times New Roman"/>
          <w:color w:val="000000"/>
          <w:lang w:eastAsia="en-AU"/>
        </w:rPr>
        <w:t xml:space="preserve">(down from </w:t>
      </w:r>
      <w:r w:rsidR="00EE08D0">
        <w:rPr>
          <w:rFonts w:eastAsia="Times New Roman"/>
          <w:color w:val="000000"/>
          <w:lang w:eastAsia="en-AU"/>
        </w:rPr>
        <w:t>12</w:t>
      </w:r>
      <w:r w:rsidR="00FF2FBD">
        <w:rPr>
          <w:rFonts w:eastAsia="Times New Roman"/>
          <w:color w:val="000000"/>
          <w:lang w:eastAsia="en-AU"/>
        </w:rPr>
        <w:t xml:space="preserve"> in 2015</w:t>
      </w:r>
      <w:r w:rsidR="00171B39">
        <w:t> </w:t>
      </w:r>
      <w:r w:rsidR="00FF2FBD">
        <w:rPr>
          <w:rFonts w:eastAsia="Times New Roman"/>
          <w:color w:val="000000"/>
          <w:lang w:eastAsia="en-AU"/>
        </w:rPr>
        <w:t>16).</w:t>
      </w:r>
    </w:p>
    <w:p w14:paraId="142A4B0D" w14:textId="77777777" w:rsidR="00EC51D4" w:rsidRPr="00557D71" w:rsidRDefault="00EC51D4" w:rsidP="00EC51D4">
      <w:pPr>
        <w:pStyle w:val="Heading3"/>
      </w:pPr>
      <w:r w:rsidRPr="00557D71">
        <w:t xml:space="preserve">Key findings </w:t>
      </w:r>
    </w:p>
    <w:p w14:paraId="142A4B0E" w14:textId="77777777" w:rsidR="0044550E" w:rsidRPr="0044550E" w:rsidRDefault="0044550E" w:rsidP="0044550E">
      <w:pPr>
        <w:pStyle w:val="Heading4"/>
      </w:pPr>
      <w:r w:rsidRPr="0044550E">
        <w:t>PSPF compliance</w:t>
      </w:r>
    </w:p>
    <w:p w14:paraId="142A4B0F" w14:textId="77777777" w:rsidR="002176BE" w:rsidRDefault="002176BE" w:rsidP="0044550E">
      <w:pPr>
        <w:rPr>
          <w:color w:val="000000"/>
        </w:rPr>
      </w:pPr>
      <w:r>
        <w:rPr>
          <w:color w:val="000000"/>
        </w:rPr>
        <w:t xml:space="preserve">While few </w:t>
      </w:r>
      <w:r w:rsidR="00EE0A4C">
        <w:rPr>
          <w:color w:val="000000"/>
        </w:rPr>
        <w:t>(</w:t>
      </w:r>
      <w:r w:rsidR="008B3EE6">
        <w:rPr>
          <w:color w:val="000000"/>
        </w:rPr>
        <w:t>34.4</w:t>
      </w:r>
      <w:r w:rsidR="00EE0A4C">
        <w:rPr>
          <w:color w:val="000000"/>
        </w:rPr>
        <w:t>%, 3</w:t>
      </w:r>
      <w:r w:rsidR="008B3EE6">
        <w:rPr>
          <w:color w:val="000000"/>
        </w:rPr>
        <w:t>2</w:t>
      </w:r>
      <w:r w:rsidR="0063277E">
        <w:rPr>
          <w:color w:val="000000"/>
        </w:rPr>
        <w:t xml:space="preserve"> entities</w:t>
      </w:r>
      <w:r w:rsidR="00EE0A4C">
        <w:rPr>
          <w:color w:val="000000"/>
        </w:rPr>
        <w:t>) NCCEs</w:t>
      </w:r>
      <w:r>
        <w:rPr>
          <w:color w:val="000000"/>
        </w:rPr>
        <w:t xml:space="preserve"> are fully compliant with all of the PSPF, the government’s security </w:t>
      </w:r>
      <w:r w:rsidR="00BA7206">
        <w:rPr>
          <w:color w:val="000000"/>
        </w:rPr>
        <w:t>posture is still broadly sound</w:t>
      </w:r>
      <w:r w:rsidR="00C441F9">
        <w:rPr>
          <w:color w:val="000000"/>
        </w:rPr>
        <w:t>. O</w:t>
      </w:r>
      <w:r>
        <w:rPr>
          <w:color w:val="000000"/>
        </w:rPr>
        <w:t>n average</w:t>
      </w:r>
      <w:r w:rsidR="00EE0A4C">
        <w:rPr>
          <w:color w:val="000000"/>
        </w:rPr>
        <w:t>,</w:t>
      </w:r>
      <w:r>
        <w:rPr>
          <w:color w:val="000000"/>
        </w:rPr>
        <w:t xml:space="preserve"> NCCEs fully compl</w:t>
      </w:r>
      <w:r w:rsidR="004D6B65">
        <w:rPr>
          <w:color w:val="000000"/>
        </w:rPr>
        <w:t>y</w:t>
      </w:r>
      <w:r>
        <w:rPr>
          <w:color w:val="000000"/>
        </w:rPr>
        <w:t xml:space="preserve"> with </w:t>
      </w:r>
      <w:r w:rsidR="00EE0A4C">
        <w:rPr>
          <w:color w:val="000000"/>
        </w:rPr>
        <w:t>a significant proportion</w:t>
      </w:r>
      <w:r>
        <w:rPr>
          <w:color w:val="000000"/>
        </w:rPr>
        <w:t xml:space="preserve"> </w:t>
      </w:r>
      <w:r w:rsidR="008B3EE6">
        <w:rPr>
          <w:color w:val="000000"/>
        </w:rPr>
        <w:t xml:space="preserve">of </w:t>
      </w:r>
      <w:r>
        <w:rPr>
          <w:color w:val="000000"/>
        </w:rPr>
        <w:t>requirements</w:t>
      </w:r>
      <w:r w:rsidR="00171B39">
        <w:rPr>
          <w:color w:val="000000"/>
        </w:rPr>
        <w:t xml:space="preserve"> (91.2%, 33 out of 36</w:t>
      </w:r>
      <w:r w:rsidR="00052F19">
        <w:rPr>
          <w:color w:val="000000"/>
        </w:rPr>
        <w:t xml:space="preserve"> – shown as “2016</w:t>
      </w:r>
      <w:r w:rsidR="00052F19">
        <w:t>–</w:t>
      </w:r>
      <w:r w:rsidR="00052F19">
        <w:rPr>
          <w:color w:val="000000"/>
        </w:rPr>
        <w:t>17 PSPF compliance average” in Figures 3, 4 and 5</w:t>
      </w:r>
      <w:r w:rsidR="00171B39">
        <w:rPr>
          <w:color w:val="000000"/>
        </w:rPr>
        <w:t>)</w:t>
      </w:r>
      <w:r>
        <w:rPr>
          <w:color w:val="000000"/>
        </w:rPr>
        <w:t>.</w:t>
      </w:r>
      <w:r w:rsidR="004D6B65">
        <w:rPr>
          <w:color w:val="000000"/>
        </w:rPr>
        <w:t xml:space="preserve"> </w:t>
      </w:r>
    </w:p>
    <w:p w14:paraId="142A4B10" w14:textId="77777777" w:rsidR="008B3EE6" w:rsidRDefault="008B3EE6" w:rsidP="008B3EE6">
      <w:pPr>
        <w:pStyle w:val="Heading4"/>
      </w:pPr>
      <w:r>
        <w:t>Key risk areas</w:t>
      </w:r>
    </w:p>
    <w:p w14:paraId="142A4B11" w14:textId="77777777" w:rsidR="008B3EE6" w:rsidRDefault="008B3EE6" w:rsidP="008B3EE6">
      <w:r>
        <w:rPr>
          <w:color w:val="000000"/>
        </w:rPr>
        <w:t xml:space="preserve">NCCEs continue to </w:t>
      </w:r>
      <w:r w:rsidR="00C441F9">
        <w:rPr>
          <w:color w:val="000000"/>
        </w:rPr>
        <w:t>f</w:t>
      </w:r>
      <w:r w:rsidR="003E35AF">
        <w:rPr>
          <w:color w:val="000000"/>
        </w:rPr>
        <w:t>ace</w:t>
      </w:r>
      <w:r w:rsidR="00C441F9">
        <w:rPr>
          <w:color w:val="000000"/>
        </w:rPr>
        <w:t xml:space="preserve"> </w:t>
      </w:r>
      <w:r>
        <w:rPr>
          <w:color w:val="000000"/>
        </w:rPr>
        <w:t xml:space="preserve">challenges in achieving the PSPF’s information security requirements. Of note, </w:t>
      </w:r>
      <w:r w:rsidR="0063277E">
        <w:rPr>
          <w:color w:val="000000"/>
        </w:rPr>
        <w:t>only</w:t>
      </w:r>
      <w:r>
        <w:rPr>
          <w:color w:val="000000"/>
        </w:rPr>
        <w:t xml:space="preserve"> 60</w:t>
      </w:r>
      <w:r w:rsidR="0063277E">
        <w:rPr>
          <w:color w:val="000000"/>
        </w:rPr>
        <w:t>.2</w:t>
      </w:r>
      <w:r>
        <w:rPr>
          <w:color w:val="000000"/>
        </w:rPr>
        <w:t>% of NCCEs reported full compliance with the INFOSEC 4 requirement.</w:t>
      </w:r>
    </w:p>
    <w:p w14:paraId="142A4B12" w14:textId="77777777" w:rsidR="0044550E" w:rsidRDefault="0044550E" w:rsidP="00DD4713">
      <w:pPr>
        <w:pStyle w:val="Caption"/>
        <w:keepNext/>
        <w:rPr>
          <w:lang w:val="en-US"/>
        </w:rPr>
      </w:pPr>
      <w:r>
        <w:t xml:space="preserve">Figure </w:t>
      </w:r>
      <w:fldSimple w:instr=" SEQ Figure \* ARABIC ">
        <w:r w:rsidR="00F17D4F">
          <w:rPr>
            <w:noProof/>
          </w:rPr>
          <w:t>1</w:t>
        </w:r>
      </w:fldSimple>
      <w:r>
        <w:t xml:space="preserve"> </w:t>
      </w:r>
      <w:r w:rsidR="00BA7206">
        <w:rPr>
          <w:lang w:val="en-US"/>
        </w:rPr>
        <w:t xml:space="preserve">Proportion of </w:t>
      </w:r>
      <w:r w:rsidR="003A1AA7">
        <w:rPr>
          <w:lang w:val="en-US"/>
        </w:rPr>
        <w:t>NCCEs</w:t>
      </w:r>
      <w:r w:rsidR="00BA7206">
        <w:rPr>
          <w:lang w:val="en-US"/>
        </w:rPr>
        <w:t xml:space="preserve"> fully compliant with all PSPF requirements</w:t>
      </w:r>
    </w:p>
    <w:p w14:paraId="142A4B13" w14:textId="77777777" w:rsidR="002365AD" w:rsidRPr="002365AD" w:rsidRDefault="002365AD" w:rsidP="002365AD">
      <w:pPr>
        <w:keepNext/>
        <w:spacing w:after="0" w:line="240" w:lineRule="auto"/>
        <w:rPr>
          <w:lang w:val="en-US"/>
        </w:rPr>
      </w:pPr>
      <w:r>
        <w:rPr>
          <w:noProof/>
          <w:lang w:eastAsia="en-AU"/>
        </w:rPr>
        <w:drawing>
          <wp:inline distT="0" distB="0" distL="0" distR="0" wp14:anchorId="142A4CDD" wp14:editId="142A4CDE">
            <wp:extent cx="3238500" cy="1619250"/>
            <wp:effectExtent l="0" t="0" r="0" b="0"/>
            <wp:docPr id="2" name="Chart 2" descr="Proportion of entities fully compliant with all PSPF requriements" title="Chart_FullCompliance%"/>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42A4B14" w14:textId="77777777" w:rsidR="002176BE" w:rsidRPr="00BA7206" w:rsidRDefault="002176BE" w:rsidP="008B3EE6">
      <w:pPr>
        <w:pStyle w:val="Quote"/>
        <w:spacing w:after="0"/>
      </w:pPr>
      <w:r w:rsidRPr="0044550E">
        <w:t>In 2016</w:t>
      </w:r>
      <w:r w:rsidR="00D448D5">
        <w:t>–</w:t>
      </w:r>
      <w:r w:rsidRPr="0044550E">
        <w:t xml:space="preserve">17, the proportion of </w:t>
      </w:r>
      <w:r w:rsidRPr="00BA7206">
        <w:t>NCCEs</w:t>
      </w:r>
      <w:r w:rsidRPr="0044550E">
        <w:t xml:space="preserve"> reporting full compliance with all PSPF mandatory requirements was 3</w:t>
      </w:r>
      <w:r w:rsidR="002365AD">
        <w:t>4</w:t>
      </w:r>
      <w:r w:rsidR="00EC51D4">
        <w:t>.</w:t>
      </w:r>
      <w:r w:rsidR="002365AD">
        <w:t>4</w:t>
      </w:r>
      <w:r w:rsidRPr="0044550E">
        <w:t>%, down from 3</w:t>
      </w:r>
      <w:r w:rsidR="002365AD">
        <w:t>7</w:t>
      </w:r>
      <w:r w:rsidR="00EC51D4">
        <w:t>.</w:t>
      </w:r>
      <w:r w:rsidR="002365AD">
        <w:t>6</w:t>
      </w:r>
      <w:r w:rsidRPr="0044550E">
        <w:t>% in 2015</w:t>
      </w:r>
      <w:r w:rsidR="00D448D5">
        <w:t>–</w:t>
      </w:r>
      <w:r w:rsidRPr="0044550E">
        <w:t>16 (but up from 3</w:t>
      </w:r>
      <w:r w:rsidR="002365AD">
        <w:t>2</w:t>
      </w:r>
      <w:r w:rsidR="00EC51D4">
        <w:t>.</w:t>
      </w:r>
      <w:r w:rsidR="002365AD">
        <w:t>3</w:t>
      </w:r>
      <w:r w:rsidRPr="0044550E">
        <w:t>% in 2014</w:t>
      </w:r>
      <w:r w:rsidR="00D448D5">
        <w:t>–</w:t>
      </w:r>
      <w:r w:rsidRPr="0044550E">
        <w:t>15).</w:t>
      </w:r>
    </w:p>
    <w:p w14:paraId="142A4B15" w14:textId="77777777" w:rsidR="0044550E" w:rsidRDefault="0044550E" w:rsidP="004D6B65">
      <w:pPr>
        <w:pStyle w:val="Caption"/>
        <w:keepNext/>
        <w:shd w:val="clear" w:color="auto" w:fill="FFFFFF" w:themeFill="background1"/>
        <w:rPr>
          <w:lang w:val="en-US"/>
        </w:rPr>
      </w:pPr>
      <w:r>
        <w:t xml:space="preserve">Figure </w:t>
      </w:r>
      <w:fldSimple w:instr=" SEQ Figure \* ARABIC ">
        <w:r w:rsidR="00F17D4F">
          <w:rPr>
            <w:noProof/>
          </w:rPr>
          <w:t>2</w:t>
        </w:r>
      </w:fldSimple>
      <w:r>
        <w:t xml:space="preserve"> </w:t>
      </w:r>
      <w:r w:rsidRPr="00B56219">
        <w:rPr>
          <w:lang w:val="en-US"/>
        </w:rPr>
        <w:t xml:space="preserve">Average number of PSPF requirements </w:t>
      </w:r>
      <w:r w:rsidR="00CC1F0A">
        <w:rPr>
          <w:lang w:val="en-US"/>
        </w:rPr>
        <w:t xml:space="preserve">that </w:t>
      </w:r>
      <w:r w:rsidR="002365AD">
        <w:rPr>
          <w:lang w:val="en-US"/>
        </w:rPr>
        <w:t xml:space="preserve">NCCEs </w:t>
      </w:r>
      <w:r w:rsidRPr="00B56219">
        <w:rPr>
          <w:lang w:val="en-US"/>
        </w:rPr>
        <w:t>complied with</w:t>
      </w:r>
    </w:p>
    <w:p w14:paraId="142A4B16" w14:textId="77777777" w:rsidR="002365AD" w:rsidRPr="002365AD" w:rsidRDefault="002365AD" w:rsidP="000907FE">
      <w:pPr>
        <w:keepNext/>
        <w:spacing w:after="0" w:line="240" w:lineRule="auto"/>
        <w:rPr>
          <w:lang w:val="en-US"/>
        </w:rPr>
      </w:pPr>
      <w:r>
        <w:rPr>
          <w:noProof/>
          <w:lang w:eastAsia="en-AU"/>
        </w:rPr>
        <w:drawing>
          <wp:inline distT="0" distB="0" distL="0" distR="0" wp14:anchorId="142A4CDF" wp14:editId="142A4CE0">
            <wp:extent cx="3239770" cy="162000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142A4B17" w14:textId="77777777" w:rsidR="00EC51D4" w:rsidRDefault="002176BE" w:rsidP="00EC51D4">
      <w:pPr>
        <w:pStyle w:val="Quote"/>
        <w:spacing w:after="0"/>
      </w:pPr>
      <w:r w:rsidRPr="00FF2FBD">
        <w:t xml:space="preserve">On average </w:t>
      </w:r>
      <w:r w:rsidR="000907FE">
        <w:t>NCCEs</w:t>
      </w:r>
      <w:r w:rsidRPr="00FF2FBD">
        <w:t xml:space="preserve"> </w:t>
      </w:r>
      <w:r w:rsidR="00FF2FBD">
        <w:t xml:space="preserve">fully </w:t>
      </w:r>
      <w:r w:rsidRPr="00FF2FBD">
        <w:t xml:space="preserve">complied with </w:t>
      </w:r>
      <w:r w:rsidR="005671E5">
        <w:t>91.2</w:t>
      </w:r>
      <w:r w:rsidR="00DF172F">
        <w:t xml:space="preserve">% of the PSPF’s requirements, this is equivalent to </w:t>
      </w:r>
      <w:r w:rsidRPr="00FF2FBD">
        <w:t>3</w:t>
      </w:r>
      <w:r w:rsidR="005671E5">
        <w:t>3</w:t>
      </w:r>
      <w:r w:rsidR="00EC51D4">
        <w:t xml:space="preserve"> out of 36 PSPF requirements. </w:t>
      </w:r>
      <w:r w:rsidR="00FC3F6A">
        <w:t>The number of requirements entities comply with has remained broadly stable over time, being</w:t>
      </w:r>
      <w:r w:rsidR="00EC51D4">
        <w:t>:</w:t>
      </w:r>
    </w:p>
    <w:p w14:paraId="142A4B18" w14:textId="77777777" w:rsidR="00FC3F6A" w:rsidRDefault="002176BE" w:rsidP="00EC51D4">
      <w:pPr>
        <w:pStyle w:val="Quote"/>
        <w:numPr>
          <w:ilvl w:val="0"/>
          <w:numId w:val="47"/>
        </w:numPr>
        <w:spacing w:after="0"/>
        <w:ind w:left="142" w:hanging="142"/>
      </w:pPr>
      <w:r w:rsidRPr="00FF2FBD">
        <w:t>33 out of 36 requirements</w:t>
      </w:r>
      <w:r w:rsidR="00EC51D4">
        <w:t>, 9</w:t>
      </w:r>
      <w:r w:rsidR="000907FE">
        <w:t>1</w:t>
      </w:r>
      <w:r w:rsidR="00EC51D4">
        <w:t>.</w:t>
      </w:r>
      <w:r w:rsidR="000907FE">
        <w:t>0</w:t>
      </w:r>
      <w:r w:rsidR="00EC51D4">
        <w:t>%, in 2015</w:t>
      </w:r>
      <w:r w:rsidR="00D448D5">
        <w:t>–</w:t>
      </w:r>
      <w:r w:rsidR="00EC51D4">
        <w:t>16 and</w:t>
      </w:r>
      <w:r w:rsidRPr="00FF2FBD">
        <w:t xml:space="preserve"> </w:t>
      </w:r>
    </w:p>
    <w:p w14:paraId="142A4B19" w14:textId="77777777" w:rsidR="002176BE" w:rsidRDefault="002176BE" w:rsidP="00EC51D4">
      <w:pPr>
        <w:pStyle w:val="Quote"/>
        <w:numPr>
          <w:ilvl w:val="0"/>
          <w:numId w:val="47"/>
        </w:numPr>
        <w:spacing w:after="0"/>
        <w:ind w:left="142" w:hanging="142"/>
      </w:pPr>
      <w:r w:rsidRPr="00FF2FBD">
        <w:t>32</w:t>
      </w:r>
      <w:r w:rsidR="00FC3F6A">
        <w:t xml:space="preserve"> requirements, 87.</w:t>
      </w:r>
      <w:r w:rsidR="000907FE">
        <w:t>5</w:t>
      </w:r>
      <w:r w:rsidR="00FC3F6A">
        <w:t xml:space="preserve">% </w:t>
      </w:r>
      <w:r w:rsidRPr="00FF2FBD">
        <w:t>in 2014</w:t>
      </w:r>
      <w:r w:rsidR="00D448D5">
        <w:t>–</w:t>
      </w:r>
      <w:r w:rsidRPr="00FF2FBD">
        <w:t>15.</w:t>
      </w:r>
    </w:p>
    <w:p w14:paraId="142A4B1A" w14:textId="77777777" w:rsidR="00DF172F" w:rsidRDefault="00DF172F" w:rsidP="00DD4713">
      <w:pPr>
        <w:pStyle w:val="Caption"/>
        <w:keepNext/>
        <w:shd w:val="clear" w:color="auto" w:fill="FFFFFF" w:themeFill="background1"/>
        <w:rPr>
          <w:lang w:val="en-US"/>
        </w:rPr>
      </w:pPr>
      <w:bookmarkStart w:id="2" w:name="Reporting"/>
      <w:r>
        <w:t xml:space="preserve">Figure </w:t>
      </w:r>
      <w:fldSimple w:instr=" SEQ Figure \* ARABIC ">
        <w:r w:rsidR="00F17D4F">
          <w:rPr>
            <w:noProof/>
          </w:rPr>
          <w:t>3</w:t>
        </w:r>
      </w:fldSimple>
      <w:r>
        <w:t xml:space="preserve"> </w:t>
      </w:r>
      <w:r>
        <w:rPr>
          <w:lang w:val="en-US"/>
        </w:rPr>
        <w:t xml:space="preserve">Proportion of PSPF requirements </w:t>
      </w:r>
      <w:r w:rsidR="00CC1F0A">
        <w:rPr>
          <w:lang w:val="en-US"/>
        </w:rPr>
        <w:t xml:space="preserve">that </w:t>
      </w:r>
      <w:r w:rsidR="00C9773E">
        <w:rPr>
          <w:lang w:val="en-US"/>
        </w:rPr>
        <w:t>NCCE</w:t>
      </w:r>
      <w:r>
        <w:rPr>
          <w:lang w:val="en-US"/>
        </w:rPr>
        <w:t xml:space="preserve">s </w:t>
      </w:r>
      <w:r w:rsidR="000907FE">
        <w:rPr>
          <w:lang w:val="en-US"/>
        </w:rPr>
        <w:t xml:space="preserve">complied with </w:t>
      </w:r>
      <w:r>
        <w:rPr>
          <w:lang w:val="en-US"/>
        </w:rPr>
        <w:t>– by requirement type</w:t>
      </w:r>
      <w:r w:rsidR="00A10F44">
        <w:rPr>
          <w:lang w:val="en-US"/>
        </w:rPr>
        <w:t>, 2016-17</w:t>
      </w:r>
    </w:p>
    <w:p w14:paraId="142A4B1B" w14:textId="77777777" w:rsidR="000907FE" w:rsidRPr="000907FE" w:rsidRDefault="00EA080A" w:rsidP="00E82507">
      <w:pPr>
        <w:keepNext/>
        <w:spacing w:after="0" w:line="240" w:lineRule="auto"/>
        <w:rPr>
          <w:lang w:val="en-US"/>
        </w:rPr>
      </w:pPr>
      <w:r w:rsidRPr="00E82507">
        <w:rPr>
          <w:noProof/>
          <w:lang w:eastAsia="en-AU"/>
        </w:rPr>
        <w:drawing>
          <wp:inline distT="0" distB="0" distL="0" distR="0" wp14:anchorId="142A4CE1" wp14:editId="142A4CE2">
            <wp:extent cx="3239770" cy="16200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42A4B1C" w14:textId="77777777" w:rsidR="00487463" w:rsidRDefault="00DA663F" w:rsidP="00DA663F">
      <w:pPr>
        <w:pStyle w:val="Quote"/>
        <w:spacing w:after="0"/>
      </w:pPr>
      <w:r>
        <w:t>Of the PSPF’s 36 requirements:</w:t>
      </w:r>
    </w:p>
    <w:p w14:paraId="142A4B1D" w14:textId="77777777" w:rsidR="00DA663F" w:rsidRDefault="00DA663F" w:rsidP="00860F9B">
      <w:pPr>
        <w:pStyle w:val="Quote"/>
        <w:numPr>
          <w:ilvl w:val="0"/>
          <w:numId w:val="47"/>
        </w:numPr>
        <w:spacing w:after="0"/>
        <w:ind w:left="142" w:hanging="142"/>
      </w:pPr>
      <w:r>
        <w:t>13 requirements relate to security governance. On average entities complied with 1</w:t>
      </w:r>
      <w:r w:rsidR="005671E5">
        <w:t>2</w:t>
      </w:r>
      <w:r>
        <w:t>.</w:t>
      </w:r>
      <w:r w:rsidR="005671E5">
        <w:t>0</w:t>
      </w:r>
      <w:r>
        <w:t xml:space="preserve"> of these (</w:t>
      </w:r>
      <w:r w:rsidR="00751DA3">
        <w:t>9</w:t>
      </w:r>
      <w:r w:rsidR="005671E5">
        <w:t>2</w:t>
      </w:r>
      <w:r w:rsidR="00751DA3">
        <w:t>.</w:t>
      </w:r>
      <w:r w:rsidR="00F03FAB">
        <w:t>1</w:t>
      </w:r>
      <w:r>
        <w:t>% of governance requirements)</w:t>
      </w:r>
    </w:p>
    <w:p w14:paraId="142A4B1E" w14:textId="77777777" w:rsidR="00DA663F" w:rsidRDefault="00DA663F" w:rsidP="00860F9B">
      <w:pPr>
        <w:pStyle w:val="Quote"/>
        <w:numPr>
          <w:ilvl w:val="0"/>
          <w:numId w:val="47"/>
        </w:numPr>
        <w:spacing w:after="0"/>
        <w:ind w:left="142" w:hanging="142"/>
      </w:pPr>
      <w:r>
        <w:t>9 relate to personnel security</w:t>
      </w:r>
      <w:r w:rsidR="00751DA3">
        <w:t>.</w:t>
      </w:r>
      <w:r w:rsidR="00925117">
        <w:t xml:space="preserve"> </w:t>
      </w:r>
      <w:r>
        <w:t>NCCEs complied with 8.</w:t>
      </w:r>
      <w:r w:rsidR="00F03FAB">
        <w:t>3</w:t>
      </w:r>
      <w:r w:rsidR="00751DA3">
        <w:t xml:space="preserve"> (9</w:t>
      </w:r>
      <w:r w:rsidR="00F03FAB">
        <w:t>2.</w:t>
      </w:r>
      <w:r w:rsidR="00772C64">
        <w:t>6</w:t>
      </w:r>
      <w:r>
        <w:t>%)</w:t>
      </w:r>
    </w:p>
    <w:p w14:paraId="142A4B1F" w14:textId="77777777" w:rsidR="00DA663F" w:rsidRPr="00DA663F" w:rsidRDefault="00DA663F" w:rsidP="00860F9B">
      <w:pPr>
        <w:pStyle w:val="Quote"/>
        <w:numPr>
          <w:ilvl w:val="0"/>
          <w:numId w:val="47"/>
        </w:numPr>
        <w:spacing w:after="0"/>
        <w:ind w:left="142" w:hanging="142"/>
      </w:pPr>
      <w:r>
        <w:t xml:space="preserve">information </w:t>
      </w:r>
      <w:r w:rsidR="00751DA3">
        <w:t xml:space="preserve">and physical </w:t>
      </w:r>
      <w:r>
        <w:t>security</w:t>
      </w:r>
      <w:r w:rsidR="00751DA3">
        <w:t xml:space="preserve"> include 7 requirements each</w:t>
      </w:r>
      <w:r>
        <w:t xml:space="preserve">. NCCEs complied with </w:t>
      </w:r>
      <w:r w:rsidR="00F03FAB">
        <w:t>6.0</w:t>
      </w:r>
      <w:r>
        <w:t xml:space="preserve"> (8</w:t>
      </w:r>
      <w:r w:rsidR="00F03FAB">
        <w:t>5</w:t>
      </w:r>
      <w:r w:rsidR="00751DA3">
        <w:t>.</w:t>
      </w:r>
      <w:r w:rsidR="00772C64">
        <w:t>6</w:t>
      </w:r>
      <w:r>
        <w:t>%) and</w:t>
      </w:r>
      <w:r w:rsidR="00676DD0">
        <w:t xml:space="preserve"> </w:t>
      </w:r>
      <w:r w:rsidR="00027D77">
        <w:t>6.</w:t>
      </w:r>
      <w:r w:rsidR="00F03FAB">
        <w:t>5</w:t>
      </w:r>
      <w:r w:rsidR="00027D77">
        <w:t xml:space="preserve"> of these (9</w:t>
      </w:r>
      <w:r w:rsidR="00F03FAB">
        <w:t>3</w:t>
      </w:r>
      <w:r w:rsidR="00676DD0">
        <w:t>.4</w:t>
      </w:r>
      <w:r w:rsidR="00027D77">
        <w:t>%)</w:t>
      </w:r>
      <w:r w:rsidR="00676DD0">
        <w:t xml:space="preserve"> of these respectively</w:t>
      </w:r>
      <w:r>
        <w:t>.</w:t>
      </w:r>
    </w:p>
    <w:p w14:paraId="142A4B20" w14:textId="77777777" w:rsidR="00487463" w:rsidRDefault="00487463" w:rsidP="00DD4713">
      <w:pPr>
        <w:pStyle w:val="Caption"/>
        <w:keepNext/>
        <w:shd w:val="clear" w:color="auto" w:fill="FFFFFF" w:themeFill="background1"/>
        <w:rPr>
          <w:lang w:val="en-US"/>
        </w:rPr>
      </w:pPr>
      <w:bookmarkStart w:id="3" w:name="_Ref497470373"/>
      <w:r>
        <w:t xml:space="preserve">Figure </w:t>
      </w:r>
      <w:fldSimple w:instr=" SEQ Figure \* ARABIC ">
        <w:r w:rsidR="00F17D4F">
          <w:rPr>
            <w:noProof/>
          </w:rPr>
          <w:t>4</w:t>
        </w:r>
      </w:fldSimple>
      <w:bookmarkEnd w:id="3"/>
      <w:r>
        <w:t xml:space="preserve"> </w:t>
      </w:r>
      <w:r w:rsidR="00860F9B">
        <w:rPr>
          <w:lang w:val="en-US"/>
        </w:rPr>
        <w:t xml:space="preserve">Proportion of </w:t>
      </w:r>
      <w:r w:rsidR="00C9773E">
        <w:rPr>
          <w:lang w:val="en-US"/>
        </w:rPr>
        <w:t>NCCE</w:t>
      </w:r>
      <w:r w:rsidR="00860F9B">
        <w:rPr>
          <w:lang w:val="en-US"/>
        </w:rPr>
        <w:t>s compliant with PSPF INFOSEC4</w:t>
      </w:r>
    </w:p>
    <w:p w14:paraId="142A4B21" w14:textId="77777777" w:rsidR="0063277E" w:rsidRPr="0063277E" w:rsidRDefault="0063277E" w:rsidP="0063277E">
      <w:pPr>
        <w:keepNext/>
        <w:spacing w:after="0" w:line="240" w:lineRule="auto"/>
        <w:rPr>
          <w:lang w:val="en-US"/>
        </w:rPr>
      </w:pPr>
      <w:r>
        <w:rPr>
          <w:noProof/>
          <w:lang w:eastAsia="en-AU"/>
        </w:rPr>
        <w:drawing>
          <wp:inline distT="0" distB="0" distL="0" distR="0" wp14:anchorId="142A4CE3" wp14:editId="142A4CE4">
            <wp:extent cx="3238500" cy="162000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42A4B22" w14:textId="77777777" w:rsidR="00027D77" w:rsidRPr="00027D77" w:rsidRDefault="00BE168D" w:rsidP="00751DA3">
      <w:pPr>
        <w:pStyle w:val="Quote"/>
        <w:spacing w:after="0"/>
      </w:pPr>
      <w:r>
        <w:t xml:space="preserve">Implementation of the </w:t>
      </w:r>
      <w:r w:rsidR="00751DA3">
        <w:t>INFOSEC4 require</w:t>
      </w:r>
      <w:r w:rsidR="00772C64">
        <w:t>ment</w:t>
      </w:r>
      <w:r>
        <w:t xml:space="preserve"> </w:t>
      </w:r>
      <w:r w:rsidR="00CA3CE1">
        <w:t xml:space="preserve">(relating to cyber and ICT system security, including </w:t>
      </w:r>
      <w:r w:rsidR="00CA3CE1" w:rsidRPr="00027D77">
        <w:t xml:space="preserve">the </w:t>
      </w:r>
      <w:r w:rsidR="00CA3CE1">
        <w:t xml:space="preserve">Australian Signals Directorate’s </w:t>
      </w:r>
      <w:r w:rsidR="00CA3CE1" w:rsidRPr="00751DA3">
        <w:rPr>
          <w:i/>
        </w:rPr>
        <w:t>Strategies to Mitigate Targeted Cyber Intrusions</w:t>
      </w:r>
      <w:r w:rsidR="00CA3CE1">
        <w:t xml:space="preserve">) </w:t>
      </w:r>
      <w:r>
        <w:t>has improved</w:t>
      </w:r>
      <w:r w:rsidR="00D26221">
        <w:t>,</w:t>
      </w:r>
      <w:r>
        <w:t xml:space="preserve"> but is still a </w:t>
      </w:r>
      <w:r w:rsidR="00CA3CE1">
        <w:t xml:space="preserve">key </w:t>
      </w:r>
      <w:r>
        <w:t xml:space="preserve">challenge. </w:t>
      </w:r>
    </w:p>
    <w:p w14:paraId="142A4B23" w14:textId="77777777" w:rsidR="00E32BAB" w:rsidRPr="00970EE0" w:rsidRDefault="004D4EE9" w:rsidP="006D14A9">
      <w:pPr>
        <w:pStyle w:val="Heading3"/>
      </w:pPr>
      <w:bookmarkStart w:id="4" w:name="Findings"/>
      <w:bookmarkEnd w:id="2"/>
      <w:r>
        <w:lastRenderedPageBreak/>
        <w:t xml:space="preserve">Security </w:t>
      </w:r>
      <w:r w:rsidR="00EA080A">
        <w:t>g</w:t>
      </w:r>
      <w:r>
        <w:t>overnance</w:t>
      </w:r>
    </w:p>
    <w:bookmarkEnd w:id="4"/>
    <w:p w14:paraId="142A4B24" w14:textId="77777777" w:rsidR="00970EE0" w:rsidRDefault="000F7C08" w:rsidP="00506EE1">
      <w:pPr>
        <w:rPr>
          <w:color w:val="000000"/>
        </w:rPr>
      </w:pPr>
      <w:r>
        <w:rPr>
          <w:color w:val="000000"/>
        </w:rPr>
        <w:t xml:space="preserve">Compliance with </w:t>
      </w:r>
      <w:r w:rsidR="00A54FE7">
        <w:rPr>
          <w:color w:val="000000"/>
        </w:rPr>
        <w:t xml:space="preserve">PSPF </w:t>
      </w:r>
      <w:r>
        <w:rPr>
          <w:color w:val="000000"/>
        </w:rPr>
        <w:t xml:space="preserve">governance requirements </w:t>
      </w:r>
      <w:r w:rsidR="00A54FE7">
        <w:rPr>
          <w:color w:val="000000"/>
        </w:rPr>
        <w:t xml:space="preserve">was high and </w:t>
      </w:r>
      <w:r>
        <w:rPr>
          <w:color w:val="000000"/>
        </w:rPr>
        <w:t>remained relatively stable. On average, entities complied with 11.</w:t>
      </w:r>
      <w:r w:rsidR="000E08BD">
        <w:rPr>
          <w:color w:val="000000"/>
        </w:rPr>
        <w:t>9</w:t>
      </w:r>
      <w:r>
        <w:rPr>
          <w:color w:val="000000"/>
        </w:rPr>
        <w:t xml:space="preserve"> of the 13 governance requirements </w:t>
      </w:r>
      <w:r w:rsidRPr="003E35AF">
        <w:rPr>
          <w:color w:val="000000"/>
        </w:rPr>
        <w:t xml:space="preserve">in </w:t>
      </w:r>
      <w:r w:rsidR="003E35AF">
        <w:rPr>
          <w:color w:val="000000"/>
        </w:rPr>
        <w:t>2</w:t>
      </w:r>
      <w:r w:rsidRPr="003E35AF">
        <w:rPr>
          <w:color w:val="000000"/>
        </w:rPr>
        <w:t>015</w:t>
      </w:r>
      <w:r w:rsidR="00D448D5">
        <w:t>–</w:t>
      </w:r>
      <w:r w:rsidRPr="003E35AF">
        <w:rPr>
          <w:color w:val="000000"/>
        </w:rPr>
        <w:t>16,</w:t>
      </w:r>
      <w:r>
        <w:rPr>
          <w:color w:val="000000"/>
        </w:rPr>
        <w:t xml:space="preserve"> increasing marginally to compliance with 12 requirements</w:t>
      </w:r>
      <w:r w:rsidR="003E35AF">
        <w:rPr>
          <w:color w:val="000000"/>
        </w:rPr>
        <w:t xml:space="preserve"> </w:t>
      </w:r>
      <w:r w:rsidR="00C45EA8">
        <w:rPr>
          <w:color w:val="000000"/>
        </w:rPr>
        <w:t>in 2016</w:t>
      </w:r>
      <w:r w:rsidR="00D448D5">
        <w:t>–</w:t>
      </w:r>
      <w:r w:rsidR="00C45EA8">
        <w:rPr>
          <w:color w:val="000000"/>
        </w:rPr>
        <w:t>17</w:t>
      </w:r>
      <w:r>
        <w:rPr>
          <w:color w:val="000000"/>
        </w:rPr>
        <w:t>.</w:t>
      </w:r>
    </w:p>
    <w:p w14:paraId="142A4B25" w14:textId="77777777" w:rsidR="000E08BD" w:rsidRDefault="00A10F44" w:rsidP="00506EE1">
      <w:pPr>
        <w:rPr>
          <w:color w:val="000000"/>
        </w:rPr>
      </w:pPr>
      <w:r>
        <w:rPr>
          <w:color w:val="000000"/>
        </w:rPr>
        <w:t>Of note, over 95</w:t>
      </w:r>
      <w:r w:rsidR="000E08BD">
        <w:rPr>
          <w:color w:val="000000"/>
        </w:rPr>
        <w:t>% of NCCEs reported full compliance with the following PSPF governance requirements:</w:t>
      </w:r>
    </w:p>
    <w:p w14:paraId="142A4B26" w14:textId="77777777" w:rsidR="00A10F44" w:rsidRDefault="00A10F44" w:rsidP="00A10F44">
      <w:pPr>
        <w:pStyle w:val="Caption"/>
        <w:rPr>
          <w:color w:val="000000"/>
        </w:rPr>
      </w:pPr>
      <w:r>
        <w:t xml:space="preserve">Table </w:t>
      </w:r>
      <w:fldSimple w:instr=" SEQ Table \* ARABIC ">
        <w:r w:rsidR="00F17D4F">
          <w:rPr>
            <w:noProof/>
          </w:rPr>
          <w:t>1</w:t>
        </w:r>
      </w:fldSimple>
      <w:r>
        <w:t xml:space="preserve"> G</w:t>
      </w:r>
      <w:r w:rsidR="00466926">
        <w:t>OVSEC</w:t>
      </w:r>
      <w:r>
        <w:t xml:space="preserve"> </w:t>
      </w:r>
      <w:r w:rsidR="00466926">
        <w:t xml:space="preserve">requirements </w:t>
      </w:r>
      <w:r>
        <w:t>with high compliance, 2016-17</w:t>
      </w:r>
    </w:p>
    <w:tbl>
      <w:tblPr>
        <w:tblW w:w="52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7"/>
        <w:gridCol w:w="2835"/>
        <w:gridCol w:w="1559"/>
      </w:tblGrid>
      <w:tr w:rsidR="00A10F44" w:rsidRPr="0058424A" w14:paraId="142A4B29" w14:textId="77777777" w:rsidTr="00A10F44">
        <w:trPr>
          <w:trHeight w:val="659"/>
          <w:tblHeader/>
        </w:trPr>
        <w:tc>
          <w:tcPr>
            <w:tcW w:w="3652" w:type="dxa"/>
            <w:gridSpan w:val="2"/>
            <w:tcBorders>
              <w:top w:val="single" w:sz="4" w:space="0" w:color="000000"/>
              <w:left w:val="single" w:sz="4" w:space="0" w:color="000000"/>
              <w:right w:val="single" w:sz="4" w:space="0" w:color="000000"/>
            </w:tcBorders>
            <w:shd w:val="clear" w:color="auto" w:fill="4F81BD"/>
          </w:tcPr>
          <w:p w14:paraId="142A4B27" w14:textId="77777777" w:rsidR="00A10F44" w:rsidRPr="00A10F44" w:rsidRDefault="00A10F44" w:rsidP="007F42A0">
            <w:pPr>
              <w:pStyle w:val="Heading2"/>
            </w:pPr>
            <w:r w:rsidRPr="00A10F44">
              <w:t>PSPF security governance requirements</w:t>
            </w:r>
          </w:p>
        </w:tc>
        <w:tc>
          <w:tcPr>
            <w:tcW w:w="1559" w:type="dxa"/>
            <w:tcBorders>
              <w:top w:val="single" w:sz="4" w:space="0" w:color="000000"/>
              <w:left w:val="single" w:sz="4" w:space="0" w:color="000000"/>
              <w:right w:val="single" w:sz="4" w:space="0" w:color="000000"/>
            </w:tcBorders>
            <w:shd w:val="clear" w:color="auto" w:fill="4F81BD"/>
          </w:tcPr>
          <w:p w14:paraId="142A4B28" w14:textId="77777777" w:rsidR="00A10F44" w:rsidRPr="00A10F44" w:rsidRDefault="00A10F44" w:rsidP="007F42A0">
            <w:pPr>
              <w:pStyle w:val="Heading2"/>
            </w:pPr>
            <w:r w:rsidRPr="00A10F44">
              <w:t>Proportion of NCCEs reporting full compliance</w:t>
            </w:r>
          </w:p>
        </w:tc>
      </w:tr>
      <w:tr w:rsidR="00A10F44" w14:paraId="142A4B2D" w14:textId="77777777" w:rsidTr="00A10F44">
        <w:tc>
          <w:tcPr>
            <w:tcW w:w="817" w:type="dxa"/>
            <w:tcBorders>
              <w:top w:val="single" w:sz="4" w:space="0" w:color="000000"/>
              <w:left w:val="single" w:sz="4" w:space="0" w:color="000000"/>
              <w:bottom w:val="single" w:sz="4" w:space="0" w:color="000000"/>
              <w:right w:val="single" w:sz="4" w:space="0" w:color="000000"/>
            </w:tcBorders>
            <w:shd w:val="clear" w:color="auto" w:fill="auto"/>
            <w:hideMark/>
          </w:tcPr>
          <w:p w14:paraId="142A4B2A" w14:textId="77777777" w:rsidR="00A10F44" w:rsidRPr="00A10F44" w:rsidRDefault="00A10F44" w:rsidP="000E08BD">
            <w:pPr>
              <w:spacing w:after="0"/>
              <w:rPr>
                <w:rFonts w:asciiTheme="minorHAnsi" w:hAnsiTheme="minorHAnsi" w:cstheme="minorHAnsi"/>
                <w:sz w:val="16"/>
                <w:szCs w:val="16"/>
              </w:rPr>
            </w:pPr>
            <w:r w:rsidRPr="00A10F44">
              <w:rPr>
                <w:rFonts w:asciiTheme="minorHAnsi" w:hAnsiTheme="minorHAnsi" w:cstheme="minorHAnsi"/>
                <w:sz w:val="16"/>
                <w:szCs w:val="16"/>
                <w:u w:val="single"/>
              </w:rPr>
              <w:t>GOV-2</w:t>
            </w:r>
          </w:p>
        </w:tc>
        <w:tc>
          <w:tcPr>
            <w:tcW w:w="2835" w:type="dxa"/>
            <w:tcBorders>
              <w:top w:val="single" w:sz="4" w:space="0" w:color="000000"/>
              <w:left w:val="single" w:sz="4" w:space="0" w:color="000000"/>
              <w:bottom w:val="single" w:sz="4" w:space="0" w:color="000000"/>
              <w:right w:val="single" w:sz="4" w:space="0" w:color="000000"/>
            </w:tcBorders>
            <w:shd w:val="clear" w:color="auto" w:fill="auto"/>
            <w:hideMark/>
          </w:tcPr>
          <w:p w14:paraId="142A4B2B" w14:textId="77777777" w:rsidR="00A10F44" w:rsidRPr="00A10F44" w:rsidRDefault="00A10F44" w:rsidP="000E08BD">
            <w:pPr>
              <w:spacing w:after="0" w:line="271" w:lineRule="auto"/>
              <w:rPr>
                <w:rFonts w:asciiTheme="minorHAnsi" w:hAnsiTheme="minorHAnsi" w:cstheme="minorHAnsi"/>
                <w:sz w:val="16"/>
                <w:szCs w:val="16"/>
              </w:rPr>
            </w:pPr>
            <w:r>
              <w:rPr>
                <w:rFonts w:asciiTheme="minorHAnsi" w:hAnsiTheme="minorHAnsi" w:cstheme="minorHAnsi"/>
                <w:sz w:val="16"/>
                <w:szCs w:val="16"/>
              </w:rPr>
              <w:t>Relating to appointment of an entity security executive and supporting advisers</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42A4B2C" w14:textId="77777777" w:rsidR="00A10F44" w:rsidRPr="00A10F44" w:rsidRDefault="00A10F44" w:rsidP="0064502A">
            <w:pPr>
              <w:spacing w:after="0" w:line="271" w:lineRule="auto"/>
              <w:jc w:val="right"/>
              <w:rPr>
                <w:rFonts w:asciiTheme="minorHAnsi" w:hAnsiTheme="minorHAnsi" w:cstheme="minorHAnsi"/>
                <w:sz w:val="16"/>
                <w:szCs w:val="16"/>
              </w:rPr>
            </w:pPr>
            <w:r w:rsidRPr="00A10F44">
              <w:rPr>
                <w:rFonts w:asciiTheme="minorHAnsi" w:hAnsiTheme="minorHAnsi" w:cstheme="minorHAnsi"/>
                <w:sz w:val="16"/>
                <w:szCs w:val="16"/>
              </w:rPr>
              <w:t>97.8%</w:t>
            </w:r>
          </w:p>
        </w:tc>
      </w:tr>
      <w:tr w:rsidR="00A10F44" w14:paraId="142A4B31" w14:textId="77777777" w:rsidTr="00A10F44">
        <w:tc>
          <w:tcPr>
            <w:tcW w:w="817" w:type="dxa"/>
            <w:tcBorders>
              <w:top w:val="single" w:sz="4" w:space="0" w:color="000000"/>
              <w:left w:val="single" w:sz="4" w:space="0" w:color="000000"/>
              <w:bottom w:val="single" w:sz="4" w:space="0" w:color="000000"/>
              <w:right w:val="single" w:sz="4" w:space="0" w:color="000000"/>
            </w:tcBorders>
            <w:shd w:val="clear" w:color="auto" w:fill="auto"/>
          </w:tcPr>
          <w:p w14:paraId="142A4B2E" w14:textId="77777777" w:rsidR="00A10F44" w:rsidRPr="00A10F44" w:rsidRDefault="00A10F44" w:rsidP="000E08BD">
            <w:pPr>
              <w:spacing w:after="0"/>
              <w:rPr>
                <w:rFonts w:asciiTheme="minorHAnsi" w:hAnsiTheme="minorHAnsi" w:cstheme="minorHAnsi"/>
                <w:sz w:val="16"/>
                <w:szCs w:val="16"/>
                <w:u w:val="single"/>
              </w:rPr>
            </w:pPr>
            <w:r w:rsidRPr="00A10F44">
              <w:rPr>
                <w:rFonts w:asciiTheme="minorHAnsi" w:hAnsiTheme="minorHAnsi" w:cstheme="minorHAnsi"/>
                <w:sz w:val="16"/>
                <w:szCs w:val="16"/>
                <w:u w:val="single"/>
              </w:rPr>
              <w:t>GOV-3</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142A4B2F" w14:textId="77777777" w:rsidR="00A10F44" w:rsidRPr="00A10F44" w:rsidRDefault="0064502A" w:rsidP="000E08BD">
            <w:pPr>
              <w:spacing w:after="0" w:line="271" w:lineRule="auto"/>
              <w:rPr>
                <w:rFonts w:asciiTheme="minorHAnsi" w:hAnsiTheme="minorHAnsi" w:cstheme="minorHAnsi"/>
                <w:sz w:val="16"/>
                <w:szCs w:val="16"/>
              </w:rPr>
            </w:pPr>
            <w:r>
              <w:rPr>
                <w:rFonts w:asciiTheme="minorHAnsi" w:hAnsiTheme="minorHAnsi" w:cstheme="minorHAnsi"/>
                <w:sz w:val="16"/>
                <w:szCs w:val="16"/>
              </w:rPr>
              <w:t>Relating to the knowledge and skills of the entity’s security staff</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42A4B30" w14:textId="77777777" w:rsidR="00A10F44" w:rsidRPr="00A10F44" w:rsidRDefault="00A10F44" w:rsidP="0064502A">
            <w:pPr>
              <w:spacing w:after="0" w:line="271" w:lineRule="auto"/>
              <w:jc w:val="right"/>
              <w:rPr>
                <w:rFonts w:asciiTheme="minorHAnsi" w:hAnsiTheme="minorHAnsi" w:cstheme="minorHAnsi"/>
                <w:sz w:val="16"/>
                <w:szCs w:val="16"/>
              </w:rPr>
            </w:pPr>
            <w:r w:rsidRPr="00A10F44">
              <w:rPr>
                <w:rFonts w:asciiTheme="minorHAnsi" w:hAnsiTheme="minorHAnsi" w:cstheme="minorHAnsi"/>
                <w:sz w:val="16"/>
                <w:szCs w:val="16"/>
              </w:rPr>
              <w:t>96.8%</w:t>
            </w:r>
          </w:p>
        </w:tc>
      </w:tr>
      <w:tr w:rsidR="00A10F44" w14:paraId="142A4B35" w14:textId="77777777" w:rsidTr="00A10F44">
        <w:tc>
          <w:tcPr>
            <w:tcW w:w="817" w:type="dxa"/>
            <w:tcBorders>
              <w:top w:val="single" w:sz="4" w:space="0" w:color="000000"/>
              <w:left w:val="single" w:sz="4" w:space="0" w:color="000000"/>
              <w:bottom w:val="single" w:sz="4" w:space="0" w:color="000000"/>
              <w:right w:val="single" w:sz="4" w:space="0" w:color="000000"/>
            </w:tcBorders>
            <w:shd w:val="clear" w:color="auto" w:fill="auto"/>
          </w:tcPr>
          <w:p w14:paraId="142A4B32" w14:textId="77777777" w:rsidR="00A10F44" w:rsidRPr="00A10F44" w:rsidRDefault="00A10F44" w:rsidP="000E08BD">
            <w:pPr>
              <w:spacing w:after="0"/>
              <w:rPr>
                <w:rFonts w:asciiTheme="minorHAnsi" w:hAnsiTheme="minorHAnsi" w:cstheme="minorHAnsi"/>
                <w:sz w:val="16"/>
                <w:szCs w:val="16"/>
                <w:u w:val="single"/>
              </w:rPr>
            </w:pPr>
            <w:r w:rsidRPr="00A10F44">
              <w:rPr>
                <w:rFonts w:asciiTheme="minorHAnsi" w:hAnsiTheme="minorHAnsi" w:cstheme="minorHAnsi"/>
                <w:sz w:val="16"/>
                <w:szCs w:val="16"/>
                <w:u w:val="single"/>
              </w:rPr>
              <w:t>GOV-7</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142A4B33" w14:textId="77777777" w:rsidR="00A10F44" w:rsidRPr="00A10F44" w:rsidRDefault="0064502A" w:rsidP="000E08BD">
            <w:pPr>
              <w:spacing w:after="0" w:line="271" w:lineRule="auto"/>
              <w:rPr>
                <w:rFonts w:asciiTheme="minorHAnsi" w:hAnsiTheme="minorHAnsi" w:cstheme="minorHAnsi"/>
                <w:sz w:val="16"/>
                <w:szCs w:val="16"/>
              </w:rPr>
            </w:pPr>
            <w:r>
              <w:rPr>
                <w:rFonts w:asciiTheme="minorHAnsi" w:hAnsiTheme="minorHAnsi" w:cstheme="minorHAnsi"/>
                <w:sz w:val="16"/>
                <w:szCs w:val="16"/>
              </w:rPr>
              <w:t>Relating to annual PSPF compliance reporting</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42A4B34" w14:textId="77777777" w:rsidR="00A10F44" w:rsidRPr="00A10F44" w:rsidRDefault="0064502A" w:rsidP="0064502A">
            <w:pPr>
              <w:spacing w:after="0" w:line="271" w:lineRule="auto"/>
              <w:jc w:val="right"/>
              <w:rPr>
                <w:rFonts w:asciiTheme="minorHAnsi" w:hAnsiTheme="minorHAnsi" w:cstheme="minorHAnsi"/>
                <w:sz w:val="16"/>
                <w:szCs w:val="16"/>
              </w:rPr>
            </w:pPr>
            <w:r>
              <w:rPr>
                <w:rFonts w:asciiTheme="minorHAnsi" w:hAnsiTheme="minorHAnsi" w:cstheme="minorHAnsi"/>
                <w:sz w:val="16"/>
                <w:szCs w:val="16"/>
              </w:rPr>
              <w:t>100.0</w:t>
            </w:r>
            <w:r w:rsidR="00A10F44" w:rsidRPr="00A10F44">
              <w:rPr>
                <w:rFonts w:asciiTheme="minorHAnsi" w:hAnsiTheme="minorHAnsi" w:cstheme="minorHAnsi"/>
                <w:sz w:val="16"/>
                <w:szCs w:val="16"/>
              </w:rPr>
              <w:t>%</w:t>
            </w:r>
          </w:p>
        </w:tc>
      </w:tr>
      <w:tr w:rsidR="00A10F44" w14:paraId="142A4B39" w14:textId="77777777" w:rsidTr="00A10F44">
        <w:tc>
          <w:tcPr>
            <w:tcW w:w="817" w:type="dxa"/>
            <w:tcBorders>
              <w:top w:val="single" w:sz="4" w:space="0" w:color="000000"/>
              <w:left w:val="single" w:sz="4" w:space="0" w:color="000000"/>
              <w:bottom w:val="single" w:sz="4" w:space="0" w:color="000000"/>
              <w:right w:val="single" w:sz="4" w:space="0" w:color="000000"/>
            </w:tcBorders>
            <w:shd w:val="clear" w:color="auto" w:fill="auto"/>
          </w:tcPr>
          <w:p w14:paraId="142A4B36" w14:textId="77777777" w:rsidR="00A10F44" w:rsidRPr="00A10F44" w:rsidRDefault="00A10F44" w:rsidP="000E08BD">
            <w:pPr>
              <w:spacing w:after="0"/>
              <w:rPr>
                <w:rFonts w:asciiTheme="minorHAnsi" w:hAnsiTheme="minorHAnsi" w:cstheme="minorHAnsi"/>
                <w:sz w:val="16"/>
                <w:szCs w:val="16"/>
                <w:u w:val="single"/>
              </w:rPr>
            </w:pPr>
            <w:r w:rsidRPr="00A10F44">
              <w:rPr>
                <w:rFonts w:asciiTheme="minorHAnsi" w:hAnsiTheme="minorHAnsi" w:cstheme="minorHAnsi"/>
                <w:sz w:val="16"/>
                <w:szCs w:val="16"/>
                <w:u w:val="single"/>
              </w:rPr>
              <w:t>GOV-9</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142A4B37" w14:textId="77777777" w:rsidR="00A10F44" w:rsidRPr="00A10F44" w:rsidRDefault="0064502A" w:rsidP="00C45EA8">
            <w:pPr>
              <w:spacing w:after="0" w:line="271" w:lineRule="auto"/>
              <w:rPr>
                <w:rFonts w:asciiTheme="minorHAnsi" w:hAnsiTheme="minorHAnsi" w:cstheme="minorHAnsi"/>
                <w:sz w:val="16"/>
                <w:szCs w:val="16"/>
              </w:rPr>
            </w:pPr>
            <w:r>
              <w:rPr>
                <w:rFonts w:asciiTheme="minorHAnsi" w:hAnsiTheme="minorHAnsi" w:cstheme="minorHAnsi"/>
                <w:sz w:val="16"/>
                <w:szCs w:val="16"/>
              </w:rPr>
              <w:t xml:space="preserve">Relating to giving employees and contractors guidance </w:t>
            </w:r>
            <w:r w:rsidR="00C45EA8">
              <w:rPr>
                <w:rFonts w:asciiTheme="minorHAnsi" w:hAnsiTheme="minorHAnsi" w:cstheme="minorHAnsi"/>
                <w:sz w:val="16"/>
                <w:szCs w:val="16"/>
              </w:rPr>
              <w:t xml:space="preserve">on </w:t>
            </w:r>
            <w:r>
              <w:rPr>
                <w:rFonts w:asciiTheme="minorHAnsi" w:hAnsiTheme="minorHAnsi" w:cstheme="minorHAnsi"/>
                <w:sz w:val="16"/>
                <w:szCs w:val="16"/>
              </w:rPr>
              <w:t>key security-related legislative provisions</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42A4B38" w14:textId="77777777" w:rsidR="00A10F44" w:rsidRPr="00A10F44" w:rsidRDefault="00A10F44" w:rsidP="0064502A">
            <w:pPr>
              <w:spacing w:after="0" w:line="271" w:lineRule="auto"/>
              <w:jc w:val="right"/>
              <w:rPr>
                <w:rFonts w:asciiTheme="minorHAnsi" w:hAnsiTheme="minorHAnsi" w:cstheme="minorHAnsi"/>
                <w:sz w:val="16"/>
                <w:szCs w:val="16"/>
              </w:rPr>
            </w:pPr>
            <w:r w:rsidRPr="00A10F44">
              <w:rPr>
                <w:rFonts w:asciiTheme="minorHAnsi" w:hAnsiTheme="minorHAnsi" w:cstheme="minorHAnsi"/>
                <w:sz w:val="16"/>
                <w:szCs w:val="16"/>
              </w:rPr>
              <w:t>96.8%</w:t>
            </w:r>
          </w:p>
        </w:tc>
      </w:tr>
      <w:tr w:rsidR="00A10F44" w14:paraId="142A4B3D" w14:textId="77777777" w:rsidTr="00A10F44">
        <w:tc>
          <w:tcPr>
            <w:tcW w:w="817" w:type="dxa"/>
            <w:tcBorders>
              <w:top w:val="single" w:sz="4" w:space="0" w:color="000000"/>
              <w:left w:val="single" w:sz="4" w:space="0" w:color="000000"/>
              <w:bottom w:val="single" w:sz="4" w:space="0" w:color="000000"/>
              <w:right w:val="single" w:sz="4" w:space="0" w:color="000000"/>
            </w:tcBorders>
            <w:shd w:val="clear" w:color="auto" w:fill="auto"/>
          </w:tcPr>
          <w:p w14:paraId="142A4B3A" w14:textId="77777777" w:rsidR="00A10F44" w:rsidRPr="00A10F44" w:rsidRDefault="00A10F44" w:rsidP="00A10F44">
            <w:pPr>
              <w:spacing w:after="0"/>
              <w:rPr>
                <w:rFonts w:asciiTheme="minorHAnsi" w:hAnsiTheme="minorHAnsi" w:cstheme="minorHAnsi"/>
                <w:sz w:val="16"/>
                <w:szCs w:val="16"/>
                <w:u w:val="single"/>
              </w:rPr>
            </w:pPr>
            <w:r w:rsidRPr="00A10F44">
              <w:rPr>
                <w:rFonts w:asciiTheme="minorHAnsi" w:hAnsiTheme="minorHAnsi" w:cstheme="minorHAnsi"/>
                <w:sz w:val="16"/>
                <w:szCs w:val="16"/>
                <w:u w:val="single"/>
              </w:rPr>
              <w:t>GOV-13</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142A4B3B" w14:textId="77777777" w:rsidR="00A10F44" w:rsidRPr="00A10F44" w:rsidRDefault="0064502A" w:rsidP="000E08BD">
            <w:pPr>
              <w:spacing w:after="0" w:line="271" w:lineRule="auto"/>
              <w:rPr>
                <w:rFonts w:asciiTheme="minorHAnsi" w:hAnsiTheme="minorHAnsi" w:cstheme="minorHAnsi"/>
                <w:sz w:val="16"/>
                <w:szCs w:val="16"/>
              </w:rPr>
            </w:pPr>
            <w:r>
              <w:rPr>
                <w:rFonts w:asciiTheme="minorHAnsi" w:hAnsiTheme="minorHAnsi" w:cstheme="minorHAnsi"/>
                <w:sz w:val="16"/>
                <w:szCs w:val="16"/>
              </w:rPr>
              <w:t xml:space="preserve">Relating to </w:t>
            </w:r>
            <w:r w:rsidR="00A17D65">
              <w:rPr>
                <w:rFonts w:asciiTheme="minorHAnsi" w:hAnsiTheme="minorHAnsi" w:cstheme="minorHAnsi"/>
                <w:sz w:val="16"/>
                <w:szCs w:val="16"/>
              </w:rPr>
              <w:t>fraud control</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42A4B3C" w14:textId="77777777" w:rsidR="00A10F44" w:rsidRPr="00A10F44" w:rsidRDefault="00A10F44" w:rsidP="0064502A">
            <w:pPr>
              <w:spacing w:after="0" w:line="271" w:lineRule="auto"/>
              <w:jc w:val="right"/>
              <w:rPr>
                <w:rFonts w:asciiTheme="minorHAnsi" w:hAnsiTheme="minorHAnsi" w:cstheme="minorHAnsi"/>
                <w:sz w:val="16"/>
                <w:szCs w:val="16"/>
              </w:rPr>
            </w:pPr>
            <w:r w:rsidRPr="00A10F44">
              <w:rPr>
                <w:rFonts w:asciiTheme="minorHAnsi" w:hAnsiTheme="minorHAnsi" w:cstheme="minorHAnsi"/>
                <w:sz w:val="16"/>
                <w:szCs w:val="16"/>
              </w:rPr>
              <w:t>98.9%</w:t>
            </w:r>
          </w:p>
        </w:tc>
      </w:tr>
    </w:tbl>
    <w:p w14:paraId="142A4B3E" w14:textId="77777777" w:rsidR="007D50BC" w:rsidRDefault="007D50BC" w:rsidP="007D50BC">
      <w:pPr>
        <w:pStyle w:val="Heading3"/>
      </w:pPr>
      <w:r>
        <w:t xml:space="preserve">Information </w:t>
      </w:r>
      <w:r w:rsidR="00EA080A">
        <w:t>s</w:t>
      </w:r>
      <w:r>
        <w:t>ecurity</w:t>
      </w:r>
    </w:p>
    <w:p w14:paraId="142A4B3F" w14:textId="77777777" w:rsidR="007D50BC" w:rsidRPr="00506105" w:rsidRDefault="007D50BC" w:rsidP="007D50BC">
      <w:pPr>
        <w:rPr>
          <w:rFonts w:eastAsia="Times New Roman"/>
          <w:color w:val="000000"/>
          <w:lang w:eastAsia="en-AU"/>
        </w:rPr>
      </w:pPr>
      <w:r w:rsidRPr="00506105">
        <w:rPr>
          <w:rFonts w:eastAsia="Times New Roman"/>
          <w:color w:val="000000"/>
          <w:lang w:eastAsia="en-AU"/>
        </w:rPr>
        <w:t xml:space="preserve">Information security is dynamic </w:t>
      </w:r>
      <w:r w:rsidR="00D26221">
        <w:rPr>
          <w:rFonts w:eastAsia="Times New Roman"/>
          <w:color w:val="000000"/>
          <w:lang w:eastAsia="en-AU"/>
        </w:rPr>
        <w:t>with</w:t>
      </w:r>
      <w:r w:rsidRPr="00506105">
        <w:rPr>
          <w:rFonts w:eastAsia="Times New Roman"/>
          <w:color w:val="000000"/>
          <w:lang w:eastAsia="en-AU"/>
        </w:rPr>
        <w:t xml:space="preserve"> challenges posed by continuous technological advancement. </w:t>
      </w:r>
      <w:r w:rsidR="00466926">
        <w:rPr>
          <w:rFonts w:eastAsia="Times New Roman"/>
          <w:color w:val="000000"/>
          <w:lang w:eastAsia="en-AU"/>
        </w:rPr>
        <w:t>I</w:t>
      </w:r>
      <w:r w:rsidRPr="00506105">
        <w:rPr>
          <w:rFonts w:eastAsia="Times New Roman"/>
          <w:color w:val="000000"/>
          <w:lang w:eastAsia="en-AU"/>
        </w:rPr>
        <w:t xml:space="preserve">nformation security arrangements are an important element of an entity’s effective protective security regime. </w:t>
      </w:r>
    </w:p>
    <w:p w14:paraId="142A4B40" w14:textId="77777777" w:rsidR="00466926" w:rsidRDefault="007D50BC" w:rsidP="00466926">
      <w:pPr>
        <w:rPr>
          <w:rFonts w:eastAsia="Times New Roman"/>
          <w:color w:val="000000"/>
          <w:lang w:eastAsia="en-AU"/>
        </w:rPr>
      </w:pPr>
      <w:r>
        <w:rPr>
          <w:rFonts w:eastAsia="Times New Roman"/>
          <w:color w:val="000000"/>
          <w:lang w:eastAsia="en-AU"/>
        </w:rPr>
        <w:t xml:space="preserve">Compliance with information security requirements has been an area of ongoing concern. </w:t>
      </w:r>
      <w:r w:rsidR="00466926">
        <w:rPr>
          <w:rFonts w:eastAsia="Times New Roman"/>
          <w:color w:val="000000"/>
          <w:lang w:eastAsia="en-AU"/>
        </w:rPr>
        <w:t>Despite increased awareness of cyber security risks, and a concerted effort over the year to promote risk mitigation measures,</w:t>
      </w:r>
      <w:r w:rsidR="00466926">
        <w:rPr>
          <w:rStyle w:val="FootnoteReference"/>
          <w:rFonts w:eastAsia="Times New Roman"/>
          <w:color w:val="000000"/>
          <w:lang w:eastAsia="en-AU"/>
        </w:rPr>
        <w:footnoteReference w:id="1"/>
      </w:r>
      <w:r w:rsidR="00466926">
        <w:rPr>
          <w:rFonts w:eastAsia="Times New Roman"/>
          <w:color w:val="000000"/>
          <w:lang w:eastAsia="en-AU"/>
        </w:rPr>
        <w:t xml:space="preserve"> entity compliance with information security requirements did not see significant change. In 2016</w:t>
      </w:r>
      <w:r w:rsidR="00D448D5">
        <w:t>–</w:t>
      </w:r>
      <w:r w:rsidR="00466926">
        <w:rPr>
          <w:rFonts w:eastAsia="Times New Roman"/>
          <w:color w:val="000000"/>
          <w:lang w:eastAsia="en-AU"/>
        </w:rPr>
        <w:t>17, average compliance remained stable at 6.0 out of 7 requirements.</w:t>
      </w:r>
    </w:p>
    <w:p w14:paraId="142A4B41" w14:textId="77777777" w:rsidR="007D50BC" w:rsidRPr="00B56219" w:rsidRDefault="007D50BC" w:rsidP="007D50BC">
      <w:pPr>
        <w:pStyle w:val="Caption"/>
        <w:keepNext/>
        <w:shd w:val="clear" w:color="auto" w:fill="FFFFFF" w:themeFill="background1"/>
      </w:pPr>
      <w:r>
        <w:t xml:space="preserve">Figure </w:t>
      </w:r>
      <w:fldSimple w:instr=" SEQ Figure \* ARABIC ">
        <w:r w:rsidR="00F17D4F">
          <w:rPr>
            <w:noProof/>
          </w:rPr>
          <w:t>5</w:t>
        </w:r>
      </w:fldSimple>
      <w:r>
        <w:t xml:space="preserve"> </w:t>
      </w:r>
      <w:r>
        <w:rPr>
          <w:lang w:val="en-US"/>
        </w:rPr>
        <w:t>Proportion of NCCEs compliant with INFOSEC requirements</w:t>
      </w:r>
    </w:p>
    <w:p w14:paraId="142A4B42" w14:textId="77777777" w:rsidR="00E6324A" w:rsidRDefault="00E6324A" w:rsidP="00466926">
      <w:pPr>
        <w:pStyle w:val="Caption"/>
        <w:shd w:val="clear" w:color="auto" w:fill="FFFFFF" w:themeFill="background1"/>
        <w:rPr>
          <w:rFonts w:eastAsia="Times New Roman"/>
          <w:color w:val="000000"/>
          <w:lang w:eastAsia="en-AU"/>
        </w:rPr>
      </w:pPr>
      <w:r>
        <w:rPr>
          <w:noProof/>
          <w:lang w:eastAsia="en-AU"/>
        </w:rPr>
        <w:drawing>
          <wp:inline distT="0" distB="0" distL="0" distR="0" wp14:anchorId="142A4CE5" wp14:editId="142A4CE6">
            <wp:extent cx="3238500" cy="2076450"/>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42A4B43" w14:textId="77777777" w:rsidR="007D50BC" w:rsidRDefault="007D50BC" w:rsidP="007D50BC">
      <w:pPr>
        <w:pStyle w:val="Heading3"/>
      </w:pPr>
      <w:r>
        <w:t xml:space="preserve">Physical </w:t>
      </w:r>
      <w:r w:rsidR="00EA080A">
        <w:t>s</w:t>
      </w:r>
      <w:r>
        <w:t>ecurity</w:t>
      </w:r>
    </w:p>
    <w:p w14:paraId="142A4B44" w14:textId="77777777" w:rsidR="007D50BC" w:rsidRDefault="007D50BC" w:rsidP="007D50BC">
      <w:r w:rsidRPr="007D1E29">
        <w:t>NCCEs continued to report high</w:t>
      </w:r>
      <w:r w:rsidR="003D0A6B">
        <w:t>-</w:t>
      </w:r>
      <w:r w:rsidRPr="007D1E29">
        <w:t>level compliance against the PSPF’s physical security requirements</w:t>
      </w:r>
      <w:r>
        <w:t>. On average NCCEs complied with 6.5 out of 7 requirements, broadly in line with the 2015</w:t>
      </w:r>
      <w:r w:rsidR="00D448D5">
        <w:t>–</w:t>
      </w:r>
      <w:r>
        <w:t>16 compliance rate of 6.6</w:t>
      </w:r>
      <w:r w:rsidRPr="007D1E29">
        <w:t xml:space="preserve">. </w:t>
      </w:r>
    </w:p>
    <w:p w14:paraId="142A4B45" w14:textId="77777777" w:rsidR="007D50BC" w:rsidRPr="007D1E29" w:rsidRDefault="007D50BC" w:rsidP="007D50BC">
      <w:pPr>
        <w:spacing w:after="0"/>
      </w:pPr>
      <w:r w:rsidRPr="007D1E29">
        <w:t>Of particular note:</w:t>
      </w:r>
    </w:p>
    <w:p w14:paraId="142A4B46" w14:textId="77777777" w:rsidR="007D50BC" w:rsidRDefault="007D50BC" w:rsidP="007D50BC">
      <w:pPr>
        <w:pStyle w:val="ListParagraph"/>
        <w:numPr>
          <w:ilvl w:val="0"/>
          <w:numId w:val="43"/>
        </w:numPr>
        <w:rPr>
          <w:color w:val="000000"/>
        </w:rPr>
      </w:pPr>
      <w:r>
        <w:rPr>
          <w:color w:val="000000"/>
        </w:rPr>
        <w:t>all entit</w:t>
      </w:r>
      <w:r w:rsidR="00466926">
        <w:rPr>
          <w:color w:val="000000"/>
        </w:rPr>
        <w:t>ies</w:t>
      </w:r>
      <w:r>
        <w:rPr>
          <w:color w:val="000000"/>
        </w:rPr>
        <w:t xml:space="preserve"> </w:t>
      </w:r>
      <w:r w:rsidRPr="007D1E29">
        <w:rPr>
          <w:color w:val="000000"/>
        </w:rPr>
        <w:t>re</w:t>
      </w:r>
      <w:r>
        <w:rPr>
          <w:color w:val="000000"/>
        </w:rPr>
        <w:t>ported full compliance with the PHYSEC</w:t>
      </w:r>
      <w:r w:rsidR="00466926">
        <w:rPr>
          <w:color w:val="000000"/>
        </w:rPr>
        <w:t> </w:t>
      </w:r>
      <w:r>
        <w:rPr>
          <w:color w:val="000000"/>
        </w:rPr>
        <w:t>4 requirement</w:t>
      </w:r>
      <w:r w:rsidR="003D0A6B">
        <w:rPr>
          <w:color w:val="000000"/>
        </w:rPr>
        <w:t xml:space="preserve"> to </w:t>
      </w:r>
      <w:r w:rsidR="003D0A6B" w:rsidRPr="0071209E">
        <w:t>ensure that physical security measure</w:t>
      </w:r>
      <w:r w:rsidR="003D0A6B">
        <w:t>s</w:t>
      </w:r>
      <w:r w:rsidR="003D0A6B" w:rsidRPr="0071209E">
        <w:t xml:space="preserve"> do not breach relevant employer occupational health and safety obligations</w:t>
      </w:r>
      <w:r>
        <w:rPr>
          <w:color w:val="000000"/>
        </w:rPr>
        <w:t>, and</w:t>
      </w:r>
    </w:p>
    <w:p w14:paraId="142A4B47" w14:textId="77777777" w:rsidR="007D50BC" w:rsidRPr="00D5520D" w:rsidRDefault="00E6324A" w:rsidP="007D50BC">
      <w:pPr>
        <w:pStyle w:val="ListParagraph"/>
        <w:numPr>
          <w:ilvl w:val="0"/>
          <w:numId w:val="43"/>
        </w:numPr>
        <w:rPr>
          <w:color w:val="000000"/>
        </w:rPr>
      </w:pPr>
      <w:r>
        <w:rPr>
          <w:color w:val="000000"/>
        </w:rPr>
        <w:t xml:space="preserve">almost </w:t>
      </w:r>
      <w:r w:rsidR="007D50BC" w:rsidRPr="00D5520D">
        <w:rPr>
          <w:color w:val="000000"/>
        </w:rPr>
        <w:t>all entit</w:t>
      </w:r>
      <w:r>
        <w:rPr>
          <w:color w:val="000000"/>
        </w:rPr>
        <w:t>ies</w:t>
      </w:r>
      <w:r w:rsidR="007D50BC" w:rsidRPr="00D5520D">
        <w:rPr>
          <w:color w:val="000000"/>
        </w:rPr>
        <w:t xml:space="preserve"> reported full compliance with the PHYSEC 5 requirement</w:t>
      </w:r>
      <w:r w:rsidR="003D0A6B">
        <w:rPr>
          <w:color w:val="000000"/>
        </w:rPr>
        <w:t xml:space="preserve"> to </w:t>
      </w:r>
      <w:r w:rsidR="003D0A6B" w:rsidRPr="0071209E">
        <w:t>show a duty of care for the physical safety of members of the public interacting directly with the Australian Government</w:t>
      </w:r>
      <w:r w:rsidR="007D50BC" w:rsidRPr="00D5520D">
        <w:rPr>
          <w:color w:val="000000"/>
        </w:rPr>
        <w:t xml:space="preserve">. </w:t>
      </w:r>
    </w:p>
    <w:p w14:paraId="142A4B48" w14:textId="77777777" w:rsidR="00FE13BB" w:rsidRPr="00FE13BB" w:rsidRDefault="00C45EA8" w:rsidP="00FE13BB">
      <w:pPr>
        <w:rPr>
          <w:color w:val="000000"/>
        </w:rPr>
      </w:pPr>
      <w:r>
        <w:rPr>
          <w:color w:val="000000"/>
        </w:rPr>
        <w:t>A</w:t>
      </w:r>
      <w:r w:rsidR="00FE13BB" w:rsidRPr="00FE13BB">
        <w:rPr>
          <w:color w:val="000000"/>
        </w:rPr>
        <w:t xml:space="preserve"> 5.</w:t>
      </w:r>
      <w:r w:rsidR="00E6324A">
        <w:rPr>
          <w:color w:val="000000"/>
        </w:rPr>
        <w:t>4</w:t>
      </w:r>
      <w:r w:rsidR="00FE13BB" w:rsidRPr="00FE13BB">
        <w:rPr>
          <w:color w:val="000000"/>
        </w:rPr>
        <w:t xml:space="preserve"> percentage point decline in </w:t>
      </w:r>
      <w:r w:rsidR="00FE13BB">
        <w:rPr>
          <w:color w:val="000000"/>
        </w:rPr>
        <w:t xml:space="preserve">compliance </w:t>
      </w:r>
      <w:r w:rsidR="00E01600">
        <w:rPr>
          <w:color w:val="000000"/>
        </w:rPr>
        <w:t>with</w:t>
      </w:r>
      <w:r w:rsidR="00FE13BB">
        <w:rPr>
          <w:color w:val="000000"/>
        </w:rPr>
        <w:t xml:space="preserve"> the PHYSEC 7 requirement</w:t>
      </w:r>
      <w:r w:rsidR="00CC1F0A" w:rsidRPr="00CC1F0A">
        <w:rPr>
          <w:color w:val="000000"/>
        </w:rPr>
        <w:t xml:space="preserve"> </w:t>
      </w:r>
      <w:r w:rsidR="00CC1F0A">
        <w:rPr>
          <w:color w:val="000000"/>
        </w:rPr>
        <w:t>was recorded</w:t>
      </w:r>
      <w:r w:rsidR="00FE13BB">
        <w:rPr>
          <w:color w:val="000000"/>
        </w:rPr>
        <w:t xml:space="preserve"> </w:t>
      </w:r>
      <w:r w:rsidR="001A3B10">
        <w:rPr>
          <w:color w:val="000000"/>
        </w:rPr>
        <w:t>such that t</w:t>
      </w:r>
      <w:r w:rsidR="00FE13BB">
        <w:rPr>
          <w:color w:val="000000"/>
        </w:rPr>
        <w:t xml:space="preserve">en NCCEs </w:t>
      </w:r>
      <w:r>
        <w:rPr>
          <w:color w:val="000000"/>
        </w:rPr>
        <w:t>reported</w:t>
      </w:r>
      <w:r w:rsidR="00FE13BB">
        <w:rPr>
          <w:color w:val="000000"/>
        </w:rPr>
        <w:t xml:space="preserve"> </w:t>
      </w:r>
      <w:r w:rsidR="00FE13BB" w:rsidRPr="00FE13BB">
        <w:rPr>
          <w:color w:val="000000"/>
        </w:rPr>
        <w:t xml:space="preserve">they </w:t>
      </w:r>
      <w:r w:rsidR="00FE13BB">
        <w:rPr>
          <w:color w:val="000000"/>
        </w:rPr>
        <w:t>did not have</w:t>
      </w:r>
      <w:r w:rsidR="00FE13BB" w:rsidRPr="00FE13BB">
        <w:rPr>
          <w:color w:val="000000"/>
        </w:rPr>
        <w:t xml:space="preserve"> up-to-date plans and</w:t>
      </w:r>
      <w:r w:rsidR="00FE13BB">
        <w:rPr>
          <w:color w:val="000000"/>
        </w:rPr>
        <w:t>/or</w:t>
      </w:r>
      <w:r w:rsidR="00FE13BB" w:rsidRPr="00FE13BB">
        <w:rPr>
          <w:color w:val="000000"/>
        </w:rPr>
        <w:t xml:space="preserve"> procedures </w:t>
      </w:r>
      <w:r w:rsidR="00FE13BB">
        <w:rPr>
          <w:color w:val="000000"/>
        </w:rPr>
        <w:t xml:space="preserve">in place </w:t>
      </w:r>
      <w:r w:rsidR="00FE13BB" w:rsidRPr="00FE13BB">
        <w:rPr>
          <w:color w:val="000000"/>
        </w:rPr>
        <w:t xml:space="preserve">to respond to heightened security levels in case of </w:t>
      </w:r>
      <w:r w:rsidR="00E01600">
        <w:rPr>
          <w:color w:val="000000"/>
        </w:rPr>
        <w:t xml:space="preserve">an </w:t>
      </w:r>
      <w:r w:rsidR="00FE13BB" w:rsidRPr="00FE13BB">
        <w:rPr>
          <w:color w:val="000000"/>
        </w:rPr>
        <w:t xml:space="preserve">emergency </w:t>
      </w:r>
      <w:r w:rsidR="00E01600">
        <w:rPr>
          <w:color w:val="000000"/>
        </w:rPr>
        <w:t>or</w:t>
      </w:r>
      <w:r w:rsidR="00FE13BB" w:rsidRPr="00FE13BB">
        <w:rPr>
          <w:color w:val="000000"/>
        </w:rPr>
        <w:t xml:space="preserve"> increased threat. </w:t>
      </w:r>
      <w:r w:rsidR="00DB4170">
        <w:rPr>
          <w:color w:val="000000"/>
        </w:rPr>
        <w:t>Most of these entities reported they expect this matter to be resolved in 2017</w:t>
      </w:r>
      <w:r w:rsidR="00D448D5">
        <w:t>–</w:t>
      </w:r>
      <w:r w:rsidR="00DB4170">
        <w:rPr>
          <w:color w:val="000000"/>
        </w:rPr>
        <w:t>18.</w:t>
      </w:r>
    </w:p>
    <w:p w14:paraId="142A4B49" w14:textId="77777777" w:rsidR="004D4EE9" w:rsidRPr="00970EE0" w:rsidRDefault="004D4EE9" w:rsidP="004D4EE9">
      <w:pPr>
        <w:pStyle w:val="Heading3"/>
      </w:pPr>
      <w:r>
        <w:t xml:space="preserve">Personnel </w:t>
      </w:r>
      <w:r w:rsidR="00EA080A">
        <w:t>s</w:t>
      </w:r>
      <w:r>
        <w:t>ecurity</w:t>
      </w:r>
    </w:p>
    <w:p w14:paraId="142A4B4A" w14:textId="77777777" w:rsidR="00742C29" w:rsidRDefault="00C45EA8" w:rsidP="00FA2450">
      <w:pPr>
        <w:rPr>
          <w:color w:val="000000"/>
        </w:rPr>
      </w:pPr>
      <w:r>
        <w:rPr>
          <w:color w:val="000000"/>
        </w:rPr>
        <w:t>In 2016</w:t>
      </w:r>
      <w:r w:rsidR="00D448D5">
        <w:t>–</w:t>
      </w:r>
      <w:r>
        <w:rPr>
          <w:color w:val="000000"/>
        </w:rPr>
        <w:t>17</w:t>
      </w:r>
      <w:r w:rsidR="00742C29">
        <w:rPr>
          <w:color w:val="000000"/>
        </w:rPr>
        <w:t xml:space="preserve">, AGD </w:t>
      </w:r>
      <w:r w:rsidR="009D16D8">
        <w:rPr>
          <w:color w:val="000000"/>
        </w:rPr>
        <w:t>l</w:t>
      </w:r>
      <w:r w:rsidR="00742C29">
        <w:rPr>
          <w:color w:val="000000"/>
        </w:rPr>
        <w:t xml:space="preserve">ed </w:t>
      </w:r>
      <w:r w:rsidR="00742C29" w:rsidRPr="00742C29">
        <w:rPr>
          <w:color w:val="000000"/>
        </w:rPr>
        <w:t xml:space="preserve">outreach activities </w:t>
      </w:r>
      <w:r w:rsidR="00742C29">
        <w:rPr>
          <w:color w:val="000000"/>
        </w:rPr>
        <w:t>on security culture and managing</w:t>
      </w:r>
      <w:r w:rsidR="00742C29" w:rsidRPr="00742C29">
        <w:rPr>
          <w:color w:val="000000"/>
        </w:rPr>
        <w:t xml:space="preserve"> </w:t>
      </w:r>
      <w:r w:rsidR="00742C29">
        <w:rPr>
          <w:color w:val="000000"/>
        </w:rPr>
        <w:t xml:space="preserve">the </w:t>
      </w:r>
      <w:r w:rsidR="00742C29" w:rsidRPr="00742C29">
        <w:rPr>
          <w:color w:val="000000"/>
        </w:rPr>
        <w:t>ongoing suitability</w:t>
      </w:r>
      <w:r w:rsidR="00742C29">
        <w:rPr>
          <w:color w:val="000000"/>
        </w:rPr>
        <w:t xml:space="preserve"> of personnel.</w:t>
      </w:r>
    </w:p>
    <w:p w14:paraId="142A4B4B" w14:textId="77777777" w:rsidR="00742C29" w:rsidRDefault="00BF3BF7" w:rsidP="00FA2450">
      <w:pPr>
        <w:rPr>
          <w:rFonts w:eastAsia="Times New Roman"/>
          <w:color w:val="000000"/>
          <w:lang w:eastAsia="en-AU"/>
        </w:rPr>
      </w:pPr>
      <w:r>
        <w:rPr>
          <w:color w:val="000000"/>
        </w:rPr>
        <w:t>In line with this, t</w:t>
      </w:r>
      <w:r w:rsidR="00742C29">
        <w:rPr>
          <w:color w:val="000000"/>
        </w:rPr>
        <w:t>here was a significant (5.4 percentage point) improvement in entities reporting full compliance with the PER</w:t>
      </w:r>
      <w:r>
        <w:rPr>
          <w:color w:val="000000"/>
        </w:rPr>
        <w:t>SEC2 requirement</w:t>
      </w:r>
      <w:r w:rsidR="00A17D65">
        <w:rPr>
          <w:color w:val="000000"/>
        </w:rPr>
        <w:t xml:space="preserve"> over the year</w:t>
      </w:r>
      <w:r>
        <w:rPr>
          <w:color w:val="000000"/>
        </w:rPr>
        <w:t xml:space="preserve">. Reported compliance </w:t>
      </w:r>
      <w:r w:rsidR="00A17D65">
        <w:rPr>
          <w:color w:val="000000"/>
        </w:rPr>
        <w:t xml:space="preserve">has </w:t>
      </w:r>
      <w:r>
        <w:rPr>
          <w:color w:val="000000"/>
        </w:rPr>
        <w:t xml:space="preserve">increased from </w:t>
      </w:r>
      <w:r w:rsidR="00A17D65">
        <w:rPr>
          <w:color w:val="000000"/>
        </w:rPr>
        <w:t>78.5</w:t>
      </w:r>
      <w:r>
        <w:rPr>
          <w:color w:val="000000"/>
        </w:rPr>
        <w:t>% of N</w:t>
      </w:r>
      <w:r w:rsidR="0066761B">
        <w:rPr>
          <w:color w:val="000000"/>
        </w:rPr>
        <w:t>C</w:t>
      </w:r>
      <w:r>
        <w:rPr>
          <w:color w:val="000000"/>
        </w:rPr>
        <w:t xml:space="preserve">CEs in </w:t>
      </w:r>
      <w:r w:rsidR="00D448D5">
        <w:rPr>
          <w:color w:val="000000"/>
        </w:rPr>
        <w:br/>
      </w:r>
      <w:r w:rsidR="00A17D65">
        <w:rPr>
          <w:color w:val="000000"/>
        </w:rPr>
        <w:t>2014</w:t>
      </w:r>
      <w:r w:rsidR="00D448D5">
        <w:t>–</w:t>
      </w:r>
      <w:r w:rsidR="00A17D65">
        <w:rPr>
          <w:color w:val="000000"/>
        </w:rPr>
        <w:t xml:space="preserve">15 (82.8% in </w:t>
      </w:r>
      <w:r>
        <w:rPr>
          <w:color w:val="000000"/>
        </w:rPr>
        <w:t>2015</w:t>
      </w:r>
      <w:r w:rsidR="00D448D5">
        <w:t>–</w:t>
      </w:r>
      <w:r>
        <w:rPr>
          <w:color w:val="000000"/>
        </w:rPr>
        <w:t>16</w:t>
      </w:r>
      <w:r w:rsidR="00A17D65">
        <w:rPr>
          <w:color w:val="000000"/>
        </w:rPr>
        <w:t xml:space="preserve">) </w:t>
      </w:r>
      <w:r>
        <w:rPr>
          <w:color w:val="000000"/>
        </w:rPr>
        <w:t>to 8</w:t>
      </w:r>
      <w:r w:rsidR="00A17D65">
        <w:rPr>
          <w:color w:val="000000"/>
        </w:rPr>
        <w:t>8</w:t>
      </w:r>
      <w:r>
        <w:rPr>
          <w:color w:val="000000"/>
        </w:rPr>
        <w:t>.2% in 2016</w:t>
      </w:r>
      <w:r w:rsidR="00D448D5">
        <w:t>–</w:t>
      </w:r>
      <w:r>
        <w:rPr>
          <w:color w:val="000000"/>
        </w:rPr>
        <w:t>17.</w:t>
      </w:r>
    </w:p>
    <w:p w14:paraId="142A4B4C" w14:textId="77777777" w:rsidR="00BF3BF7" w:rsidRPr="00027D77" w:rsidRDefault="00BF3BF7" w:rsidP="00BF3BF7">
      <w:pPr>
        <w:pStyle w:val="Quote"/>
      </w:pPr>
      <w:r>
        <w:t>PERSEC2 requires entities</w:t>
      </w:r>
      <w:r w:rsidRPr="00027D77">
        <w:t xml:space="preserve"> </w:t>
      </w:r>
      <w:r>
        <w:t>‘</w:t>
      </w:r>
      <w:r w:rsidRPr="00BF3BF7">
        <w:rPr>
          <w:rFonts w:eastAsia="Times New Roman"/>
          <w:lang w:eastAsia="en-AU"/>
        </w:rPr>
        <w:t>have policies and procedures to assess and manage the ongoing suitability for employment of their personnel</w:t>
      </w:r>
      <w:r>
        <w:t>’</w:t>
      </w:r>
      <w:r w:rsidRPr="00027D77">
        <w:t>.</w:t>
      </w:r>
    </w:p>
    <w:p w14:paraId="142A4B4D" w14:textId="77777777" w:rsidR="00BF3BF7" w:rsidRDefault="003D0A6B" w:rsidP="00FA2450">
      <w:pPr>
        <w:rPr>
          <w:rFonts w:eastAsia="Times New Roman"/>
          <w:color w:val="000000"/>
          <w:lang w:eastAsia="en-AU"/>
        </w:rPr>
      </w:pPr>
      <w:r>
        <w:rPr>
          <w:rFonts w:eastAsia="Times New Roman"/>
          <w:color w:val="000000"/>
          <w:lang w:eastAsia="en-AU"/>
        </w:rPr>
        <w:t>C</w:t>
      </w:r>
      <w:r w:rsidR="00BF3BF7">
        <w:rPr>
          <w:rFonts w:eastAsia="Times New Roman"/>
          <w:color w:val="000000"/>
          <w:lang w:eastAsia="en-AU"/>
        </w:rPr>
        <w:t xml:space="preserve">ompliance against other personnel security requirements did not see significant change. </w:t>
      </w:r>
      <w:r>
        <w:rPr>
          <w:rFonts w:eastAsia="Times New Roman"/>
          <w:color w:val="000000"/>
          <w:lang w:eastAsia="en-AU"/>
        </w:rPr>
        <w:t>A</w:t>
      </w:r>
      <w:r w:rsidR="00BF3BF7">
        <w:rPr>
          <w:rFonts w:eastAsia="Times New Roman"/>
          <w:color w:val="000000"/>
          <w:lang w:eastAsia="en-AU"/>
        </w:rPr>
        <w:t>verage compliance remained stable at 8.3 out of 9 personnel security requirements.</w:t>
      </w:r>
    </w:p>
    <w:p w14:paraId="142A4B4E" w14:textId="77777777" w:rsidR="00BF3BF7" w:rsidRPr="00BF3BF7" w:rsidRDefault="001A3B10" w:rsidP="00BF3BF7">
      <w:pPr>
        <w:pStyle w:val="Heading4"/>
      </w:pPr>
      <w:r>
        <w:t>P</w:t>
      </w:r>
      <w:r w:rsidR="00BF3BF7">
        <w:t xml:space="preserve">ersonnel security </w:t>
      </w:r>
      <w:r>
        <w:t xml:space="preserve">waivers </w:t>
      </w:r>
    </w:p>
    <w:p w14:paraId="142A4B4F" w14:textId="77777777" w:rsidR="00FA2450" w:rsidRDefault="00FA2450" w:rsidP="00FA2450">
      <w:pPr>
        <w:rPr>
          <w:rFonts w:eastAsia="Times New Roman"/>
          <w:color w:val="000000"/>
          <w:lang w:eastAsia="en-AU"/>
        </w:rPr>
      </w:pPr>
      <w:r>
        <w:rPr>
          <w:rFonts w:eastAsia="Times New Roman"/>
          <w:color w:val="000000"/>
          <w:lang w:eastAsia="en-AU"/>
        </w:rPr>
        <w:t>Access to classified resources is subject to</w:t>
      </w:r>
      <w:r w:rsidR="003644CA">
        <w:rPr>
          <w:rFonts w:eastAsia="Times New Roman"/>
          <w:color w:val="000000"/>
          <w:lang w:eastAsia="en-AU"/>
        </w:rPr>
        <w:t xml:space="preserve"> personnel</w:t>
      </w:r>
      <w:r>
        <w:rPr>
          <w:rFonts w:eastAsia="Times New Roman"/>
          <w:color w:val="000000"/>
          <w:lang w:eastAsia="en-AU"/>
        </w:rPr>
        <w:t xml:space="preserve"> </w:t>
      </w:r>
      <w:r w:rsidR="003E35AF">
        <w:rPr>
          <w:rFonts w:eastAsia="Times New Roman"/>
          <w:color w:val="000000"/>
          <w:lang w:eastAsia="en-AU"/>
        </w:rPr>
        <w:t xml:space="preserve">successfully undergoing a vetting process and </w:t>
      </w:r>
      <w:r>
        <w:rPr>
          <w:rFonts w:eastAsia="Times New Roman"/>
          <w:color w:val="000000"/>
          <w:lang w:eastAsia="en-AU"/>
        </w:rPr>
        <w:t xml:space="preserve">holding a valid security clearance. Where clearance </w:t>
      </w:r>
      <w:r w:rsidR="003E35AF">
        <w:rPr>
          <w:rFonts w:eastAsia="Times New Roman"/>
          <w:color w:val="000000"/>
          <w:lang w:eastAsia="en-AU"/>
        </w:rPr>
        <w:t>requirements</w:t>
      </w:r>
      <w:r>
        <w:rPr>
          <w:rFonts w:eastAsia="Times New Roman"/>
          <w:color w:val="000000"/>
          <w:lang w:eastAsia="en-AU"/>
        </w:rPr>
        <w:t xml:space="preserve"> are waived, </w:t>
      </w:r>
      <w:r w:rsidR="00127541">
        <w:rPr>
          <w:rFonts w:eastAsia="Times New Roman"/>
          <w:color w:val="000000"/>
          <w:lang w:eastAsia="en-AU"/>
        </w:rPr>
        <w:t xml:space="preserve">government </w:t>
      </w:r>
      <w:r>
        <w:rPr>
          <w:rFonts w:eastAsia="Times New Roman"/>
          <w:color w:val="000000"/>
          <w:lang w:eastAsia="en-AU"/>
        </w:rPr>
        <w:t>face</w:t>
      </w:r>
      <w:r w:rsidR="004F7DD9">
        <w:rPr>
          <w:rFonts w:eastAsia="Times New Roman"/>
          <w:color w:val="000000"/>
          <w:lang w:eastAsia="en-AU"/>
        </w:rPr>
        <w:t>s</w:t>
      </w:r>
      <w:r>
        <w:rPr>
          <w:rFonts w:eastAsia="Times New Roman"/>
          <w:color w:val="000000"/>
          <w:lang w:eastAsia="en-AU"/>
        </w:rPr>
        <w:t xml:space="preserve"> increased</w:t>
      </w:r>
      <w:r w:rsidRPr="00FA2450">
        <w:rPr>
          <w:rFonts w:eastAsia="Times New Roman"/>
          <w:color w:val="000000"/>
          <w:lang w:eastAsia="en-AU"/>
        </w:rPr>
        <w:t xml:space="preserve"> </w:t>
      </w:r>
      <w:r w:rsidR="000301A0" w:rsidRPr="000301A0">
        <w:rPr>
          <w:rFonts w:eastAsiaTheme="minorHAnsi" w:cs="Calibri"/>
          <w:color w:val="000000"/>
        </w:rPr>
        <w:t>malicious insider</w:t>
      </w:r>
      <w:r w:rsidR="008F464A">
        <w:rPr>
          <w:rFonts w:eastAsiaTheme="minorHAnsi" w:cs="Calibri"/>
          <w:color w:val="000000"/>
        </w:rPr>
        <w:t xml:space="preserve"> </w:t>
      </w:r>
      <w:r w:rsidR="008F464A">
        <w:rPr>
          <w:rFonts w:eastAsia="Times New Roman"/>
          <w:color w:val="000000"/>
          <w:lang w:eastAsia="en-AU"/>
        </w:rPr>
        <w:t>risks</w:t>
      </w:r>
      <w:r w:rsidR="000301A0">
        <w:rPr>
          <w:rFonts w:eastAsiaTheme="minorHAnsi" w:cs="Calibri"/>
          <w:color w:val="000000"/>
        </w:rPr>
        <w:t xml:space="preserve"> (and</w:t>
      </w:r>
      <w:r w:rsidR="005F1EF5">
        <w:rPr>
          <w:rFonts w:eastAsiaTheme="minorHAnsi" w:cs="Calibri"/>
          <w:color w:val="000000"/>
        </w:rPr>
        <w:t xml:space="preserve"> may be more </w:t>
      </w:r>
      <w:r w:rsidRPr="00FA2450">
        <w:rPr>
          <w:rFonts w:eastAsia="Times New Roman"/>
          <w:color w:val="000000"/>
          <w:lang w:eastAsia="en-AU"/>
        </w:rPr>
        <w:t>vulnerab</w:t>
      </w:r>
      <w:r w:rsidR="005F1EF5">
        <w:rPr>
          <w:rFonts w:eastAsia="Times New Roman"/>
          <w:color w:val="000000"/>
          <w:lang w:eastAsia="en-AU"/>
        </w:rPr>
        <w:t xml:space="preserve">le </w:t>
      </w:r>
      <w:r w:rsidRPr="00FA2450">
        <w:rPr>
          <w:rFonts w:eastAsia="Times New Roman"/>
          <w:color w:val="000000"/>
          <w:lang w:eastAsia="en-AU"/>
        </w:rPr>
        <w:t xml:space="preserve">to exploitation </w:t>
      </w:r>
      <w:r w:rsidRPr="00FA2450">
        <w:rPr>
          <w:rFonts w:eastAsia="Times New Roman"/>
          <w:color w:val="000000"/>
          <w:lang w:eastAsia="en-AU"/>
        </w:rPr>
        <w:lastRenderedPageBreak/>
        <w:t xml:space="preserve">from organised crime and </w:t>
      </w:r>
      <w:r w:rsidR="005F1EF5">
        <w:rPr>
          <w:rFonts w:eastAsia="Times New Roman"/>
          <w:color w:val="000000"/>
          <w:lang w:eastAsia="en-AU"/>
        </w:rPr>
        <w:t xml:space="preserve">interference from </w:t>
      </w:r>
      <w:r w:rsidRPr="00FA2450">
        <w:rPr>
          <w:rFonts w:eastAsia="Times New Roman"/>
          <w:color w:val="000000"/>
          <w:lang w:eastAsia="en-AU"/>
        </w:rPr>
        <w:t>foreign governments</w:t>
      </w:r>
      <w:r w:rsidR="000301A0">
        <w:rPr>
          <w:rFonts w:eastAsia="Times New Roman"/>
          <w:color w:val="000000"/>
          <w:lang w:eastAsia="en-AU"/>
        </w:rPr>
        <w:t>)</w:t>
      </w:r>
      <w:r w:rsidRPr="00FA2450">
        <w:rPr>
          <w:rFonts w:eastAsia="Times New Roman"/>
          <w:color w:val="000000"/>
          <w:lang w:eastAsia="en-AU"/>
        </w:rPr>
        <w:t xml:space="preserve">. </w:t>
      </w:r>
      <w:r w:rsidR="001A3B10">
        <w:rPr>
          <w:rFonts w:eastAsia="Times New Roman"/>
          <w:color w:val="000000"/>
          <w:lang w:eastAsia="en-AU"/>
        </w:rPr>
        <w:t>There are two types of waivers: waivers of</w:t>
      </w:r>
      <w:r w:rsidR="00CD5B8D">
        <w:rPr>
          <w:rFonts w:eastAsia="Times New Roman"/>
          <w:color w:val="000000"/>
          <w:lang w:eastAsia="en-AU"/>
        </w:rPr>
        <w:t xml:space="preserve"> the</w:t>
      </w:r>
      <w:r w:rsidR="001A3B10">
        <w:rPr>
          <w:rFonts w:eastAsia="Times New Roman"/>
          <w:color w:val="000000"/>
          <w:lang w:eastAsia="en-AU"/>
        </w:rPr>
        <w:t xml:space="preserve"> Australian citizenship</w:t>
      </w:r>
      <w:r w:rsidR="00CD5B8D">
        <w:rPr>
          <w:rFonts w:eastAsia="Times New Roman"/>
          <w:color w:val="000000"/>
          <w:lang w:eastAsia="en-AU"/>
        </w:rPr>
        <w:t xml:space="preserve"> requirement,</w:t>
      </w:r>
      <w:r w:rsidR="001A3B10">
        <w:rPr>
          <w:rFonts w:eastAsia="Times New Roman"/>
          <w:color w:val="000000"/>
          <w:lang w:eastAsia="en-AU"/>
        </w:rPr>
        <w:t xml:space="preserve"> and </w:t>
      </w:r>
      <w:r w:rsidR="009E1975">
        <w:rPr>
          <w:rFonts w:eastAsia="Times New Roman"/>
          <w:color w:val="000000"/>
          <w:lang w:eastAsia="en-AU"/>
        </w:rPr>
        <w:t xml:space="preserve">waivers of </w:t>
      </w:r>
      <w:r w:rsidR="00CD5B8D">
        <w:rPr>
          <w:rFonts w:eastAsia="Times New Roman"/>
          <w:color w:val="000000"/>
          <w:lang w:eastAsia="en-AU"/>
        </w:rPr>
        <w:t>the checkable</w:t>
      </w:r>
      <w:r w:rsidR="001A3B10">
        <w:rPr>
          <w:rFonts w:eastAsia="Times New Roman"/>
          <w:color w:val="000000"/>
          <w:lang w:eastAsia="en-AU"/>
        </w:rPr>
        <w:t xml:space="preserve"> background</w:t>
      </w:r>
      <w:r w:rsidR="003C09C1">
        <w:rPr>
          <w:rFonts w:eastAsia="Times New Roman"/>
          <w:color w:val="000000"/>
          <w:lang w:eastAsia="en-AU"/>
        </w:rPr>
        <w:t xml:space="preserve"> requirement</w:t>
      </w:r>
      <w:r w:rsidR="001A3B10">
        <w:rPr>
          <w:rFonts w:eastAsia="Times New Roman"/>
          <w:color w:val="000000"/>
          <w:lang w:eastAsia="en-AU"/>
        </w:rPr>
        <w:t>.</w:t>
      </w:r>
    </w:p>
    <w:p w14:paraId="142A4B50" w14:textId="77777777" w:rsidR="00FA2450" w:rsidRPr="001A3B10" w:rsidRDefault="00FA2450" w:rsidP="006212FF">
      <w:pPr>
        <w:pStyle w:val="Heading5"/>
      </w:pPr>
      <w:r w:rsidRPr="001A3B10">
        <w:t xml:space="preserve">Waivers of </w:t>
      </w:r>
      <w:r w:rsidR="00CD5B8D">
        <w:t xml:space="preserve">the Australian </w:t>
      </w:r>
      <w:r w:rsidRPr="001A3B10">
        <w:t xml:space="preserve">citizenship </w:t>
      </w:r>
      <w:r w:rsidR="003E35AF" w:rsidRPr="001A3B10">
        <w:t>requirement</w:t>
      </w:r>
    </w:p>
    <w:p w14:paraId="142A4B51" w14:textId="77777777" w:rsidR="00977369" w:rsidRDefault="00977369" w:rsidP="00FA2450">
      <w:pPr>
        <w:rPr>
          <w:rFonts w:eastAsia="Times New Roman"/>
          <w:color w:val="000000"/>
          <w:lang w:eastAsia="en-AU"/>
        </w:rPr>
      </w:pPr>
      <w:r>
        <w:rPr>
          <w:rFonts w:eastAsia="Times New Roman"/>
          <w:color w:val="000000"/>
          <w:lang w:eastAsia="en-AU"/>
        </w:rPr>
        <w:t>In</w:t>
      </w:r>
      <w:r w:rsidR="00FA2450" w:rsidRPr="00FA2450">
        <w:rPr>
          <w:rFonts w:eastAsia="Times New Roman"/>
          <w:color w:val="000000"/>
          <w:lang w:eastAsia="en-AU"/>
        </w:rPr>
        <w:t xml:space="preserve"> 2016</w:t>
      </w:r>
      <w:r w:rsidR="00D448D5">
        <w:t>–</w:t>
      </w:r>
      <w:r w:rsidR="00FA2450" w:rsidRPr="00FA2450">
        <w:rPr>
          <w:rFonts w:eastAsia="Times New Roman"/>
          <w:color w:val="000000"/>
          <w:lang w:eastAsia="en-AU"/>
        </w:rPr>
        <w:t xml:space="preserve">17, </w:t>
      </w:r>
      <w:r>
        <w:rPr>
          <w:rFonts w:eastAsia="Times New Roman"/>
          <w:color w:val="000000"/>
          <w:lang w:eastAsia="en-AU"/>
        </w:rPr>
        <w:t xml:space="preserve">there were </w:t>
      </w:r>
      <w:r w:rsidR="00FA2450" w:rsidRPr="00FA2450">
        <w:rPr>
          <w:rFonts w:eastAsia="Times New Roman"/>
          <w:color w:val="000000"/>
          <w:lang w:eastAsia="en-AU"/>
        </w:rPr>
        <w:t xml:space="preserve">317 </w:t>
      </w:r>
      <w:r w:rsidR="00424812">
        <w:rPr>
          <w:rFonts w:eastAsia="Times New Roman"/>
          <w:color w:val="000000"/>
          <w:lang w:eastAsia="en-AU"/>
        </w:rPr>
        <w:t xml:space="preserve">Australian </w:t>
      </w:r>
      <w:r w:rsidR="00CD5B8D">
        <w:rPr>
          <w:rFonts w:eastAsia="Times New Roman"/>
          <w:color w:val="000000"/>
          <w:lang w:eastAsia="en-AU"/>
        </w:rPr>
        <w:t xml:space="preserve">Government </w:t>
      </w:r>
      <w:r>
        <w:rPr>
          <w:rFonts w:eastAsia="Times New Roman"/>
          <w:color w:val="000000"/>
          <w:lang w:eastAsia="en-AU"/>
        </w:rPr>
        <w:t>security clearance</w:t>
      </w:r>
      <w:r w:rsidR="003C09C1">
        <w:rPr>
          <w:rFonts w:eastAsia="Times New Roman"/>
          <w:color w:val="000000"/>
          <w:lang w:eastAsia="en-AU"/>
        </w:rPr>
        <w:t xml:space="preserve"> holders who were not Australian citizens</w:t>
      </w:r>
      <w:r w:rsidR="002C5B2A">
        <w:rPr>
          <w:rFonts w:eastAsia="Times New Roman"/>
          <w:color w:val="000000"/>
          <w:lang w:eastAsia="en-AU"/>
        </w:rPr>
        <w:t>.</w:t>
      </w:r>
      <w:r w:rsidR="00FA2450" w:rsidRPr="00FA2450">
        <w:rPr>
          <w:rFonts w:eastAsia="Times New Roman"/>
          <w:color w:val="000000"/>
          <w:lang w:eastAsia="en-AU"/>
        </w:rPr>
        <w:t xml:space="preserve"> </w:t>
      </w:r>
      <w:r w:rsidR="00AC4B0D">
        <w:rPr>
          <w:rFonts w:eastAsia="Times New Roman"/>
          <w:color w:val="000000"/>
          <w:lang w:eastAsia="en-AU"/>
        </w:rPr>
        <w:t>Nonetheless, c</w:t>
      </w:r>
      <w:r w:rsidR="002C5B2A">
        <w:rPr>
          <w:rFonts w:eastAsia="Times New Roman"/>
          <w:color w:val="000000"/>
          <w:lang w:eastAsia="en-AU"/>
        </w:rPr>
        <w:t xml:space="preserve">learances with a citizenship waiver </w:t>
      </w:r>
      <w:r w:rsidR="00AC4B0D">
        <w:rPr>
          <w:rFonts w:eastAsia="Times New Roman"/>
          <w:color w:val="000000"/>
          <w:lang w:eastAsia="en-AU"/>
        </w:rPr>
        <w:t xml:space="preserve">still </w:t>
      </w:r>
      <w:r w:rsidR="002C5B2A">
        <w:rPr>
          <w:rFonts w:eastAsia="Times New Roman"/>
          <w:color w:val="000000"/>
          <w:lang w:eastAsia="en-AU"/>
        </w:rPr>
        <w:t xml:space="preserve">make up less than 0.2% of </w:t>
      </w:r>
      <w:r w:rsidR="003644CA">
        <w:rPr>
          <w:rFonts w:eastAsia="Times New Roman"/>
          <w:color w:val="000000"/>
          <w:lang w:eastAsia="en-AU"/>
        </w:rPr>
        <w:t>the 200,000</w:t>
      </w:r>
      <w:r w:rsidR="001B690B">
        <w:rPr>
          <w:rFonts w:eastAsia="Times New Roman"/>
          <w:color w:val="000000"/>
          <w:lang w:eastAsia="en-AU"/>
        </w:rPr>
        <w:t>+</w:t>
      </w:r>
      <w:r w:rsidR="003644CA">
        <w:rPr>
          <w:rFonts w:eastAsia="Times New Roman"/>
          <w:color w:val="000000"/>
          <w:lang w:eastAsia="en-AU"/>
        </w:rPr>
        <w:t xml:space="preserve"> (as at August 2017) active clearances</w:t>
      </w:r>
      <w:r w:rsidR="00FA2450" w:rsidRPr="00FA2450">
        <w:rPr>
          <w:rFonts w:eastAsia="Times New Roman"/>
          <w:color w:val="000000"/>
          <w:lang w:eastAsia="en-AU"/>
        </w:rPr>
        <w:t xml:space="preserve">. </w:t>
      </w:r>
    </w:p>
    <w:p w14:paraId="142A4B52" w14:textId="77777777" w:rsidR="00127541" w:rsidRDefault="00127541" w:rsidP="0087423B">
      <w:pPr>
        <w:pStyle w:val="Caption"/>
        <w:keepNext/>
        <w:shd w:val="clear" w:color="auto" w:fill="FFFFFF" w:themeFill="background1"/>
        <w:rPr>
          <w:lang w:val="en-US"/>
        </w:rPr>
      </w:pPr>
      <w:r>
        <w:t xml:space="preserve">Figure </w:t>
      </w:r>
      <w:fldSimple w:instr=" SEQ Figure \* ARABIC ">
        <w:r w:rsidR="00F17D4F">
          <w:rPr>
            <w:noProof/>
          </w:rPr>
          <w:t>6</w:t>
        </w:r>
      </w:fldSimple>
      <w:r>
        <w:t xml:space="preserve"> </w:t>
      </w:r>
      <w:r>
        <w:rPr>
          <w:lang w:val="en-US"/>
        </w:rPr>
        <w:t>Number of clearances with a citizenship waiver</w:t>
      </w:r>
    </w:p>
    <w:p w14:paraId="142A4B53" w14:textId="77777777" w:rsidR="00127541" w:rsidRPr="00127541" w:rsidRDefault="009D16D8" w:rsidP="0087423B">
      <w:pPr>
        <w:keepNext/>
        <w:spacing w:after="0"/>
        <w:rPr>
          <w:lang w:val="en-US"/>
        </w:rPr>
      </w:pPr>
      <w:r>
        <w:rPr>
          <w:lang w:val="en-US"/>
        </w:rPr>
        <w:object w:dxaOrig="8220" w:dyaOrig="4815" w14:anchorId="142A4C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4pt;height:157.2pt" o:ole="">
            <v:imagedata r:id="rId17" o:title=""/>
            <o:lock v:ext="edit" aspectratio="f"/>
          </v:shape>
          <o:OLEObject Type="Embed" ProgID="Excel.SheetBinaryMacroEnabled.12" ShapeID="_x0000_i1025" DrawAspect="Content" ObjectID="_1629202392" r:id="rId18"/>
        </w:object>
      </w:r>
    </w:p>
    <w:p w14:paraId="142A4B54" w14:textId="77777777" w:rsidR="00DD4713" w:rsidRPr="00027D77" w:rsidRDefault="00DD4713" w:rsidP="00DD4713">
      <w:pPr>
        <w:pStyle w:val="Quote"/>
      </w:pPr>
      <w:r>
        <w:t>There was a doubling of the number of security clearances with a citizenship waiver over the year (317 in 2016</w:t>
      </w:r>
      <w:r w:rsidR="00D448D5">
        <w:t>–</w:t>
      </w:r>
      <w:r>
        <w:t xml:space="preserve">17, up from </w:t>
      </w:r>
      <w:r>
        <w:rPr>
          <w:rFonts w:eastAsia="Times New Roman"/>
          <w:lang w:eastAsia="en-AU"/>
        </w:rPr>
        <w:t>156 in 2015</w:t>
      </w:r>
      <w:r w:rsidR="00D448D5">
        <w:t>–</w:t>
      </w:r>
      <w:r>
        <w:rPr>
          <w:rFonts w:eastAsia="Times New Roman"/>
          <w:lang w:eastAsia="en-AU"/>
        </w:rPr>
        <w:t>16). Much of this increase can be attributed to a single entity.</w:t>
      </w:r>
    </w:p>
    <w:p w14:paraId="142A4B55" w14:textId="77777777" w:rsidR="00977369" w:rsidRDefault="006E2BB5" w:rsidP="00FA2450">
      <w:pPr>
        <w:rPr>
          <w:rFonts w:eastAsia="Times New Roman"/>
          <w:color w:val="000000"/>
          <w:lang w:eastAsia="en-AU"/>
        </w:rPr>
      </w:pPr>
      <w:r w:rsidRPr="00506105">
        <w:rPr>
          <w:rFonts w:eastAsia="Times New Roman"/>
          <w:color w:val="000000" w:themeColor="text1"/>
          <w:lang w:eastAsia="en-AU"/>
        </w:rPr>
        <w:t xml:space="preserve">Across government, citizenship </w:t>
      </w:r>
      <w:r>
        <w:rPr>
          <w:rFonts w:eastAsia="Times New Roman"/>
          <w:color w:val="000000"/>
          <w:lang w:eastAsia="en-AU"/>
        </w:rPr>
        <w:t>waivers at the NV1 level saw the greatest increase over the year (</w:t>
      </w:r>
      <w:r w:rsidR="00FA2450" w:rsidRPr="00FA2450">
        <w:rPr>
          <w:rFonts w:eastAsia="Times New Roman"/>
          <w:color w:val="000000"/>
          <w:lang w:eastAsia="en-AU"/>
        </w:rPr>
        <w:t>47 in 2015</w:t>
      </w:r>
      <w:r w:rsidR="00D448D5">
        <w:t>–</w:t>
      </w:r>
      <w:r w:rsidR="00FA2450" w:rsidRPr="00FA2450">
        <w:rPr>
          <w:rFonts w:eastAsia="Times New Roman"/>
          <w:color w:val="000000"/>
          <w:lang w:eastAsia="en-AU"/>
        </w:rPr>
        <w:t xml:space="preserve">16, compared with 175 </w:t>
      </w:r>
      <w:r>
        <w:rPr>
          <w:rFonts w:eastAsia="Times New Roman"/>
          <w:color w:val="000000"/>
          <w:lang w:eastAsia="en-AU"/>
        </w:rPr>
        <w:t>in 2016</w:t>
      </w:r>
      <w:r w:rsidR="00D448D5">
        <w:t>–</w:t>
      </w:r>
      <w:r>
        <w:rPr>
          <w:rFonts w:eastAsia="Times New Roman"/>
          <w:color w:val="000000"/>
          <w:lang w:eastAsia="en-AU"/>
        </w:rPr>
        <w:t>17).</w:t>
      </w:r>
    </w:p>
    <w:p w14:paraId="142A4B56" w14:textId="77777777" w:rsidR="00FA2450" w:rsidRPr="00BF3BF7" w:rsidRDefault="00210743" w:rsidP="00BF3BF7">
      <w:pPr>
        <w:pStyle w:val="Heading5"/>
      </w:pPr>
      <w:r>
        <w:t>Waivers of</w:t>
      </w:r>
      <w:r w:rsidR="00CD5B8D">
        <w:t xml:space="preserve"> checkable</w:t>
      </w:r>
      <w:r>
        <w:t xml:space="preserve"> background</w:t>
      </w:r>
      <w:r w:rsidR="00FA2450">
        <w:t xml:space="preserve"> </w:t>
      </w:r>
      <w:r w:rsidR="003C09C1">
        <w:t>requirement</w:t>
      </w:r>
    </w:p>
    <w:p w14:paraId="142A4B57" w14:textId="77777777" w:rsidR="000301A0" w:rsidRPr="000301A0" w:rsidRDefault="00A51823" w:rsidP="00424812">
      <w:pPr>
        <w:rPr>
          <w:rFonts w:eastAsia="Times New Roman"/>
          <w:color w:val="000000"/>
          <w:lang w:eastAsia="en-AU"/>
        </w:rPr>
      </w:pPr>
      <w:r>
        <w:rPr>
          <w:rFonts w:eastAsia="Times New Roman"/>
          <w:color w:val="000000"/>
          <w:lang w:eastAsia="en-AU"/>
        </w:rPr>
        <w:t>A</w:t>
      </w:r>
      <w:r w:rsidR="00424812" w:rsidRPr="00424812">
        <w:rPr>
          <w:rFonts w:eastAsia="Times New Roman"/>
          <w:color w:val="000000"/>
          <w:lang w:eastAsia="en-AU"/>
        </w:rPr>
        <w:t xml:space="preserve">ssurance about a person’s background </w:t>
      </w:r>
      <w:r w:rsidR="00C3504B">
        <w:rPr>
          <w:rFonts w:eastAsia="Times New Roman"/>
          <w:color w:val="000000"/>
          <w:lang w:eastAsia="en-AU"/>
        </w:rPr>
        <w:t>gives</w:t>
      </w:r>
      <w:r w:rsidR="00424812" w:rsidRPr="00424812">
        <w:rPr>
          <w:rFonts w:eastAsia="Times New Roman"/>
          <w:color w:val="000000"/>
          <w:lang w:eastAsia="en-AU"/>
        </w:rPr>
        <w:t xml:space="preserve"> confidence that they can be trusted to protect government </w:t>
      </w:r>
      <w:r w:rsidR="0066761B">
        <w:rPr>
          <w:rFonts w:eastAsia="Times New Roman"/>
          <w:color w:val="000000"/>
          <w:lang w:eastAsia="en-AU"/>
        </w:rPr>
        <w:t xml:space="preserve">information and </w:t>
      </w:r>
      <w:r w:rsidR="00424812" w:rsidRPr="00424812">
        <w:rPr>
          <w:rFonts w:eastAsia="Times New Roman"/>
          <w:color w:val="000000"/>
          <w:lang w:eastAsia="en-AU"/>
        </w:rPr>
        <w:t xml:space="preserve">resources. A person </w:t>
      </w:r>
      <w:r w:rsidR="0066761B">
        <w:rPr>
          <w:rFonts w:eastAsia="Times New Roman"/>
          <w:color w:val="000000"/>
          <w:lang w:eastAsia="en-AU"/>
        </w:rPr>
        <w:t xml:space="preserve">is considered to have </w:t>
      </w:r>
      <w:r w:rsidR="00424812" w:rsidRPr="000301A0">
        <w:rPr>
          <w:rFonts w:eastAsia="Times New Roman"/>
          <w:color w:val="000000"/>
          <w:lang w:eastAsia="en-AU"/>
        </w:rPr>
        <w:t>an uncheckable background</w:t>
      </w:r>
      <w:r w:rsidR="00424812" w:rsidRPr="00424812">
        <w:rPr>
          <w:rFonts w:eastAsia="Times New Roman"/>
          <w:color w:val="000000"/>
          <w:lang w:eastAsia="en-AU"/>
        </w:rPr>
        <w:t xml:space="preserve"> where </w:t>
      </w:r>
      <w:r w:rsidR="0066761B">
        <w:rPr>
          <w:rFonts w:eastAsia="Times New Roman"/>
          <w:color w:val="000000"/>
          <w:lang w:eastAsia="en-AU"/>
        </w:rPr>
        <w:t>more</w:t>
      </w:r>
      <w:r w:rsidR="0066761B" w:rsidRPr="00424812">
        <w:rPr>
          <w:rFonts w:eastAsia="Times New Roman"/>
          <w:color w:val="000000"/>
          <w:lang w:eastAsia="en-AU"/>
        </w:rPr>
        <w:t xml:space="preserve"> </w:t>
      </w:r>
      <w:r w:rsidR="00424812" w:rsidRPr="00424812">
        <w:rPr>
          <w:rFonts w:eastAsia="Times New Roman"/>
          <w:color w:val="000000"/>
          <w:lang w:eastAsia="en-AU"/>
        </w:rPr>
        <w:t>than</w:t>
      </w:r>
      <w:r w:rsidR="000301A0" w:rsidRPr="000301A0">
        <w:rPr>
          <w:rFonts w:eastAsia="Times New Roman"/>
          <w:color w:val="000000"/>
          <w:lang w:eastAsia="en-AU"/>
        </w:rPr>
        <w:t xml:space="preserve"> 12</w:t>
      </w:r>
      <w:r w:rsidR="00E562F9">
        <w:rPr>
          <w:rFonts w:eastAsia="Times New Roman"/>
          <w:color w:val="000000"/>
          <w:lang w:eastAsia="en-AU"/>
        </w:rPr>
        <w:t> </w:t>
      </w:r>
      <w:r w:rsidR="000301A0" w:rsidRPr="000301A0">
        <w:rPr>
          <w:rFonts w:eastAsia="Times New Roman"/>
          <w:color w:val="000000"/>
          <w:lang w:eastAsia="en-AU"/>
        </w:rPr>
        <w:t xml:space="preserve">months (cumulative) of </w:t>
      </w:r>
      <w:r w:rsidR="000301A0">
        <w:rPr>
          <w:rFonts w:eastAsia="Times New Roman"/>
          <w:color w:val="000000"/>
          <w:lang w:eastAsia="en-AU"/>
        </w:rPr>
        <w:t>the</w:t>
      </w:r>
      <w:r w:rsidR="000301A0" w:rsidRPr="000301A0">
        <w:rPr>
          <w:rFonts w:eastAsia="Times New Roman"/>
          <w:color w:val="000000"/>
          <w:lang w:eastAsia="en-AU"/>
        </w:rPr>
        <w:t xml:space="preserve"> security clearance background checking period cannot be verified. </w:t>
      </w:r>
    </w:p>
    <w:p w14:paraId="142A4B58" w14:textId="77777777" w:rsidR="003644CA" w:rsidRDefault="001A3B10" w:rsidP="00FA2450">
      <w:pPr>
        <w:rPr>
          <w:rFonts w:eastAsia="Times New Roman"/>
          <w:color w:val="000000"/>
          <w:lang w:eastAsia="en-AU"/>
        </w:rPr>
      </w:pPr>
      <w:r>
        <w:rPr>
          <w:rFonts w:eastAsia="Times New Roman"/>
          <w:color w:val="000000"/>
          <w:lang w:eastAsia="en-AU"/>
        </w:rPr>
        <w:t>In</w:t>
      </w:r>
      <w:r w:rsidRPr="00FA2450">
        <w:rPr>
          <w:rFonts w:eastAsia="Times New Roman"/>
          <w:color w:val="000000"/>
          <w:lang w:eastAsia="en-AU"/>
        </w:rPr>
        <w:t xml:space="preserve"> </w:t>
      </w:r>
      <w:r w:rsidR="00FA2450" w:rsidRPr="00FA2450">
        <w:rPr>
          <w:rFonts w:eastAsia="Times New Roman"/>
          <w:color w:val="000000"/>
          <w:lang w:eastAsia="en-AU"/>
        </w:rPr>
        <w:t>2016</w:t>
      </w:r>
      <w:r w:rsidR="00D448D5">
        <w:t>–</w:t>
      </w:r>
      <w:r w:rsidR="00FA2450" w:rsidRPr="00FA2450">
        <w:rPr>
          <w:rFonts w:eastAsia="Times New Roman"/>
          <w:color w:val="000000"/>
          <w:lang w:eastAsia="en-AU"/>
        </w:rPr>
        <w:t xml:space="preserve">17, </w:t>
      </w:r>
      <w:r w:rsidR="000E1184">
        <w:rPr>
          <w:rFonts w:eastAsia="Times New Roman"/>
          <w:color w:val="000000"/>
          <w:lang w:eastAsia="en-AU"/>
        </w:rPr>
        <w:t xml:space="preserve">there were </w:t>
      </w:r>
      <w:r w:rsidR="00FA2450" w:rsidRPr="00FA2450">
        <w:rPr>
          <w:rFonts w:eastAsia="Times New Roman"/>
          <w:color w:val="000000"/>
          <w:lang w:eastAsia="en-AU"/>
        </w:rPr>
        <w:t xml:space="preserve">216 </w:t>
      </w:r>
      <w:r w:rsidR="003644CA">
        <w:rPr>
          <w:rFonts w:eastAsia="Times New Roman"/>
          <w:color w:val="000000"/>
          <w:lang w:eastAsia="en-AU"/>
        </w:rPr>
        <w:t xml:space="preserve">people </w:t>
      </w:r>
      <w:r w:rsidR="000E1184">
        <w:rPr>
          <w:rFonts w:eastAsia="Times New Roman"/>
          <w:color w:val="000000"/>
          <w:lang w:eastAsia="en-AU"/>
        </w:rPr>
        <w:t xml:space="preserve">with a </w:t>
      </w:r>
      <w:r w:rsidR="003644CA">
        <w:rPr>
          <w:rFonts w:eastAsia="Times New Roman"/>
          <w:color w:val="000000"/>
          <w:lang w:eastAsia="en-AU"/>
        </w:rPr>
        <w:t xml:space="preserve">security clearance whose </w:t>
      </w:r>
      <w:r w:rsidR="00FA2450" w:rsidRPr="00FA2450">
        <w:rPr>
          <w:rFonts w:eastAsia="Times New Roman"/>
          <w:color w:val="000000"/>
          <w:lang w:eastAsia="en-AU"/>
        </w:rPr>
        <w:t xml:space="preserve">background </w:t>
      </w:r>
      <w:r w:rsidR="003644CA">
        <w:rPr>
          <w:rFonts w:eastAsia="Times New Roman"/>
          <w:color w:val="000000"/>
          <w:lang w:eastAsia="en-AU"/>
        </w:rPr>
        <w:t>could not be adequately checked.</w:t>
      </w:r>
      <w:r w:rsidR="00BC1984">
        <w:rPr>
          <w:rFonts w:eastAsia="Times New Roman"/>
          <w:color w:val="000000"/>
          <w:lang w:eastAsia="en-AU"/>
        </w:rPr>
        <w:t xml:space="preserve"> </w:t>
      </w:r>
      <w:r>
        <w:rPr>
          <w:rFonts w:eastAsia="Times New Roman"/>
          <w:color w:val="000000"/>
          <w:lang w:eastAsia="en-AU"/>
        </w:rPr>
        <w:t>C</w:t>
      </w:r>
      <w:r w:rsidR="00AC4B0D">
        <w:rPr>
          <w:rFonts w:eastAsia="Times New Roman"/>
          <w:color w:val="000000"/>
          <w:lang w:eastAsia="en-AU"/>
        </w:rPr>
        <w:t>learance</w:t>
      </w:r>
      <w:r w:rsidR="003A2AD7">
        <w:rPr>
          <w:rFonts w:eastAsia="Times New Roman"/>
          <w:color w:val="000000"/>
          <w:lang w:eastAsia="en-AU"/>
        </w:rPr>
        <w:t>s</w:t>
      </w:r>
      <w:r w:rsidR="00AC4B0D">
        <w:rPr>
          <w:rFonts w:eastAsia="Times New Roman"/>
          <w:color w:val="000000"/>
          <w:lang w:eastAsia="en-AU"/>
        </w:rPr>
        <w:t xml:space="preserve"> with checkable background waiver</w:t>
      </w:r>
      <w:r w:rsidR="007D50BC">
        <w:rPr>
          <w:rFonts w:eastAsia="Times New Roman"/>
          <w:color w:val="000000"/>
          <w:lang w:eastAsia="en-AU"/>
        </w:rPr>
        <w:t>s</w:t>
      </w:r>
      <w:r w:rsidR="00AC4B0D">
        <w:rPr>
          <w:rFonts w:eastAsia="Times New Roman"/>
          <w:color w:val="000000"/>
          <w:lang w:eastAsia="en-AU"/>
        </w:rPr>
        <w:t xml:space="preserve"> represent only 0.1% of all active clearances.</w:t>
      </w:r>
    </w:p>
    <w:p w14:paraId="142A4B59" w14:textId="77777777" w:rsidR="00274370" w:rsidRDefault="00274370" w:rsidP="0087423B">
      <w:pPr>
        <w:pStyle w:val="Caption"/>
        <w:keepNext/>
        <w:shd w:val="clear" w:color="auto" w:fill="FFFFFF" w:themeFill="background1"/>
        <w:rPr>
          <w:lang w:val="en-US"/>
        </w:rPr>
      </w:pPr>
      <w:r>
        <w:t xml:space="preserve">Figure </w:t>
      </w:r>
      <w:fldSimple w:instr=" SEQ Figure \* ARABIC ">
        <w:r w:rsidR="00F17D4F">
          <w:rPr>
            <w:noProof/>
          </w:rPr>
          <w:t>7</w:t>
        </w:r>
      </w:fldSimple>
      <w:r>
        <w:t xml:space="preserve"> </w:t>
      </w:r>
      <w:r>
        <w:rPr>
          <w:lang w:val="en-US"/>
        </w:rPr>
        <w:t>Number of clearances with a checkable background waiver</w:t>
      </w:r>
    </w:p>
    <w:p w14:paraId="142A4B5A" w14:textId="77777777" w:rsidR="009D16D8" w:rsidRPr="009D16D8" w:rsidRDefault="009D16D8" w:rsidP="009D16D8">
      <w:pPr>
        <w:keepNext/>
        <w:spacing w:after="0"/>
        <w:rPr>
          <w:rFonts w:eastAsia="Times New Roman"/>
          <w:color w:val="000000"/>
          <w:lang w:eastAsia="en-AU"/>
        </w:rPr>
      </w:pPr>
      <w:r>
        <w:rPr>
          <w:noProof/>
          <w:lang w:eastAsia="en-AU"/>
        </w:rPr>
        <w:drawing>
          <wp:inline distT="0" distB="0" distL="0" distR="0" wp14:anchorId="142A4CE8" wp14:editId="142A4CE9">
            <wp:extent cx="3239770" cy="1980000"/>
            <wp:effectExtent l="0" t="0" r="0" b="127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42A4B5B" w14:textId="77777777" w:rsidR="00DD4713" w:rsidRPr="00027D77" w:rsidRDefault="00DD4713" w:rsidP="00DD4713">
      <w:pPr>
        <w:pStyle w:val="Quote"/>
      </w:pPr>
      <w:r>
        <w:t>There was a</w:t>
      </w:r>
      <w:r w:rsidRPr="00DD4713">
        <w:t xml:space="preserve"> 248.4% </w:t>
      </w:r>
      <w:r>
        <w:t xml:space="preserve">increase in the number of </w:t>
      </w:r>
      <w:r w:rsidRPr="00DD4713">
        <w:t xml:space="preserve">checkable background waivers </w:t>
      </w:r>
      <w:r>
        <w:t xml:space="preserve">(from </w:t>
      </w:r>
      <w:r w:rsidRPr="00DD4713">
        <w:t>62</w:t>
      </w:r>
      <w:r w:rsidR="009D16D8">
        <w:t xml:space="preserve"> </w:t>
      </w:r>
      <w:r w:rsidRPr="00DD4713">
        <w:t>in 2015</w:t>
      </w:r>
      <w:r w:rsidR="00D448D5">
        <w:t>–</w:t>
      </w:r>
      <w:r w:rsidRPr="00DD4713">
        <w:t>16</w:t>
      </w:r>
      <w:r>
        <w:t xml:space="preserve"> up to 216 in 2016</w:t>
      </w:r>
      <w:r w:rsidR="00D448D5">
        <w:t>–</w:t>
      </w:r>
      <w:r>
        <w:t>17)</w:t>
      </w:r>
      <w:r w:rsidR="001E70E5">
        <w:t xml:space="preserve">. </w:t>
      </w:r>
      <w:r w:rsidR="009D16D8">
        <w:t>Much</w:t>
      </w:r>
      <w:r w:rsidR="001E70E5">
        <w:t xml:space="preserve"> of th</w:t>
      </w:r>
      <w:r w:rsidR="005D5A69">
        <w:t>is</w:t>
      </w:r>
      <w:r w:rsidR="001E70E5">
        <w:rPr>
          <w:rFonts w:eastAsia="Times New Roman"/>
          <w:lang w:eastAsia="en-AU"/>
        </w:rPr>
        <w:t xml:space="preserve"> can be attributed to a single entity</w:t>
      </w:r>
      <w:r w:rsidR="005D5A69">
        <w:rPr>
          <w:rFonts w:eastAsia="Times New Roman"/>
          <w:lang w:eastAsia="en-AU"/>
        </w:rPr>
        <w:t xml:space="preserve"> adjusting its reporting methodology over the year. This was</w:t>
      </w:r>
      <w:r w:rsidR="001A3B10">
        <w:rPr>
          <w:rFonts w:eastAsia="Times New Roman"/>
          <w:lang w:eastAsia="en-AU"/>
        </w:rPr>
        <w:t xml:space="preserve"> </w:t>
      </w:r>
      <w:r w:rsidR="001A3B10" w:rsidRPr="001A3B10">
        <w:rPr>
          <w:rFonts w:eastAsia="Times New Roman"/>
          <w:u w:val="single"/>
          <w:lang w:eastAsia="en-AU"/>
        </w:rPr>
        <w:t>not</w:t>
      </w:r>
      <w:r w:rsidR="001A3B10">
        <w:rPr>
          <w:rFonts w:eastAsia="Times New Roman"/>
          <w:lang w:eastAsia="en-AU"/>
        </w:rPr>
        <w:t xml:space="preserve"> the entity</w:t>
      </w:r>
      <w:r w:rsidR="00CD3339">
        <w:rPr>
          <w:rFonts w:eastAsia="Times New Roman"/>
          <w:lang w:eastAsia="en-AU"/>
        </w:rPr>
        <w:t xml:space="preserve"> largely</w:t>
      </w:r>
      <w:r w:rsidR="001A3B10">
        <w:rPr>
          <w:rFonts w:eastAsia="Times New Roman"/>
          <w:lang w:eastAsia="en-AU"/>
        </w:rPr>
        <w:t xml:space="preserve"> responsible for the increase in citizenship waivers</w:t>
      </w:r>
      <w:r w:rsidR="001E70E5">
        <w:rPr>
          <w:rFonts w:eastAsia="Times New Roman"/>
          <w:lang w:eastAsia="en-AU"/>
        </w:rPr>
        <w:t>.</w:t>
      </w:r>
    </w:p>
    <w:p w14:paraId="142A4B5C" w14:textId="77777777" w:rsidR="00C3504B" w:rsidRPr="00506105" w:rsidRDefault="008675FB" w:rsidP="00FA2450">
      <w:pPr>
        <w:rPr>
          <w:rFonts w:eastAsia="Times New Roman"/>
          <w:color w:val="000000" w:themeColor="text1"/>
          <w:lang w:eastAsia="en-AU"/>
        </w:rPr>
      </w:pPr>
      <w:r>
        <w:rPr>
          <w:rFonts w:eastAsia="Times New Roman"/>
          <w:color w:val="000000"/>
          <w:lang w:eastAsia="en-AU"/>
        </w:rPr>
        <w:t xml:space="preserve">Historically, checkable background waivers have most commonly been for clearances at the Positive Vetting </w:t>
      </w:r>
      <w:r w:rsidR="008464D4">
        <w:rPr>
          <w:rFonts w:eastAsia="Times New Roman"/>
          <w:color w:val="000000"/>
          <w:lang w:eastAsia="en-AU"/>
        </w:rPr>
        <w:t xml:space="preserve">(PV) </w:t>
      </w:r>
      <w:r w:rsidR="00C3504B">
        <w:rPr>
          <w:rFonts w:eastAsia="Times New Roman"/>
          <w:color w:val="000000"/>
          <w:lang w:eastAsia="en-AU"/>
        </w:rPr>
        <w:t>level</w:t>
      </w:r>
      <w:r w:rsidR="009A0693" w:rsidRPr="00506105">
        <w:rPr>
          <w:rFonts w:eastAsia="Times New Roman"/>
          <w:color w:val="000000" w:themeColor="text1"/>
          <w:lang w:eastAsia="en-AU"/>
        </w:rPr>
        <w:t>.</w:t>
      </w:r>
      <w:r w:rsidR="00C3504B" w:rsidRPr="00506105">
        <w:rPr>
          <w:rFonts w:eastAsia="Times New Roman"/>
          <w:color w:val="000000" w:themeColor="text1"/>
          <w:lang w:eastAsia="en-AU"/>
        </w:rPr>
        <w:t xml:space="preserve"> </w:t>
      </w:r>
      <w:r w:rsidR="009A0693" w:rsidRPr="00506105">
        <w:rPr>
          <w:rFonts w:eastAsia="Times New Roman"/>
          <w:color w:val="000000" w:themeColor="text1"/>
          <w:lang w:eastAsia="en-AU"/>
        </w:rPr>
        <w:t xml:space="preserve">This </w:t>
      </w:r>
      <w:r w:rsidR="00C3504B" w:rsidRPr="00506105">
        <w:rPr>
          <w:rFonts w:eastAsia="Times New Roman"/>
          <w:color w:val="000000" w:themeColor="text1"/>
          <w:lang w:eastAsia="en-AU"/>
        </w:rPr>
        <w:t>reflect</w:t>
      </w:r>
      <w:r w:rsidR="009A0693" w:rsidRPr="00506105">
        <w:rPr>
          <w:rFonts w:eastAsia="Times New Roman"/>
          <w:color w:val="000000" w:themeColor="text1"/>
          <w:lang w:eastAsia="en-AU"/>
        </w:rPr>
        <w:t>s</w:t>
      </w:r>
      <w:r w:rsidR="00C3504B" w:rsidRPr="00506105">
        <w:rPr>
          <w:rFonts w:eastAsia="Times New Roman"/>
          <w:color w:val="000000" w:themeColor="text1"/>
          <w:lang w:eastAsia="en-AU"/>
        </w:rPr>
        <w:t xml:space="preserve"> more onerous </w:t>
      </w:r>
      <w:r w:rsidR="008464D4">
        <w:rPr>
          <w:rFonts w:eastAsia="Times New Roman"/>
          <w:color w:val="000000" w:themeColor="text1"/>
          <w:lang w:eastAsia="en-AU"/>
        </w:rPr>
        <w:t xml:space="preserve">PV </w:t>
      </w:r>
      <w:r w:rsidR="00C3504B" w:rsidRPr="00506105">
        <w:rPr>
          <w:rFonts w:eastAsia="Times New Roman"/>
          <w:color w:val="000000" w:themeColor="text1"/>
          <w:lang w:eastAsia="en-AU"/>
        </w:rPr>
        <w:t>background checking expectations</w:t>
      </w:r>
      <w:r w:rsidR="00725A83" w:rsidRPr="00506105">
        <w:rPr>
          <w:rFonts w:eastAsia="Times New Roman"/>
          <w:color w:val="000000" w:themeColor="text1"/>
          <w:lang w:eastAsia="en-AU"/>
        </w:rPr>
        <w:t>.</w:t>
      </w:r>
      <w:r w:rsidR="00725A83" w:rsidRPr="00506105">
        <w:rPr>
          <w:rStyle w:val="FootnoteReference"/>
          <w:rFonts w:eastAsia="Times New Roman"/>
          <w:color w:val="000000" w:themeColor="text1"/>
          <w:lang w:eastAsia="en-AU"/>
        </w:rPr>
        <w:footnoteReference w:id="2"/>
      </w:r>
      <w:r w:rsidR="004A17B2" w:rsidRPr="00506105">
        <w:rPr>
          <w:rFonts w:eastAsia="Times New Roman"/>
          <w:color w:val="000000" w:themeColor="text1"/>
          <w:lang w:eastAsia="en-AU"/>
        </w:rPr>
        <w:t xml:space="preserve"> </w:t>
      </w:r>
      <w:r w:rsidR="00C96CEA">
        <w:rPr>
          <w:rFonts w:eastAsia="Times New Roman"/>
          <w:color w:val="000000" w:themeColor="text1"/>
          <w:lang w:eastAsia="en-AU"/>
        </w:rPr>
        <w:t>In</w:t>
      </w:r>
      <w:r w:rsidR="004A17B2" w:rsidRPr="00506105">
        <w:rPr>
          <w:rFonts w:eastAsia="Times New Roman"/>
          <w:color w:val="000000" w:themeColor="text1"/>
          <w:lang w:eastAsia="en-AU"/>
        </w:rPr>
        <w:t xml:space="preserve"> </w:t>
      </w:r>
      <w:r w:rsidR="009A0693" w:rsidRPr="00506105">
        <w:rPr>
          <w:rFonts w:eastAsia="Times New Roman"/>
          <w:color w:val="000000" w:themeColor="text1"/>
          <w:lang w:eastAsia="en-AU"/>
        </w:rPr>
        <w:t>2016</w:t>
      </w:r>
      <w:r w:rsidR="00D448D5">
        <w:t>–</w:t>
      </w:r>
      <w:r w:rsidR="009A0693" w:rsidRPr="00506105">
        <w:rPr>
          <w:rFonts w:eastAsia="Times New Roman"/>
          <w:color w:val="000000" w:themeColor="text1"/>
          <w:lang w:eastAsia="en-AU"/>
        </w:rPr>
        <w:t xml:space="preserve">17 there were </w:t>
      </w:r>
      <w:r w:rsidR="009E1975">
        <w:rPr>
          <w:rFonts w:eastAsia="Times New Roman"/>
          <w:color w:val="000000" w:themeColor="text1"/>
          <w:lang w:eastAsia="en-AU"/>
        </w:rPr>
        <w:t xml:space="preserve">130 </w:t>
      </w:r>
      <w:r w:rsidR="009A0693" w:rsidRPr="00506105">
        <w:rPr>
          <w:rFonts w:eastAsia="Times New Roman"/>
          <w:color w:val="000000" w:themeColor="text1"/>
          <w:lang w:eastAsia="en-AU"/>
        </w:rPr>
        <w:t xml:space="preserve">additional </w:t>
      </w:r>
      <w:r w:rsidR="008464D4" w:rsidRPr="00506105">
        <w:rPr>
          <w:rFonts w:eastAsia="Times New Roman"/>
          <w:color w:val="000000" w:themeColor="text1"/>
          <w:lang w:eastAsia="en-AU"/>
        </w:rPr>
        <w:t>NV1</w:t>
      </w:r>
      <w:r w:rsidR="008464D4">
        <w:rPr>
          <w:rFonts w:eastAsia="Times New Roman"/>
          <w:color w:val="000000" w:themeColor="text1"/>
          <w:lang w:eastAsia="en-AU"/>
        </w:rPr>
        <w:t> </w:t>
      </w:r>
      <w:r w:rsidR="009A0693" w:rsidRPr="00506105">
        <w:rPr>
          <w:rFonts w:eastAsia="Times New Roman"/>
          <w:color w:val="000000" w:themeColor="text1"/>
          <w:lang w:eastAsia="en-AU"/>
        </w:rPr>
        <w:t>checkable background waivers (from 7 in 2015</w:t>
      </w:r>
      <w:r w:rsidR="00D448D5">
        <w:t>–</w:t>
      </w:r>
      <w:r w:rsidR="009A0693" w:rsidRPr="00506105">
        <w:rPr>
          <w:rFonts w:eastAsia="Times New Roman"/>
          <w:color w:val="000000" w:themeColor="text1"/>
          <w:lang w:eastAsia="en-AU"/>
        </w:rPr>
        <w:t>1</w:t>
      </w:r>
      <w:r w:rsidR="009E1975">
        <w:rPr>
          <w:rFonts w:eastAsia="Times New Roman"/>
          <w:color w:val="000000" w:themeColor="text1"/>
          <w:lang w:eastAsia="en-AU"/>
        </w:rPr>
        <w:t>6,</w:t>
      </w:r>
      <w:r w:rsidR="009A0693" w:rsidRPr="00506105">
        <w:rPr>
          <w:rFonts w:eastAsia="Times New Roman"/>
          <w:color w:val="000000" w:themeColor="text1"/>
          <w:lang w:eastAsia="en-AU"/>
        </w:rPr>
        <w:t xml:space="preserve"> </w:t>
      </w:r>
      <w:r w:rsidR="009D16D8">
        <w:rPr>
          <w:rFonts w:eastAsia="Times New Roman"/>
          <w:color w:val="000000" w:themeColor="text1"/>
          <w:lang w:eastAsia="en-AU"/>
        </w:rPr>
        <w:t xml:space="preserve">up </w:t>
      </w:r>
      <w:r w:rsidR="009A0693" w:rsidRPr="00506105">
        <w:rPr>
          <w:rFonts w:eastAsia="Times New Roman"/>
          <w:color w:val="000000" w:themeColor="text1"/>
          <w:lang w:eastAsia="en-AU"/>
        </w:rPr>
        <w:t xml:space="preserve">to 137). </w:t>
      </w:r>
      <w:r w:rsidR="009A0693" w:rsidRPr="003E35AF">
        <w:rPr>
          <w:rFonts w:eastAsia="Times New Roman"/>
          <w:color w:val="000000" w:themeColor="text1"/>
          <w:lang w:eastAsia="en-AU"/>
        </w:rPr>
        <w:t xml:space="preserve">The </w:t>
      </w:r>
      <w:r w:rsidR="00FA3CB7">
        <w:rPr>
          <w:rFonts w:eastAsia="Times New Roman"/>
          <w:color w:val="000000" w:themeColor="text1"/>
          <w:lang w:eastAsia="en-AU"/>
        </w:rPr>
        <w:t xml:space="preserve">sizeable </w:t>
      </w:r>
      <w:r w:rsidR="009A0693" w:rsidRPr="003E35AF">
        <w:rPr>
          <w:rFonts w:eastAsia="Times New Roman"/>
          <w:color w:val="000000" w:themeColor="text1"/>
          <w:lang w:eastAsia="en-AU"/>
        </w:rPr>
        <w:t>increase</w:t>
      </w:r>
      <w:r w:rsidR="007B32A7">
        <w:rPr>
          <w:rFonts w:eastAsia="Times New Roman"/>
          <w:color w:val="000000" w:themeColor="text1"/>
          <w:lang w:eastAsia="en-AU"/>
        </w:rPr>
        <w:t>s</w:t>
      </w:r>
      <w:r w:rsidR="009A0693" w:rsidRPr="003E35AF">
        <w:rPr>
          <w:rFonts w:eastAsia="Times New Roman"/>
          <w:color w:val="000000" w:themeColor="text1"/>
          <w:lang w:eastAsia="en-AU"/>
        </w:rPr>
        <w:t xml:space="preserve"> in checkable background </w:t>
      </w:r>
      <w:r w:rsidR="00E75352" w:rsidRPr="003E35AF">
        <w:rPr>
          <w:rFonts w:eastAsia="Times New Roman"/>
          <w:color w:val="000000" w:themeColor="text1"/>
          <w:lang w:eastAsia="en-AU"/>
        </w:rPr>
        <w:t xml:space="preserve">waivers </w:t>
      </w:r>
      <w:r w:rsidR="00CC1F0A">
        <w:rPr>
          <w:rFonts w:eastAsia="Times New Roman"/>
          <w:color w:val="000000" w:themeColor="text1"/>
          <w:lang w:eastAsia="en-AU"/>
        </w:rPr>
        <w:t>are</w:t>
      </w:r>
      <w:r w:rsidR="00CC1F0A" w:rsidRPr="003E35AF">
        <w:rPr>
          <w:rFonts w:eastAsia="Times New Roman"/>
          <w:color w:val="000000" w:themeColor="text1"/>
          <w:lang w:eastAsia="en-AU"/>
        </w:rPr>
        <w:t xml:space="preserve"> </w:t>
      </w:r>
      <w:r w:rsidR="009A0693" w:rsidRPr="003E35AF">
        <w:rPr>
          <w:rFonts w:eastAsia="Times New Roman"/>
          <w:color w:val="000000" w:themeColor="text1"/>
          <w:lang w:eastAsia="en-AU"/>
        </w:rPr>
        <w:t>attributable to a single entity</w:t>
      </w:r>
      <w:r w:rsidR="009817D4" w:rsidRPr="003E35AF">
        <w:rPr>
          <w:rFonts w:eastAsia="Times New Roman"/>
          <w:color w:val="000000" w:themeColor="text1"/>
          <w:lang w:eastAsia="en-AU"/>
        </w:rPr>
        <w:t>.</w:t>
      </w:r>
    </w:p>
    <w:p w14:paraId="142A4B5D" w14:textId="77777777" w:rsidR="00FC3767" w:rsidRDefault="000109A6" w:rsidP="00C21790">
      <w:pPr>
        <w:pStyle w:val="Heading3"/>
      </w:pPr>
      <w:r>
        <w:t>Entity analysis</w:t>
      </w:r>
    </w:p>
    <w:p w14:paraId="142A4B5E" w14:textId="77777777" w:rsidR="000109A6" w:rsidRPr="00BF3BF7" w:rsidRDefault="000109A6" w:rsidP="000109A6">
      <w:pPr>
        <w:pStyle w:val="Heading4"/>
      </w:pPr>
      <w:r>
        <w:t xml:space="preserve">Entities posing a heightened </w:t>
      </w:r>
      <w:r w:rsidR="00C21790">
        <w:t xml:space="preserve">security </w:t>
      </w:r>
      <w:r>
        <w:t xml:space="preserve">risk </w:t>
      </w:r>
    </w:p>
    <w:p w14:paraId="142A4B5F" w14:textId="77777777" w:rsidR="000109A6" w:rsidRDefault="000109A6" w:rsidP="000109A6">
      <w:pPr>
        <w:spacing w:after="0"/>
      </w:pPr>
      <w:r>
        <w:t>AGD uses compliance repo</w:t>
      </w:r>
      <w:r w:rsidR="00FC1323">
        <w:t>rting to identify NCCEs that may pose a heightened risk to the government’s security</w:t>
      </w:r>
      <w:r w:rsidR="00C21790">
        <w:t xml:space="preserve"> posture</w:t>
      </w:r>
      <w:r w:rsidR="00FC1323">
        <w:t xml:space="preserve">. An entity is considered </w:t>
      </w:r>
      <w:r>
        <w:t xml:space="preserve">at risk </w:t>
      </w:r>
      <w:r w:rsidR="00FC1323">
        <w:t>if it</w:t>
      </w:r>
      <w:r>
        <w:t>:</w:t>
      </w:r>
    </w:p>
    <w:p w14:paraId="142A4B60" w14:textId="77777777" w:rsidR="00664BBB" w:rsidRDefault="00664BBB" w:rsidP="000109A6">
      <w:pPr>
        <w:pStyle w:val="ListParagraph"/>
        <w:numPr>
          <w:ilvl w:val="0"/>
          <w:numId w:val="43"/>
        </w:numPr>
      </w:pPr>
      <w:r>
        <w:t>does not report</w:t>
      </w:r>
    </w:p>
    <w:p w14:paraId="142A4B61" w14:textId="77777777" w:rsidR="000109A6" w:rsidRDefault="00664BBB" w:rsidP="000109A6">
      <w:pPr>
        <w:pStyle w:val="ListParagraph"/>
        <w:numPr>
          <w:ilvl w:val="0"/>
          <w:numId w:val="43"/>
        </w:numPr>
      </w:pPr>
      <w:r>
        <w:t xml:space="preserve">reports </w:t>
      </w:r>
      <w:r w:rsidR="00721335">
        <w:t xml:space="preserve">there were </w:t>
      </w:r>
      <w:r w:rsidR="00721335" w:rsidRPr="00CA1153">
        <w:t xml:space="preserve">10 or more </w:t>
      </w:r>
      <w:r w:rsidR="003C560A">
        <w:t>PSPF</w:t>
      </w:r>
      <w:r w:rsidR="00721335" w:rsidRPr="00CA1153">
        <w:t xml:space="preserve"> requirements</w:t>
      </w:r>
      <w:r w:rsidR="00721335">
        <w:t xml:space="preserve"> against which it did not achieve full compliance </w:t>
      </w:r>
    </w:p>
    <w:p w14:paraId="142A4B62" w14:textId="77777777" w:rsidR="000109A6" w:rsidRDefault="00C21790" w:rsidP="000109A6">
      <w:pPr>
        <w:pStyle w:val="ListParagraph"/>
        <w:numPr>
          <w:ilvl w:val="0"/>
          <w:numId w:val="43"/>
        </w:numPr>
      </w:pPr>
      <w:r>
        <w:t xml:space="preserve">has not </w:t>
      </w:r>
      <w:r w:rsidR="000109A6" w:rsidRPr="00CA1153">
        <w:t>adopt</w:t>
      </w:r>
      <w:r>
        <w:t>ed</w:t>
      </w:r>
      <w:r w:rsidR="000109A6" w:rsidRPr="00CA1153">
        <w:t xml:space="preserve"> a risk management approach </w:t>
      </w:r>
      <w:r w:rsidR="009B4583">
        <w:t xml:space="preserve">to security </w:t>
      </w:r>
      <w:r w:rsidR="000109A6" w:rsidRPr="00CA1153">
        <w:t>(</w:t>
      </w:r>
      <w:r w:rsidRPr="00CA1153">
        <w:t xml:space="preserve">non-compliance with </w:t>
      </w:r>
      <w:r w:rsidR="000109A6" w:rsidRPr="00CA1153">
        <w:t>GOV</w:t>
      </w:r>
      <w:r w:rsidR="00D448D5">
        <w:t>–</w:t>
      </w:r>
      <w:r w:rsidR="000109A6" w:rsidRPr="00CA1153">
        <w:t>6)</w:t>
      </w:r>
      <w:r w:rsidR="000109A6">
        <w:t>,</w:t>
      </w:r>
      <w:r w:rsidR="000109A6" w:rsidRPr="00CA1153">
        <w:t xml:space="preserve"> </w:t>
      </w:r>
      <w:r w:rsidR="006C1AFA">
        <w:t>and/</w:t>
      </w:r>
      <w:r w:rsidR="00FC1323">
        <w:t>or</w:t>
      </w:r>
      <w:r w:rsidR="000109A6">
        <w:t xml:space="preserve"> </w:t>
      </w:r>
    </w:p>
    <w:p w14:paraId="142A4B63" w14:textId="77777777" w:rsidR="000109A6" w:rsidRDefault="00664BBB" w:rsidP="000109A6">
      <w:pPr>
        <w:pStyle w:val="ListParagraph"/>
        <w:numPr>
          <w:ilvl w:val="0"/>
          <w:numId w:val="43"/>
        </w:numPr>
      </w:pPr>
      <w:r>
        <w:t xml:space="preserve">reports </w:t>
      </w:r>
      <w:r w:rsidR="000109A6" w:rsidRPr="0071516F">
        <w:t xml:space="preserve">a </w:t>
      </w:r>
      <w:r w:rsidR="003C560A">
        <w:t xml:space="preserve">substantive </w:t>
      </w:r>
      <w:r w:rsidR="000109A6" w:rsidRPr="0071516F">
        <w:t xml:space="preserve">decline in </w:t>
      </w:r>
      <w:r w:rsidR="000109A6">
        <w:t>entity</w:t>
      </w:r>
      <w:r w:rsidR="000109A6" w:rsidRPr="0071516F">
        <w:t xml:space="preserve"> compliance </w:t>
      </w:r>
      <w:r w:rsidR="003C560A">
        <w:t>(</w:t>
      </w:r>
      <w:r w:rsidR="000109A6" w:rsidRPr="0071516F">
        <w:t xml:space="preserve">by </w:t>
      </w:r>
      <w:r w:rsidR="0066761B">
        <w:t>three</w:t>
      </w:r>
      <w:r w:rsidR="000109A6" w:rsidRPr="0071516F">
        <w:t xml:space="preserve"> or more mandatory requirements</w:t>
      </w:r>
      <w:r w:rsidR="003C560A">
        <w:t>)</w:t>
      </w:r>
      <w:r w:rsidR="000109A6" w:rsidRPr="00EF21A8">
        <w:t xml:space="preserve">. </w:t>
      </w:r>
    </w:p>
    <w:p w14:paraId="142A4B64" w14:textId="77777777" w:rsidR="00FF2B11" w:rsidRDefault="0066761B" w:rsidP="00C33A38">
      <w:pPr>
        <w:spacing w:after="0"/>
      </w:pPr>
      <w:r>
        <w:t>F</w:t>
      </w:r>
      <w:r w:rsidR="009B4583">
        <w:t xml:space="preserve">ewer </w:t>
      </w:r>
      <w:r w:rsidR="00FC1323">
        <w:t xml:space="preserve">NCCEs </w:t>
      </w:r>
      <w:r w:rsidR="001C0E9F">
        <w:t xml:space="preserve">were </w:t>
      </w:r>
      <w:r w:rsidR="00FC1323">
        <w:t>considered at risk</w:t>
      </w:r>
      <w:r w:rsidR="001C0E9F">
        <w:t xml:space="preserve">, </w:t>
      </w:r>
      <w:r w:rsidR="00E75352">
        <w:t xml:space="preserve">down </w:t>
      </w:r>
      <w:r w:rsidR="001C0E9F">
        <w:t xml:space="preserve">from </w:t>
      </w:r>
      <w:r w:rsidR="009B4583">
        <w:t>21</w:t>
      </w:r>
      <w:r w:rsidR="00FC1323">
        <w:t xml:space="preserve"> in 2015</w:t>
      </w:r>
      <w:r w:rsidR="00D448D5">
        <w:t>–</w:t>
      </w:r>
      <w:r w:rsidR="00FC1323">
        <w:t xml:space="preserve">16 to </w:t>
      </w:r>
      <w:r w:rsidR="009B4583">
        <w:t>16</w:t>
      </w:r>
      <w:r w:rsidR="00FC1323">
        <w:t xml:space="preserve"> in 2016</w:t>
      </w:r>
      <w:r w:rsidR="00D448D5">
        <w:t>–</w:t>
      </w:r>
      <w:r w:rsidR="00FC1323">
        <w:t>17</w:t>
      </w:r>
      <w:r w:rsidR="009B4583">
        <w:t>)</w:t>
      </w:r>
      <w:r w:rsidR="00FC1323">
        <w:t>.</w:t>
      </w:r>
      <w:r w:rsidR="00C33A38">
        <w:t xml:space="preserve"> Of the</w:t>
      </w:r>
      <w:r w:rsidR="00E75352">
        <w:t>se</w:t>
      </w:r>
      <w:r w:rsidR="009B4583">
        <w:t xml:space="preserve"> entities</w:t>
      </w:r>
      <w:r w:rsidR="00FF2B11">
        <w:t>:</w:t>
      </w:r>
    </w:p>
    <w:p w14:paraId="142A4B65" w14:textId="77777777" w:rsidR="00C33A38" w:rsidRDefault="001C0E9F" w:rsidP="00FF2B11">
      <w:pPr>
        <w:pStyle w:val="ListParagraph"/>
        <w:numPr>
          <w:ilvl w:val="0"/>
          <w:numId w:val="43"/>
        </w:numPr>
      </w:pPr>
      <w:r>
        <w:t xml:space="preserve">five </w:t>
      </w:r>
      <w:r w:rsidR="00C33A38">
        <w:t xml:space="preserve">NCCEs were considered at risk against </w:t>
      </w:r>
      <w:r w:rsidR="00FF2B11">
        <w:t>two or more</w:t>
      </w:r>
      <w:r w:rsidR="00C33A38">
        <w:t xml:space="preserve"> risk criterion</w:t>
      </w:r>
    </w:p>
    <w:p w14:paraId="142A4B66" w14:textId="77777777" w:rsidR="003A0E96" w:rsidRDefault="00FF2B11" w:rsidP="00664BBB">
      <w:pPr>
        <w:pStyle w:val="ListParagraph"/>
        <w:numPr>
          <w:ilvl w:val="0"/>
          <w:numId w:val="43"/>
        </w:numPr>
        <w:spacing w:after="0"/>
        <w:ind w:left="357" w:hanging="357"/>
      </w:pPr>
      <w:r>
        <w:t>a further</w:t>
      </w:r>
      <w:r w:rsidR="003A0E96">
        <w:t>:</w:t>
      </w:r>
    </w:p>
    <w:p w14:paraId="142A4B67" w14:textId="77777777" w:rsidR="00C33A38" w:rsidRDefault="001C0E9F" w:rsidP="003A0E96">
      <w:pPr>
        <w:pStyle w:val="ListParagraph"/>
        <w:numPr>
          <w:ilvl w:val="1"/>
          <w:numId w:val="43"/>
        </w:numPr>
        <w:spacing w:after="0"/>
      </w:pPr>
      <w:r>
        <w:t xml:space="preserve">four </w:t>
      </w:r>
      <w:r w:rsidR="00FF2B11">
        <w:t>NCCEs did not adopt a r</w:t>
      </w:r>
      <w:r w:rsidR="00FF2B11" w:rsidRPr="00CA1153">
        <w:t xml:space="preserve">isk management approach </w:t>
      </w:r>
      <w:r w:rsidR="00FF2B11">
        <w:t xml:space="preserve">to security </w:t>
      </w:r>
    </w:p>
    <w:p w14:paraId="142A4B68" w14:textId="77777777" w:rsidR="00FF2B11" w:rsidRDefault="001C0E9F" w:rsidP="003A0E96">
      <w:pPr>
        <w:pStyle w:val="ListParagraph"/>
        <w:numPr>
          <w:ilvl w:val="1"/>
          <w:numId w:val="43"/>
        </w:numPr>
      </w:pPr>
      <w:r>
        <w:t xml:space="preserve">one </w:t>
      </w:r>
      <w:r w:rsidR="008464D4">
        <w:t>entity identified</w:t>
      </w:r>
      <w:r w:rsidR="00FF2B11">
        <w:t xml:space="preserve"> </w:t>
      </w:r>
      <w:r w:rsidR="00FF2B11" w:rsidRPr="00CA1153">
        <w:t>10 or more mandatory requirements</w:t>
      </w:r>
      <w:r w:rsidR="00FF2B11">
        <w:t xml:space="preserve"> against which it did not achieve full compliance</w:t>
      </w:r>
      <w:r w:rsidR="003E35AF">
        <w:t>, and</w:t>
      </w:r>
    </w:p>
    <w:p w14:paraId="142A4B69" w14:textId="77777777" w:rsidR="003A0E96" w:rsidRDefault="001C0E9F" w:rsidP="003A0E96">
      <w:pPr>
        <w:pStyle w:val="ListParagraph"/>
        <w:numPr>
          <w:ilvl w:val="1"/>
          <w:numId w:val="43"/>
        </w:numPr>
      </w:pPr>
      <w:r>
        <w:t xml:space="preserve">five </w:t>
      </w:r>
      <w:r w:rsidR="003A0E96">
        <w:t xml:space="preserve">NCCEs reported a decline in compliance by </w:t>
      </w:r>
      <w:r>
        <w:t>three</w:t>
      </w:r>
      <w:r w:rsidR="003A0E96">
        <w:t xml:space="preserve"> or more requirements.</w:t>
      </w:r>
      <w:r w:rsidR="003C560A">
        <w:rPr>
          <w:rStyle w:val="FootnoteReference"/>
        </w:rPr>
        <w:footnoteReference w:id="3"/>
      </w:r>
    </w:p>
    <w:p w14:paraId="142A4B6A" w14:textId="77777777" w:rsidR="000109A6" w:rsidRPr="00BF3BF7" w:rsidRDefault="000109A6" w:rsidP="000109A6">
      <w:pPr>
        <w:pStyle w:val="Heading4"/>
      </w:pPr>
      <w:bookmarkStart w:id="5" w:name="Infosec"/>
      <w:r>
        <w:t xml:space="preserve">Entities </w:t>
      </w:r>
      <w:r w:rsidR="00D5520D">
        <w:t xml:space="preserve">demonstrating better-practice </w:t>
      </w:r>
    </w:p>
    <w:p w14:paraId="142A4B6B" w14:textId="77777777" w:rsidR="000054A9" w:rsidRPr="006F7D3A" w:rsidRDefault="000054A9" w:rsidP="006549A7">
      <w:pPr>
        <w:keepNext/>
        <w:spacing w:after="0"/>
        <w:rPr>
          <w:color w:val="000000"/>
        </w:rPr>
      </w:pPr>
      <w:bookmarkStart w:id="6" w:name="Nextsteps"/>
      <w:bookmarkEnd w:id="5"/>
      <w:r w:rsidRPr="006F7D3A">
        <w:rPr>
          <w:color w:val="000000"/>
        </w:rPr>
        <w:t xml:space="preserve">The Australian Public Service Commission (APSC) groups </w:t>
      </w:r>
      <w:r>
        <w:rPr>
          <w:color w:val="000000"/>
        </w:rPr>
        <w:t>entities</w:t>
      </w:r>
      <w:r w:rsidRPr="006F7D3A">
        <w:rPr>
          <w:color w:val="000000"/>
        </w:rPr>
        <w:t xml:space="preserve"> </w:t>
      </w:r>
      <w:r w:rsidR="00664BBB">
        <w:rPr>
          <w:color w:val="000000"/>
        </w:rPr>
        <w:t>by size and</w:t>
      </w:r>
      <w:r w:rsidRPr="006F7D3A">
        <w:rPr>
          <w:color w:val="000000"/>
        </w:rPr>
        <w:t xml:space="preserve"> function</w:t>
      </w:r>
      <w:r>
        <w:rPr>
          <w:rStyle w:val="FootnoteReference"/>
          <w:color w:val="000000"/>
        </w:rPr>
        <w:footnoteReference w:id="4"/>
      </w:r>
      <w:r w:rsidR="0087423B">
        <w:rPr>
          <w:color w:val="000000"/>
        </w:rPr>
        <w:t>.</w:t>
      </w:r>
      <w:r w:rsidR="00BA4361">
        <w:rPr>
          <w:color w:val="000000"/>
        </w:rPr>
        <w:t xml:space="preserve"> </w:t>
      </w:r>
      <w:r w:rsidR="00BA4361" w:rsidRPr="00BA4361">
        <w:t>In 2016</w:t>
      </w:r>
      <w:r w:rsidR="00D448D5">
        <w:t>–</w:t>
      </w:r>
      <w:r w:rsidR="00BA4361" w:rsidRPr="00BA4361">
        <w:t>17</w:t>
      </w:r>
      <w:r w:rsidR="00BA4361">
        <w:t>:</w:t>
      </w:r>
    </w:p>
    <w:p w14:paraId="142A4B6C" w14:textId="77777777" w:rsidR="000054A9" w:rsidRDefault="00A97397" w:rsidP="00BA4361">
      <w:pPr>
        <w:pStyle w:val="ListParagraph"/>
        <w:numPr>
          <w:ilvl w:val="0"/>
          <w:numId w:val="43"/>
        </w:numPr>
      </w:pPr>
      <w:r>
        <w:t xml:space="preserve">the entity function types </w:t>
      </w:r>
      <w:r w:rsidRPr="00BA4361">
        <w:t>more likely to report full compliance ag</w:t>
      </w:r>
      <w:r>
        <w:t xml:space="preserve">ainst requirements were </w:t>
      </w:r>
      <w:r w:rsidR="00BA4361">
        <w:t>s</w:t>
      </w:r>
      <w:r w:rsidR="00664BBB" w:rsidRPr="00BA4361">
        <w:t>pecialist and smaller operational entities</w:t>
      </w:r>
      <w:r w:rsidR="008464D4">
        <w:t>, and</w:t>
      </w:r>
    </w:p>
    <w:p w14:paraId="142A4B6D" w14:textId="77777777" w:rsidR="00BA4361" w:rsidRPr="00BA4361" w:rsidRDefault="00A97397" w:rsidP="00BA4361">
      <w:pPr>
        <w:pStyle w:val="ListParagraph"/>
        <w:numPr>
          <w:ilvl w:val="0"/>
          <w:numId w:val="43"/>
        </w:numPr>
      </w:pPr>
      <w:r>
        <w:t xml:space="preserve">the entity sizes </w:t>
      </w:r>
      <w:r w:rsidR="008464D4">
        <w:t>most</w:t>
      </w:r>
      <w:r w:rsidR="008464D4" w:rsidRPr="00BA4361">
        <w:t xml:space="preserve"> </w:t>
      </w:r>
      <w:r w:rsidRPr="00BA4361">
        <w:t xml:space="preserve">likely to report compliance against all PSPF requirements </w:t>
      </w:r>
      <w:r>
        <w:t xml:space="preserve">were </w:t>
      </w:r>
      <w:r w:rsidR="00BA4361">
        <w:t xml:space="preserve">micro, extra small and </w:t>
      </w:r>
      <w:r w:rsidR="00BA4361" w:rsidRPr="00BA4361">
        <w:t>small</w:t>
      </w:r>
      <w:r w:rsidR="00BA4361">
        <w:t xml:space="preserve"> </w:t>
      </w:r>
      <w:r w:rsidR="00BA4361" w:rsidRPr="00BA4361">
        <w:t xml:space="preserve">entities </w:t>
      </w:r>
      <w:r>
        <w:t>(up to 250 people)</w:t>
      </w:r>
      <w:r w:rsidR="00BA4361">
        <w:t>.</w:t>
      </w:r>
    </w:p>
    <w:p w14:paraId="142A4B6E" w14:textId="77777777" w:rsidR="00274DCA" w:rsidRPr="00274DCA" w:rsidRDefault="00274DCA" w:rsidP="00274DCA">
      <w:pPr>
        <w:pStyle w:val="Heading3"/>
      </w:pPr>
      <w:r w:rsidRPr="00274DCA">
        <w:lastRenderedPageBreak/>
        <w:t>CCE compliance summary</w:t>
      </w:r>
    </w:p>
    <w:p w14:paraId="142A4B6F" w14:textId="77777777" w:rsidR="00274DCA" w:rsidRDefault="00274DCA" w:rsidP="00274DCA">
      <w:pPr>
        <w:rPr>
          <w:color w:val="000000"/>
        </w:rPr>
      </w:pPr>
      <w:r>
        <w:rPr>
          <w:color w:val="000000"/>
        </w:rPr>
        <w:t>F</w:t>
      </w:r>
      <w:r w:rsidRPr="001514A2">
        <w:rPr>
          <w:color w:val="000000"/>
        </w:rPr>
        <w:t xml:space="preserve">ive </w:t>
      </w:r>
      <w:r w:rsidR="0087423B">
        <w:rPr>
          <w:color w:val="000000"/>
        </w:rPr>
        <w:t>CCEs</w:t>
      </w:r>
      <w:r>
        <w:rPr>
          <w:color w:val="000000"/>
        </w:rPr>
        <w:t xml:space="preserve"> submitted a PSPF compliance report in</w:t>
      </w:r>
      <w:r w:rsidRPr="001514A2">
        <w:rPr>
          <w:color w:val="000000"/>
        </w:rPr>
        <w:t xml:space="preserve"> </w:t>
      </w:r>
      <w:r w:rsidR="00D448D5">
        <w:rPr>
          <w:color w:val="000000"/>
        </w:rPr>
        <w:br/>
      </w:r>
      <w:r w:rsidRPr="001514A2">
        <w:rPr>
          <w:color w:val="000000"/>
        </w:rPr>
        <w:t>2016</w:t>
      </w:r>
      <w:r w:rsidR="00D448D5">
        <w:t>–</w:t>
      </w:r>
      <w:r w:rsidR="001C0E9F">
        <w:rPr>
          <w:color w:val="000000"/>
        </w:rPr>
        <w:t>1</w:t>
      </w:r>
      <w:r w:rsidRPr="001514A2">
        <w:rPr>
          <w:color w:val="000000"/>
        </w:rPr>
        <w:t>7</w:t>
      </w:r>
      <w:r>
        <w:rPr>
          <w:color w:val="000000"/>
        </w:rPr>
        <w:t xml:space="preserve"> (down from 12 in 2015</w:t>
      </w:r>
      <w:r w:rsidR="00D448D5">
        <w:t>–</w:t>
      </w:r>
      <w:r>
        <w:rPr>
          <w:color w:val="000000"/>
        </w:rPr>
        <w:t>16). Noting the very small sample size, significant variations in year-to-year reported compliance can be expected.</w:t>
      </w:r>
    </w:p>
    <w:p w14:paraId="142A4B70" w14:textId="77777777" w:rsidR="00274DCA" w:rsidRDefault="00274DCA" w:rsidP="00274DCA">
      <w:pPr>
        <w:rPr>
          <w:color w:val="000000"/>
        </w:rPr>
      </w:pPr>
      <w:r>
        <w:rPr>
          <w:color w:val="000000"/>
        </w:rPr>
        <w:t>T</w:t>
      </w:r>
      <w:r w:rsidRPr="001514A2">
        <w:rPr>
          <w:color w:val="000000"/>
        </w:rPr>
        <w:t xml:space="preserve">wo </w:t>
      </w:r>
      <w:r>
        <w:rPr>
          <w:color w:val="000000"/>
        </w:rPr>
        <w:t>CCEs</w:t>
      </w:r>
      <w:r w:rsidRPr="001514A2">
        <w:rPr>
          <w:color w:val="000000"/>
        </w:rPr>
        <w:t xml:space="preserve"> </w:t>
      </w:r>
      <w:r>
        <w:rPr>
          <w:color w:val="000000"/>
        </w:rPr>
        <w:t xml:space="preserve">(40%) </w:t>
      </w:r>
      <w:r w:rsidRPr="001514A2">
        <w:rPr>
          <w:color w:val="000000"/>
        </w:rPr>
        <w:t>claimed full compliance with all 36 mandatory requirements</w:t>
      </w:r>
      <w:r>
        <w:rPr>
          <w:color w:val="000000"/>
        </w:rPr>
        <w:t xml:space="preserve">, above the NCCE average of 35.5% (33 </w:t>
      </w:r>
      <w:r w:rsidR="00E6324A">
        <w:rPr>
          <w:color w:val="000000"/>
        </w:rPr>
        <w:t>entities</w:t>
      </w:r>
      <w:r>
        <w:rPr>
          <w:color w:val="000000"/>
        </w:rPr>
        <w:t xml:space="preserve">) but well below the 58% of CCEs </w:t>
      </w:r>
      <w:r w:rsidR="0087423B">
        <w:rPr>
          <w:color w:val="000000"/>
        </w:rPr>
        <w:t>(7</w:t>
      </w:r>
      <w:r w:rsidR="00E6324A">
        <w:rPr>
          <w:color w:val="000000"/>
        </w:rPr>
        <w:t> </w:t>
      </w:r>
      <w:r w:rsidR="0087423B">
        <w:rPr>
          <w:color w:val="000000"/>
        </w:rPr>
        <w:t>of</w:t>
      </w:r>
      <w:r w:rsidR="00E6324A">
        <w:rPr>
          <w:color w:val="000000"/>
        </w:rPr>
        <w:t> </w:t>
      </w:r>
      <w:r w:rsidR="0087423B">
        <w:rPr>
          <w:color w:val="000000"/>
        </w:rPr>
        <w:t xml:space="preserve">12) </w:t>
      </w:r>
      <w:r>
        <w:rPr>
          <w:color w:val="000000"/>
        </w:rPr>
        <w:t>reporting full compliance in 2015</w:t>
      </w:r>
      <w:r w:rsidR="00D448D5">
        <w:t>–</w:t>
      </w:r>
      <w:r>
        <w:rPr>
          <w:color w:val="000000"/>
        </w:rPr>
        <w:t>16</w:t>
      </w:r>
      <w:r w:rsidRPr="001514A2">
        <w:rPr>
          <w:color w:val="000000"/>
        </w:rPr>
        <w:t xml:space="preserve">. </w:t>
      </w:r>
    </w:p>
    <w:p w14:paraId="142A4B71" w14:textId="77777777" w:rsidR="00274DCA" w:rsidRPr="00EE08D0" w:rsidRDefault="00274DCA" w:rsidP="00274DCA">
      <w:pPr>
        <w:spacing w:after="0"/>
        <w:rPr>
          <w:color w:val="000000"/>
        </w:rPr>
      </w:pPr>
      <w:r w:rsidRPr="00EE08D0">
        <w:rPr>
          <w:color w:val="000000"/>
        </w:rPr>
        <w:t xml:space="preserve">On average, </w:t>
      </w:r>
      <w:r w:rsidR="0087423B">
        <w:rPr>
          <w:color w:val="000000"/>
        </w:rPr>
        <w:t>CCEs</w:t>
      </w:r>
      <w:r w:rsidRPr="00EE08D0">
        <w:rPr>
          <w:color w:val="000000"/>
        </w:rPr>
        <w:t xml:space="preserve"> reported full compliance with 35 of the 36 mandatory requirements</w:t>
      </w:r>
      <w:r w:rsidR="0087423B">
        <w:rPr>
          <w:color w:val="000000"/>
        </w:rPr>
        <w:t>;</w:t>
      </w:r>
      <w:r w:rsidRPr="00EE08D0">
        <w:rPr>
          <w:color w:val="000000"/>
        </w:rPr>
        <w:t xml:space="preserve"> this is a slight improvement from the 34.4 compliance average </w:t>
      </w:r>
      <w:r w:rsidR="00C0385A" w:rsidRPr="00EE08D0">
        <w:rPr>
          <w:color w:val="000000"/>
        </w:rPr>
        <w:t>report</w:t>
      </w:r>
      <w:r w:rsidR="00C0385A">
        <w:rPr>
          <w:color w:val="000000"/>
        </w:rPr>
        <w:t>ed</w:t>
      </w:r>
      <w:r w:rsidR="00C0385A" w:rsidRPr="00EE08D0">
        <w:rPr>
          <w:color w:val="000000"/>
        </w:rPr>
        <w:t xml:space="preserve"> </w:t>
      </w:r>
      <w:r w:rsidRPr="00EE08D0">
        <w:rPr>
          <w:color w:val="000000"/>
        </w:rPr>
        <w:t>in 2015</w:t>
      </w:r>
      <w:r w:rsidR="00D448D5">
        <w:t>–</w:t>
      </w:r>
      <w:r w:rsidRPr="00EE08D0">
        <w:rPr>
          <w:color w:val="000000"/>
        </w:rPr>
        <w:t>16 (and above the 32.8 </w:t>
      </w:r>
      <w:r>
        <w:rPr>
          <w:color w:val="000000"/>
        </w:rPr>
        <w:t>NCCE</w:t>
      </w:r>
      <w:r w:rsidRPr="00EE08D0">
        <w:rPr>
          <w:color w:val="000000"/>
        </w:rPr>
        <w:t xml:space="preserve"> average). </w:t>
      </w:r>
      <w:r w:rsidR="001C0E9F">
        <w:rPr>
          <w:color w:val="000000"/>
        </w:rPr>
        <w:t>CCEs reported:</w:t>
      </w:r>
    </w:p>
    <w:p w14:paraId="142A4B72" w14:textId="77777777" w:rsidR="00274DCA" w:rsidRPr="00274DCA" w:rsidRDefault="003E35AF" w:rsidP="00274DCA">
      <w:pPr>
        <w:pStyle w:val="ListParagraph"/>
        <w:numPr>
          <w:ilvl w:val="0"/>
          <w:numId w:val="43"/>
        </w:numPr>
      </w:pPr>
      <w:r>
        <w:t>f</w:t>
      </w:r>
      <w:r w:rsidR="00274DCA">
        <w:t>ull compliance with all PERSEC requirements. T</w:t>
      </w:r>
      <w:r w:rsidR="00274DCA" w:rsidRPr="00274DCA">
        <w:t xml:space="preserve">here was one citizenship waiver, held at the Baseline level, across all </w:t>
      </w:r>
      <w:r w:rsidR="001C0E9F">
        <w:t>five </w:t>
      </w:r>
      <w:r>
        <w:t>entities</w:t>
      </w:r>
    </w:p>
    <w:p w14:paraId="142A4B73" w14:textId="77777777" w:rsidR="00274DCA" w:rsidRDefault="003E35AF" w:rsidP="00274DCA">
      <w:pPr>
        <w:pStyle w:val="ListParagraph"/>
        <w:numPr>
          <w:ilvl w:val="0"/>
          <w:numId w:val="43"/>
        </w:numPr>
      </w:pPr>
      <w:r>
        <w:t>f</w:t>
      </w:r>
      <w:r w:rsidR="00274DCA">
        <w:t>ull compliance with all</w:t>
      </w:r>
      <w:r w:rsidR="001C0E9F">
        <w:t xml:space="preserve"> </w:t>
      </w:r>
      <w:r w:rsidR="00274DCA">
        <w:t xml:space="preserve">PHYSEC mandatory </w:t>
      </w:r>
      <w:r w:rsidR="001C0E9F">
        <w:t xml:space="preserve">requirements </w:t>
      </w:r>
      <w:r w:rsidR="00274DCA">
        <w:t>(an increase from 6.</w:t>
      </w:r>
      <w:r>
        <w:t>9 of 7 requirements in 2015</w:t>
      </w:r>
      <w:r w:rsidR="00D448D5">
        <w:t>–</w:t>
      </w:r>
      <w:r>
        <w:t>16)</w:t>
      </w:r>
    </w:p>
    <w:p w14:paraId="142A4B74" w14:textId="77777777" w:rsidR="00274DCA" w:rsidRPr="00D6278F" w:rsidRDefault="00274DCA" w:rsidP="00274DCA">
      <w:pPr>
        <w:pStyle w:val="ListParagraph"/>
        <w:numPr>
          <w:ilvl w:val="0"/>
          <w:numId w:val="43"/>
        </w:numPr>
      </w:pPr>
      <w:r>
        <w:t>high rates of c</w:t>
      </w:r>
      <w:r w:rsidRPr="00D6278F">
        <w:t xml:space="preserve">ompliance </w:t>
      </w:r>
      <w:r>
        <w:t xml:space="preserve">with </w:t>
      </w:r>
      <w:r w:rsidRPr="00D6278F">
        <w:t>GOVSEC mandatory requirements</w:t>
      </w:r>
      <w:r>
        <w:t>. On average, CCEs complied</w:t>
      </w:r>
      <w:r w:rsidRPr="00D6278F">
        <w:t xml:space="preserve"> with 12.4 of 13 </w:t>
      </w:r>
      <w:r>
        <w:t>requirements (95.4%) in both 2015-16 and 2016</w:t>
      </w:r>
      <w:r w:rsidR="00D448D5">
        <w:t>–</w:t>
      </w:r>
      <w:r>
        <w:t>17 (slightly above NCCE average of 1</w:t>
      </w:r>
      <w:r w:rsidR="003E35AF">
        <w:t>2), and</w:t>
      </w:r>
    </w:p>
    <w:p w14:paraId="142A4B75" w14:textId="77777777" w:rsidR="00274DCA" w:rsidRDefault="003E35AF" w:rsidP="00274DCA">
      <w:pPr>
        <w:pStyle w:val="ListParagraph"/>
        <w:numPr>
          <w:ilvl w:val="0"/>
          <w:numId w:val="43"/>
        </w:numPr>
      </w:pPr>
      <w:r>
        <w:t>l</w:t>
      </w:r>
      <w:r w:rsidR="00274DCA">
        <w:t xml:space="preserve">ike NCCEs, compliance was lowest in relation to INFOSEC requirements. CCEs reported compliance </w:t>
      </w:r>
      <w:r w:rsidR="001C0E9F">
        <w:t xml:space="preserve">with </w:t>
      </w:r>
      <w:r w:rsidR="00274DCA" w:rsidRPr="00D6278F">
        <w:t xml:space="preserve">6.6 </w:t>
      </w:r>
      <w:r w:rsidR="00274DCA">
        <w:t>o</w:t>
      </w:r>
      <w:r w:rsidR="00274DCA" w:rsidRPr="00D6278F">
        <w:t xml:space="preserve">f 7 </w:t>
      </w:r>
      <w:r w:rsidR="00274DCA">
        <w:t>requirements in 2016</w:t>
      </w:r>
      <w:r w:rsidR="00D448D5">
        <w:t>–</w:t>
      </w:r>
      <w:r w:rsidR="00274DCA">
        <w:t>17 (</w:t>
      </w:r>
      <w:r w:rsidR="00274DCA" w:rsidRPr="00D6278F">
        <w:t>94.3%)</w:t>
      </w:r>
      <w:r w:rsidR="00274DCA">
        <w:t>, compared to 6.7 out of 7 in 2015</w:t>
      </w:r>
      <w:r w:rsidR="00D448D5">
        <w:t>–</w:t>
      </w:r>
      <w:r w:rsidR="00274DCA">
        <w:t>16.</w:t>
      </w:r>
    </w:p>
    <w:p w14:paraId="142A4B76" w14:textId="77777777" w:rsidR="00B06394" w:rsidRPr="006D14A9" w:rsidRDefault="006549A7" w:rsidP="00274DCA">
      <w:pPr>
        <w:pStyle w:val="Heading3"/>
      </w:pPr>
      <w:r>
        <w:br w:type="column"/>
      </w:r>
      <w:r w:rsidR="00441149" w:rsidRPr="006D14A9">
        <w:t xml:space="preserve">Next </w:t>
      </w:r>
      <w:bookmarkEnd w:id="6"/>
      <w:r w:rsidR="00EA080A">
        <w:t>s</w:t>
      </w:r>
      <w:r w:rsidR="00441149" w:rsidRPr="006D14A9">
        <w:t>teps</w:t>
      </w:r>
      <w:r w:rsidR="006C2922" w:rsidRPr="006D14A9">
        <w:t xml:space="preserve">: </w:t>
      </w:r>
      <w:r w:rsidR="00EA080A">
        <w:t>f</w:t>
      </w:r>
      <w:r w:rsidR="006C2922" w:rsidRPr="006D14A9">
        <w:t xml:space="preserve">uture </w:t>
      </w:r>
      <w:r w:rsidR="001C0E9F">
        <w:t>p</w:t>
      </w:r>
      <w:r w:rsidR="006C2922" w:rsidRPr="006D14A9">
        <w:t xml:space="preserve">olicy </w:t>
      </w:r>
      <w:r w:rsidR="001C0E9F">
        <w:t>r</w:t>
      </w:r>
      <w:r w:rsidR="006C2922" w:rsidRPr="006D14A9">
        <w:t>eforms</w:t>
      </w:r>
    </w:p>
    <w:p w14:paraId="142A4B77" w14:textId="77777777" w:rsidR="00882D8B" w:rsidRDefault="00FF2FBD" w:rsidP="00882D8B">
      <w:r w:rsidRPr="006A56BE">
        <w:t xml:space="preserve">The PSPF was considered as part of the </w:t>
      </w:r>
      <w:r w:rsidRPr="006D14A9">
        <w:rPr>
          <w:i/>
        </w:rPr>
        <w:t>Independent Review of Whole-of-Government Internal Regulation</w:t>
      </w:r>
      <w:r w:rsidRPr="004A1A03">
        <w:t xml:space="preserve"> (Belcher </w:t>
      </w:r>
      <w:r w:rsidRPr="006A56BE">
        <w:t>Review</w:t>
      </w:r>
      <w:r w:rsidRPr="004A1A03">
        <w:t xml:space="preserve">). </w:t>
      </w:r>
      <w:r w:rsidR="000109A6">
        <w:t>In 2017</w:t>
      </w:r>
      <w:r w:rsidR="0087423B">
        <w:t>,</w:t>
      </w:r>
      <w:r w:rsidR="000109A6">
        <w:t xml:space="preserve"> </w:t>
      </w:r>
      <w:r w:rsidR="003C560A">
        <w:t xml:space="preserve">Secretaries’ Board agreed to reform the PSPF </w:t>
      </w:r>
      <w:r w:rsidR="000109A6">
        <w:t xml:space="preserve">in response to the Belcher Review’s recommendations </w:t>
      </w:r>
      <w:r w:rsidR="00882D8B">
        <w:t>with a new framework to commence from 1</w:t>
      </w:r>
      <w:r w:rsidR="003C560A">
        <w:t> </w:t>
      </w:r>
      <w:r w:rsidR="00F61C69">
        <w:t>October</w:t>
      </w:r>
      <w:r w:rsidR="00882D8B">
        <w:t xml:space="preserve"> 2018. </w:t>
      </w:r>
    </w:p>
    <w:p w14:paraId="142A4B78" w14:textId="77777777" w:rsidR="00635735" w:rsidRDefault="00882D8B" w:rsidP="00824267">
      <w:pPr>
        <w:rPr>
          <w:rFonts w:eastAsia="Times New Roman"/>
          <w:color w:val="000000"/>
          <w:lang w:eastAsia="en-AU"/>
        </w:rPr>
      </w:pPr>
      <w:r w:rsidRPr="0066249E">
        <w:rPr>
          <w:rFonts w:eastAsia="Times New Roman"/>
          <w:color w:val="000000"/>
          <w:lang w:eastAsia="en-AU"/>
        </w:rPr>
        <w:t>Of note, the current 36 requirements will be consolidated to a set of 16 core requirements</w:t>
      </w:r>
      <w:r w:rsidR="00FF2FBD" w:rsidRPr="0066249E">
        <w:rPr>
          <w:rFonts w:eastAsia="Times New Roman"/>
          <w:color w:val="000000"/>
          <w:lang w:eastAsia="en-AU"/>
        </w:rPr>
        <w:t>.</w:t>
      </w:r>
      <w:r w:rsidRPr="0066249E">
        <w:rPr>
          <w:rFonts w:eastAsia="Times New Roman"/>
          <w:color w:val="000000"/>
          <w:lang w:eastAsia="en-AU"/>
        </w:rPr>
        <w:t xml:space="preserve"> </w:t>
      </w:r>
    </w:p>
    <w:p w14:paraId="142A4B79" w14:textId="77777777" w:rsidR="009B5DB6" w:rsidRDefault="003C560A" w:rsidP="00635735">
      <w:pPr>
        <w:rPr>
          <w:rFonts w:eastAsia="Times New Roman"/>
          <w:color w:val="000000"/>
          <w:lang w:eastAsia="en-AU"/>
        </w:rPr>
      </w:pPr>
      <w:r>
        <w:rPr>
          <w:rFonts w:eastAsia="Times New Roman"/>
          <w:color w:val="000000"/>
          <w:lang w:eastAsia="en-AU"/>
        </w:rPr>
        <w:t>A</w:t>
      </w:r>
      <w:r w:rsidR="00635735">
        <w:rPr>
          <w:rFonts w:eastAsia="Times New Roman"/>
          <w:color w:val="000000"/>
          <w:lang w:eastAsia="en-AU"/>
        </w:rPr>
        <w:t>dditionally, a</w:t>
      </w:r>
      <w:r w:rsidR="004B7797" w:rsidRPr="0066249E">
        <w:rPr>
          <w:rFonts w:eastAsia="Times New Roman"/>
          <w:color w:val="000000"/>
          <w:lang w:eastAsia="en-AU"/>
        </w:rPr>
        <w:t xml:space="preserve"> maturity model </w:t>
      </w:r>
      <w:r>
        <w:rPr>
          <w:rFonts w:eastAsia="Times New Roman"/>
          <w:color w:val="000000"/>
          <w:lang w:eastAsia="en-AU"/>
        </w:rPr>
        <w:t>will</w:t>
      </w:r>
      <w:r w:rsidR="00882D8B" w:rsidRPr="0066249E">
        <w:rPr>
          <w:rFonts w:eastAsia="Times New Roman"/>
          <w:color w:val="000000"/>
          <w:lang w:eastAsia="en-AU"/>
        </w:rPr>
        <w:t xml:space="preserve"> replace current</w:t>
      </w:r>
      <w:r w:rsidR="004B7797" w:rsidRPr="0066249E">
        <w:rPr>
          <w:rFonts w:eastAsia="Times New Roman"/>
          <w:color w:val="000000"/>
          <w:lang w:eastAsia="en-AU"/>
        </w:rPr>
        <w:t xml:space="preserve"> annual PSPF </w:t>
      </w:r>
      <w:r w:rsidR="00882D8B" w:rsidRPr="0066249E">
        <w:rPr>
          <w:rFonts w:eastAsia="Times New Roman"/>
          <w:color w:val="000000"/>
          <w:lang w:eastAsia="en-AU"/>
        </w:rPr>
        <w:t xml:space="preserve">compliance </w:t>
      </w:r>
      <w:r w:rsidR="004B7797" w:rsidRPr="0066249E">
        <w:rPr>
          <w:rFonts w:eastAsia="Times New Roman"/>
          <w:color w:val="000000"/>
          <w:lang w:eastAsia="en-AU"/>
        </w:rPr>
        <w:t>reporting</w:t>
      </w:r>
      <w:r w:rsidR="00BB059F" w:rsidRPr="0066249E">
        <w:rPr>
          <w:rFonts w:eastAsia="Times New Roman"/>
          <w:color w:val="000000"/>
          <w:lang w:eastAsia="en-AU"/>
        </w:rPr>
        <w:t xml:space="preserve"> </w:t>
      </w:r>
      <w:r w:rsidR="00882D8B" w:rsidRPr="0066249E">
        <w:rPr>
          <w:rFonts w:eastAsia="Times New Roman"/>
          <w:color w:val="000000"/>
          <w:lang w:eastAsia="en-AU"/>
        </w:rPr>
        <w:t xml:space="preserve">(intended </w:t>
      </w:r>
      <w:r w:rsidR="005E4CF8" w:rsidRPr="0066249E">
        <w:rPr>
          <w:rFonts w:eastAsia="Times New Roman"/>
          <w:color w:val="000000"/>
          <w:lang w:eastAsia="en-AU"/>
        </w:rPr>
        <w:t xml:space="preserve">for implementation in </w:t>
      </w:r>
      <w:r w:rsidR="004B7797" w:rsidRPr="0066249E">
        <w:rPr>
          <w:rFonts w:eastAsia="Times New Roman"/>
          <w:color w:val="000000"/>
          <w:lang w:eastAsia="en-AU"/>
        </w:rPr>
        <w:t>2018</w:t>
      </w:r>
      <w:r w:rsidR="00D448D5">
        <w:t>–</w:t>
      </w:r>
      <w:r w:rsidR="004B7797" w:rsidRPr="0066249E">
        <w:rPr>
          <w:rFonts w:eastAsia="Times New Roman"/>
          <w:color w:val="000000"/>
          <w:lang w:eastAsia="en-AU"/>
        </w:rPr>
        <w:t>19</w:t>
      </w:r>
      <w:r w:rsidR="00882D8B" w:rsidRPr="0066249E">
        <w:rPr>
          <w:rFonts w:eastAsia="Times New Roman"/>
          <w:color w:val="000000"/>
          <w:lang w:eastAsia="en-AU"/>
        </w:rPr>
        <w:t>)</w:t>
      </w:r>
      <w:r w:rsidR="00635735">
        <w:rPr>
          <w:rFonts w:eastAsia="Times New Roman"/>
          <w:color w:val="000000"/>
          <w:lang w:eastAsia="en-AU"/>
        </w:rPr>
        <w:t>. W</w:t>
      </w:r>
      <w:r w:rsidR="005637E7">
        <w:rPr>
          <w:rFonts w:eastAsia="Times New Roman"/>
          <w:color w:val="000000"/>
          <w:lang w:eastAsia="en-AU"/>
        </w:rPr>
        <w:t>hile</w:t>
      </w:r>
      <w:r w:rsidR="00635735">
        <w:rPr>
          <w:rFonts w:eastAsia="Times New Roman"/>
          <w:color w:val="000000"/>
          <w:lang w:eastAsia="en-AU"/>
        </w:rPr>
        <w:t xml:space="preserve"> reporting has historically focused on binary </w:t>
      </w:r>
      <w:r w:rsidR="005637E7">
        <w:rPr>
          <w:rFonts w:eastAsia="Times New Roman"/>
          <w:color w:val="000000"/>
          <w:lang w:eastAsia="en-AU"/>
        </w:rPr>
        <w:t>indicators</w:t>
      </w:r>
      <w:r w:rsidR="00635735">
        <w:rPr>
          <w:rFonts w:eastAsia="Times New Roman"/>
          <w:color w:val="000000"/>
          <w:lang w:eastAsia="en-AU"/>
        </w:rPr>
        <w:t xml:space="preserve"> of whether an entity is fully compliant with a PSPF requirement (or otherwise), </w:t>
      </w:r>
      <w:r w:rsidR="005637E7">
        <w:rPr>
          <w:rFonts w:eastAsia="Times New Roman"/>
          <w:color w:val="000000"/>
          <w:lang w:eastAsia="en-AU"/>
        </w:rPr>
        <w:t xml:space="preserve">future reporting will be more nuanced </w:t>
      </w:r>
      <w:r w:rsidR="0041366A">
        <w:rPr>
          <w:rFonts w:eastAsia="Times New Roman"/>
          <w:color w:val="000000"/>
          <w:lang w:eastAsia="en-AU"/>
        </w:rPr>
        <w:t xml:space="preserve">towards </w:t>
      </w:r>
      <w:r w:rsidR="005637E7">
        <w:rPr>
          <w:rFonts w:eastAsia="Times New Roman"/>
          <w:color w:val="000000"/>
          <w:lang w:eastAsia="en-AU"/>
        </w:rPr>
        <w:t>considering how well entities implement the PSPF in their organisation.</w:t>
      </w:r>
      <w:r w:rsidR="005637E7">
        <w:rPr>
          <w:rStyle w:val="FootnoteReference"/>
          <w:rFonts w:eastAsia="Times New Roman"/>
          <w:color w:val="000000"/>
          <w:lang w:eastAsia="en-AU"/>
        </w:rPr>
        <w:footnoteReference w:id="5"/>
      </w:r>
      <w:r w:rsidR="005637E7">
        <w:rPr>
          <w:rFonts w:eastAsia="Times New Roman"/>
          <w:color w:val="000000"/>
          <w:lang w:eastAsia="en-AU"/>
        </w:rPr>
        <w:t xml:space="preserve"> </w:t>
      </w:r>
    </w:p>
    <w:p w14:paraId="142A4B7A" w14:textId="77777777" w:rsidR="00052F19" w:rsidRDefault="005637E7" w:rsidP="00052F19">
      <w:pPr>
        <w:rPr>
          <w:rFonts w:eastAsia="Times New Roman"/>
          <w:color w:val="000000"/>
          <w:lang w:eastAsia="en-AU"/>
        </w:rPr>
      </w:pPr>
      <w:r w:rsidRPr="005637E7">
        <w:rPr>
          <w:rFonts w:eastAsia="Times New Roman"/>
          <w:color w:val="000000"/>
          <w:lang w:eastAsia="en-AU"/>
        </w:rPr>
        <w:t>Security maturity reporting aims to capture the level of implementation of an entity’s protective security practices to protect its people, information and assets. It provides an assessment of an entity’s protective security risk posture a</w:t>
      </w:r>
      <w:r w:rsidR="0041366A">
        <w:rPr>
          <w:rFonts w:eastAsia="Times New Roman"/>
          <w:color w:val="000000"/>
          <w:lang w:eastAsia="en-AU"/>
        </w:rPr>
        <w:t>s well as</w:t>
      </w:r>
      <w:r w:rsidRPr="005637E7">
        <w:rPr>
          <w:rFonts w:eastAsia="Times New Roman"/>
          <w:color w:val="000000"/>
          <w:lang w:eastAsia="en-AU"/>
        </w:rPr>
        <w:t xml:space="preserve"> its ability to protect government resources and identify key security risks and vulnerabilities.</w:t>
      </w:r>
      <w:r w:rsidR="00052F19">
        <w:rPr>
          <w:rFonts w:eastAsia="Times New Roman"/>
          <w:color w:val="000000"/>
          <w:lang w:eastAsia="en-AU"/>
        </w:rPr>
        <w:t xml:space="preserve"> </w:t>
      </w:r>
    </w:p>
    <w:p w14:paraId="142A4B7B" w14:textId="77777777" w:rsidR="00052F19" w:rsidRDefault="00052F19">
      <w:pPr>
        <w:rPr>
          <w:rFonts w:eastAsia="Times New Roman"/>
          <w:color w:val="000000"/>
          <w:lang w:eastAsia="en-AU"/>
        </w:rPr>
      </w:pPr>
    </w:p>
    <w:p w14:paraId="142A4B7C" w14:textId="77777777" w:rsidR="00171B39" w:rsidRPr="00664BBB" w:rsidRDefault="00171B39" w:rsidP="00824267">
      <w:pPr>
        <w:rPr>
          <w:rFonts w:eastAsia="Times New Roman"/>
          <w:color w:val="000000"/>
          <w:lang w:eastAsia="en-AU"/>
        </w:rPr>
      </w:pPr>
    </w:p>
    <w:p w14:paraId="142A4B7D" w14:textId="77777777" w:rsidR="006D14A9" w:rsidRDefault="006D14A9" w:rsidP="00F12B68">
      <w:pPr>
        <w:jc w:val="center"/>
        <w:rPr>
          <w:b/>
        </w:rPr>
        <w:sectPr w:rsidR="006D14A9" w:rsidSect="007F42A0">
          <w:footerReference w:type="first" r:id="rId20"/>
          <w:pgSz w:w="11906" w:h="16838"/>
          <w:pgMar w:top="678" w:right="426" w:bottom="426" w:left="568" w:header="138" w:footer="26" w:gutter="0"/>
          <w:pgNumType w:start="1"/>
          <w:cols w:num="2" w:space="708"/>
          <w:titlePg/>
          <w:docGrid w:linePitch="360"/>
        </w:sectPr>
      </w:pPr>
      <w:bookmarkStart w:id="7" w:name="Attachment"/>
    </w:p>
    <w:p w14:paraId="142A4B7E" w14:textId="77777777" w:rsidR="00E32BAB" w:rsidRPr="00487969" w:rsidRDefault="00E02615" w:rsidP="00A97397">
      <w:pPr>
        <w:spacing w:after="0"/>
        <w:rPr>
          <w:b/>
        </w:rPr>
      </w:pPr>
      <w:r>
        <w:rPr>
          <w:b/>
        </w:rPr>
        <w:lastRenderedPageBreak/>
        <w:t xml:space="preserve">Attachment A: </w:t>
      </w:r>
      <w:bookmarkEnd w:id="7"/>
      <w:r w:rsidR="00487969">
        <w:rPr>
          <w:b/>
        </w:rPr>
        <w:t>2016</w:t>
      </w:r>
      <w:r w:rsidR="00D448D5">
        <w:t>–</w:t>
      </w:r>
      <w:r w:rsidR="00487969">
        <w:rPr>
          <w:b/>
        </w:rPr>
        <w:t xml:space="preserve">17 </w:t>
      </w:r>
      <w:r w:rsidR="00B152A0">
        <w:rPr>
          <w:b/>
        </w:rPr>
        <w:t xml:space="preserve">Summary </w:t>
      </w:r>
      <w:r w:rsidR="00487969">
        <w:rPr>
          <w:b/>
        </w:rPr>
        <w:t>N</w:t>
      </w:r>
      <w:r w:rsidR="006A3144">
        <w:rPr>
          <w:b/>
        </w:rPr>
        <w:t>C</w:t>
      </w:r>
      <w:r w:rsidR="00487969">
        <w:rPr>
          <w:b/>
        </w:rPr>
        <w:t xml:space="preserve">CE </w:t>
      </w:r>
      <w:r w:rsidR="00487969" w:rsidRPr="00487969">
        <w:rPr>
          <w:b/>
        </w:rPr>
        <w:t>compliance</w:t>
      </w:r>
      <w:r w:rsidR="008F57A2">
        <w:rPr>
          <w:b/>
        </w:rPr>
        <w:t xml:space="preserve"> </w:t>
      </w:r>
      <w:r w:rsidR="00B152A0">
        <w:rPr>
          <w:b/>
        </w:rPr>
        <w:t xml:space="preserve">data </w:t>
      </w:r>
      <w:r w:rsidR="008F57A2">
        <w:rPr>
          <w:b/>
        </w:rPr>
        <w:t xml:space="preserve">and </w:t>
      </w:r>
      <w:r w:rsidR="00D5520D" w:rsidRPr="00487969">
        <w:rPr>
          <w:b/>
        </w:rPr>
        <w:t>variances</w:t>
      </w:r>
      <w:r w:rsidR="00487969">
        <w:rPr>
          <w:b/>
        </w:rPr>
        <w:t xml:space="preserve"> </w:t>
      </w:r>
      <w:r w:rsidR="008F57A2">
        <w:rPr>
          <w:b/>
        </w:rPr>
        <w:t xml:space="preserve">from 2015-16 </w:t>
      </w:r>
      <w:r w:rsidR="00D5520D">
        <w:rPr>
          <w:b/>
        </w:rPr>
        <w:t>for</w:t>
      </w:r>
      <w:r w:rsidR="00487969">
        <w:rPr>
          <w:b/>
        </w:rPr>
        <w:t xml:space="preserve"> </w:t>
      </w:r>
      <w:r w:rsidR="00D5520D">
        <w:rPr>
          <w:b/>
        </w:rPr>
        <w:t xml:space="preserve">36 </w:t>
      </w:r>
      <w:r w:rsidR="00487969">
        <w:rPr>
          <w:b/>
        </w:rPr>
        <w:t>PSPF re</w:t>
      </w:r>
      <w:r w:rsidR="00D5520D">
        <w:rPr>
          <w:b/>
        </w:rPr>
        <w:t>quirements</w:t>
      </w:r>
    </w:p>
    <w:tbl>
      <w:tblPr>
        <w:tblW w:w="10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01"/>
        <w:gridCol w:w="3685"/>
        <w:gridCol w:w="1194"/>
        <w:gridCol w:w="956"/>
        <w:gridCol w:w="10"/>
        <w:gridCol w:w="836"/>
        <w:gridCol w:w="1057"/>
        <w:gridCol w:w="1695"/>
      </w:tblGrid>
      <w:tr w:rsidR="00D968E9" w:rsidRPr="00955B78" w14:paraId="142A4B84" w14:textId="77777777" w:rsidTr="007F42A0">
        <w:trPr>
          <w:trHeight w:val="270"/>
          <w:tblHeader/>
        </w:trPr>
        <w:tc>
          <w:tcPr>
            <w:tcW w:w="4786" w:type="dxa"/>
            <w:gridSpan w:val="2"/>
            <w:vMerge w:val="restart"/>
            <w:tcBorders>
              <w:top w:val="single" w:sz="4" w:space="0" w:color="000000"/>
              <w:left w:val="single" w:sz="4" w:space="0" w:color="000000"/>
              <w:right w:val="single" w:sz="4" w:space="0" w:color="000000"/>
            </w:tcBorders>
            <w:shd w:val="clear" w:color="auto" w:fill="4F81BD"/>
            <w:vAlign w:val="center"/>
          </w:tcPr>
          <w:p w14:paraId="142A4B7F" w14:textId="77777777" w:rsidR="00E20F08" w:rsidRPr="00A97397" w:rsidRDefault="00E20F08" w:rsidP="007F42A0">
            <w:pPr>
              <w:pStyle w:val="Heading2"/>
            </w:pPr>
            <w:r w:rsidRPr="00A97397">
              <w:t>PSPF Requirements</w:t>
            </w:r>
          </w:p>
        </w:tc>
        <w:tc>
          <w:tcPr>
            <w:tcW w:w="1194" w:type="dxa"/>
            <w:tcBorders>
              <w:top w:val="single" w:sz="4" w:space="0" w:color="000000"/>
              <w:left w:val="single" w:sz="4" w:space="0" w:color="000000"/>
              <w:right w:val="single" w:sz="4" w:space="0" w:color="000000"/>
            </w:tcBorders>
            <w:shd w:val="clear" w:color="auto" w:fill="4F81BD" w:themeFill="accent1"/>
          </w:tcPr>
          <w:p w14:paraId="142A4B80" w14:textId="77777777" w:rsidR="00E20F08" w:rsidRDefault="00E9440C" w:rsidP="007F42A0">
            <w:pPr>
              <w:pStyle w:val="Heading2"/>
            </w:pPr>
            <w:r>
              <w:t>No. of total (93</w:t>
            </w:r>
            <w:r w:rsidR="00E20F08">
              <w:t>) NCCE’s fully compliant</w:t>
            </w:r>
          </w:p>
        </w:tc>
        <w:tc>
          <w:tcPr>
            <w:tcW w:w="1802" w:type="dxa"/>
            <w:gridSpan w:val="3"/>
            <w:tcBorders>
              <w:top w:val="single" w:sz="4" w:space="0" w:color="000000"/>
              <w:left w:val="single" w:sz="4" w:space="0" w:color="000000"/>
              <w:bottom w:val="single" w:sz="4" w:space="0" w:color="000000"/>
              <w:right w:val="single" w:sz="4" w:space="0" w:color="000000"/>
            </w:tcBorders>
            <w:shd w:val="clear" w:color="auto" w:fill="4F81BD" w:themeFill="accent1"/>
          </w:tcPr>
          <w:p w14:paraId="142A4B81" w14:textId="77777777" w:rsidR="00E20F08" w:rsidRPr="00A97397" w:rsidRDefault="00E20F08" w:rsidP="007F42A0">
            <w:pPr>
              <w:pStyle w:val="Heading2"/>
            </w:pPr>
            <w:r>
              <w:t xml:space="preserve">% of NCCE’s fully </w:t>
            </w:r>
            <w:r w:rsidRPr="00A97397">
              <w:t>complian</w:t>
            </w:r>
            <w:r>
              <w:t>t</w:t>
            </w:r>
          </w:p>
        </w:tc>
        <w:tc>
          <w:tcPr>
            <w:tcW w:w="1057" w:type="dxa"/>
            <w:vMerge w:val="restart"/>
            <w:tcBorders>
              <w:top w:val="single" w:sz="4" w:space="0" w:color="000000"/>
              <w:left w:val="single" w:sz="4" w:space="0" w:color="000000"/>
              <w:right w:val="single" w:sz="4" w:space="0" w:color="000000"/>
            </w:tcBorders>
            <w:shd w:val="clear" w:color="auto" w:fill="4F81BD" w:themeFill="accent1"/>
          </w:tcPr>
          <w:p w14:paraId="142A4B82" w14:textId="77777777" w:rsidR="00E20F08" w:rsidRPr="00A97397" w:rsidRDefault="00E20F08" w:rsidP="007F42A0">
            <w:pPr>
              <w:pStyle w:val="Heading2"/>
            </w:pPr>
            <w:r w:rsidRPr="00A97397">
              <w:t>Percentage point variance</w:t>
            </w:r>
          </w:p>
        </w:tc>
        <w:tc>
          <w:tcPr>
            <w:tcW w:w="1695" w:type="dxa"/>
            <w:vMerge w:val="restart"/>
            <w:tcBorders>
              <w:top w:val="single" w:sz="4" w:space="0" w:color="000000"/>
              <w:left w:val="single" w:sz="4" w:space="0" w:color="000000"/>
              <w:right w:val="single" w:sz="4" w:space="0" w:color="000000"/>
            </w:tcBorders>
            <w:shd w:val="clear" w:color="auto" w:fill="4F81BD" w:themeFill="accent1"/>
          </w:tcPr>
          <w:p w14:paraId="142A4B83" w14:textId="77777777" w:rsidR="00E20F08" w:rsidRPr="007B7860" w:rsidRDefault="00E20F08" w:rsidP="007F42A0">
            <w:pPr>
              <w:pStyle w:val="Heading2"/>
            </w:pPr>
            <w:r w:rsidRPr="007B7860">
              <w:rPr>
                <w:b/>
              </w:rPr>
              <w:t>Comment</w:t>
            </w:r>
            <w:r>
              <w:t xml:space="preserve"> </w:t>
            </w:r>
            <w:r w:rsidRPr="007B7860">
              <w:t xml:space="preserve">[N/A = </w:t>
            </w:r>
            <w:r>
              <w:t xml:space="preserve">variance </w:t>
            </w:r>
            <w:r w:rsidRPr="007B7860">
              <w:t xml:space="preserve">is 5 percentage points </w:t>
            </w:r>
            <w:r>
              <w:t xml:space="preserve">or less </w:t>
            </w:r>
            <w:r w:rsidRPr="007B7860">
              <w:t>and is not considered significant</w:t>
            </w:r>
            <w:r>
              <w:t>]</w:t>
            </w:r>
          </w:p>
        </w:tc>
      </w:tr>
      <w:tr w:rsidR="00CE24F6" w:rsidRPr="00955B78" w14:paraId="142A4B8B" w14:textId="77777777" w:rsidTr="00E20F08">
        <w:trPr>
          <w:trHeight w:val="270"/>
          <w:tblHeader/>
        </w:trPr>
        <w:tc>
          <w:tcPr>
            <w:tcW w:w="4786" w:type="dxa"/>
            <w:gridSpan w:val="2"/>
            <w:vMerge/>
            <w:tcBorders>
              <w:left w:val="single" w:sz="4" w:space="0" w:color="000000"/>
              <w:bottom w:val="single" w:sz="4" w:space="0" w:color="000000"/>
              <w:right w:val="single" w:sz="4" w:space="0" w:color="000000"/>
            </w:tcBorders>
            <w:shd w:val="clear" w:color="auto" w:fill="4F81BD"/>
            <w:vAlign w:val="center"/>
          </w:tcPr>
          <w:p w14:paraId="142A4B85" w14:textId="77777777" w:rsidR="00E20F08" w:rsidRPr="0058424A" w:rsidRDefault="00E20F08" w:rsidP="007F42A0">
            <w:pPr>
              <w:pStyle w:val="Heading2"/>
            </w:pPr>
          </w:p>
        </w:tc>
        <w:tc>
          <w:tcPr>
            <w:tcW w:w="1194" w:type="dxa"/>
            <w:tcBorders>
              <w:left w:val="single" w:sz="4" w:space="0" w:color="000000"/>
              <w:bottom w:val="single" w:sz="4" w:space="0" w:color="000000"/>
              <w:right w:val="single" w:sz="4" w:space="0" w:color="000000"/>
            </w:tcBorders>
            <w:shd w:val="clear" w:color="auto" w:fill="4F81BD" w:themeFill="accent1"/>
          </w:tcPr>
          <w:p w14:paraId="142A4B86" w14:textId="77777777" w:rsidR="00E20F08" w:rsidRPr="0058424A" w:rsidRDefault="00E20F08" w:rsidP="007F42A0">
            <w:pPr>
              <w:pStyle w:val="Heading2"/>
            </w:pPr>
            <w:r>
              <w:t>2016-17</w:t>
            </w:r>
          </w:p>
        </w:tc>
        <w:tc>
          <w:tcPr>
            <w:tcW w:w="966" w:type="dxa"/>
            <w:gridSpan w:val="2"/>
            <w:tcBorders>
              <w:top w:val="single" w:sz="4" w:space="0" w:color="000000"/>
              <w:left w:val="single" w:sz="4" w:space="0" w:color="000000"/>
              <w:bottom w:val="single" w:sz="4" w:space="0" w:color="000000"/>
              <w:right w:val="single" w:sz="4" w:space="0" w:color="000000"/>
            </w:tcBorders>
            <w:shd w:val="clear" w:color="auto" w:fill="4F81BD" w:themeFill="accent1"/>
          </w:tcPr>
          <w:p w14:paraId="142A4B87" w14:textId="77777777" w:rsidR="00E20F08" w:rsidRPr="0058424A" w:rsidRDefault="00E20F08" w:rsidP="007F42A0">
            <w:pPr>
              <w:pStyle w:val="Heading2"/>
            </w:pPr>
            <w:r w:rsidRPr="0058424A">
              <w:t>201</w:t>
            </w:r>
            <w:r w:rsidR="00D968E9">
              <w:t>6</w:t>
            </w:r>
            <w:r w:rsidRPr="0058424A">
              <w:t>-1</w:t>
            </w:r>
            <w:r w:rsidR="00D968E9">
              <w:t>7</w:t>
            </w:r>
          </w:p>
        </w:tc>
        <w:tc>
          <w:tcPr>
            <w:tcW w:w="836" w:type="dxa"/>
            <w:tcBorders>
              <w:left w:val="single" w:sz="4" w:space="0" w:color="000000"/>
              <w:bottom w:val="single" w:sz="4" w:space="0" w:color="000000"/>
              <w:right w:val="single" w:sz="4" w:space="0" w:color="000000"/>
            </w:tcBorders>
            <w:shd w:val="clear" w:color="auto" w:fill="4F81BD" w:themeFill="accent1"/>
          </w:tcPr>
          <w:p w14:paraId="142A4B88" w14:textId="77777777" w:rsidR="00E20F08" w:rsidRPr="0058424A" w:rsidRDefault="00E20F08" w:rsidP="007F42A0">
            <w:pPr>
              <w:pStyle w:val="Heading2"/>
            </w:pPr>
            <w:r w:rsidRPr="0058424A">
              <w:t>201</w:t>
            </w:r>
            <w:r w:rsidR="00D968E9">
              <w:t>5</w:t>
            </w:r>
            <w:r w:rsidRPr="0058424A">
              <w:t>-1</w:t>
            </w:r>
            <w:r w:rsidR="00D968E9">
              <w:t>6</w:t>
            </w:r>
          </w:p>
        </w:tc>
        <w:tc>
          <w:tcPr>
            <w:tcW w:w="1057" w:type="dxa"/>
            <w:vMerge/>
            <w:tcBorders>
              <w:left w:val="single" w:sz="4" w:space="0" w:color="000000"/>
              <w:bottom w:val="single" w:sz="4" w:space="0" w:color="000000"/>
              <w:right w:val="single" w:sz="4" w:space="0" w:color="000000"/>
            </w:tcBorders>
            <w:shd w:val="clear" w:color="auto" w:fill="4F81BD" w:themeFill="accent1"/>
          </w:tcPr>
          <w:p w14:paraId="142A4B89" w14:textId="77777777" w:rsidR="00E20F08" w:rsidRPr="0058424A" w:rsidRDefault="00E20F08" w:rsidP="007F42A0">
            <w:pPr>
              <w:pStyle w:val="Heading2"/>
            </w:pPr>
          </w:p>
        </w:tc>
        <w:tc>
          <w:tcPr>
            <w:tcW w:w="1695" w:type="dxa"/>
            <w:vMerge/>
            <w:tcBorders>
              <w:left w:val="single" w:sz="4" w:space="0" w:color="000000"/>
              <w:bottom w:val="single" w:sz="4" w:space="0" w:color="000000"/>
              <w:right w:val="single" w:sz="4" w:space="0" w:color="000000"/>
            </w:tcBorders>
            <w:shd w:val="clear" w:color="auto" w:fill="4F81BD" w:themeFill="accent1"/>
          </w:tcPr>
          <w:p w14:paraId="142A4B8A" w14:textId="77777777" w:rsidR="00E20F08" w:rsidRPr="0058424A" w:rsidRDefault="00E20F08" w:rsidP="007F42A0">
            <w:pPr>
              <w:pStyle w:val="Heading2"/>
            </w:pPr>
          </w:p>
        </w:tc>
      </w:tr>
      <w:tr w:rsidR="000607EB" w:rsidRPr="00955B78" w14:paraId="142A4B8D" w14:textId="77777777" w:rsidTr="00171B39">
        <w:tc>
          <w:tcPr>
            <w:tcW w:w="10534" w:type="dxa"/>
            <w:gridSpan w:val="8"/>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142A4B8C" w14:textId="77777777" w:rsidR="000607EB" w:rsidRPr="0058424A" w:rsidRDefault="000607EB" w:rsidP="00A97397">
            <w:pPr>
              <w:spacing w:after="0" w:line="271" w:lineRule="auto"/>
            </w:pPr>
            <w:r>
              <w:rPr>
                <w:rFonts w:asciiTheme="minorHAnsi" w:eastAsia="Times New Roman" w:hAnsiTheme="minorHAnsi" w:cstheme="minorHAnsi"/>
                <w:b/>
                <w:color w:val="000000" w:themeColor="text1"/>
                <w:sz w:val="18"/>
                <w:szCs w:val="18"/>
              </w:rPr>
              <w:t>Security g</w:t>
            </w:r>
            <w:r w:rsidRPr="00A97397">
              <w:rPr>
                <w:rFonts w:asciiTheme="minorHAnsi" w:eastAsia="Times New Roman" w:hAnsiTheme="minorHAnsi" w:cstheme="minorHAnsi"/>
                <w:b/>
                <w:color w:val="000000" w:themeColor="text1"/>
                <w:sz w:val="18"/>
                <w:szCs w:val="18"/>
              </w:rPr>
              <w:t>overnance</w:t>
            </w:r>
          </w:p>
        </w:tc>
      </w:tr>
      <w:tr w:rsidR="00CE24F6" w:rsidRPr="00955B78" w14:paraId="142A4B95" w14:textId="77777777" w:rsidTr="001003F6">
        <w:tc>
          <w:tcPr>
            <w:tcW w:w="1101" w:type="dxa"/>
            <w:tcBorders>
              <w:top w:val="single" w:sz="4" w:space="0" w:color="000000"/>
              <w:left w:val="single" w:sz="4" w:space="0" w:color="000000"/>
              <w:bottom w:val="single" w:sz="4" w:space="0" w:color="000000"/>
              <w:right w:val="single" w:sz="4" w:space="0" w:color="000000"/>
            </w:tcBorders>
            <w:shd w:val="clear" w:color="auto" w:fill="auto"/>
            <w:hideMark/>
          </w:tcPr>
          <w:p w14:paraId="142A4B8E" w14:textId="77777777" w:rsidR="00E20F08" w:rsidRPr="00052A4B" w:rsidRDefault="00E20F08" w:rsidP="008F57A2">
            <w:pPr>
              <w:spacing w:after="0"/>
              <w:jc w:val="center"/>
              <w:rPr>
                <w:rFonts w:asciiTheme="minorHAnsi" w:hAnsiTheme="minorHAnsi" w:cstheme="minorHAnsi"/>
                <w:sz w:val="18"/>
                <w:szCs w:val="18"/>
              </w:rPr>
            </w:pPr>
            <w:r w:rsidRPr="00052A4B">
              <w:rPr>
                <w:rFonts w:asciiTheme="minorHAnsi" w:hAnsiTheme="minorHAnsi" w:cstheme="minorHAnsi"/>
                <w:sz w:val="18"/>
                <w:szCs w:val="18"/>
                <w:u w:val="single"/>
              </w:rPr>
              <w:t>GOV-1</w:t>
            </w:r>
          </w:p>
        </w:tc>
        <w:tc>
          <w:tcPr>
            <w:tcW w:w="3685" w:type="dxa"/>
            <w:tcBorders>
              <w:top w:val="single" w:sz="4" w:space="0" w:color="000000"/>
              <w:left w:val="single" w:sz="4" w:space="0" w:color="000000"/>
              <w:bottom w:val="single" w:sz="4" w:space="0" w:color="000000"/>
              <w:right w:val="single" w:sz="4" w:space="0" w:color="000000"/>
            </w:tcBorders>
            <w:shd w:val="clear" w:color="auto" w:fill="auto"/>
            <w:hideMark/>
          </w:tcPr>
          <w:p w14:paraId="142A4B8F" w14:textId="77777777" w:rsidR="00E20F08" w:rsidRPr="00052A4B" w:rsidRDefault="00E20F08" w:rsidP="00F12B68">
            <w:pPr>
              <w:spacing w:after="0" w:line="271" w:lineRule="auto"/>
              <w:rPr>
                <w:rFonts w:asciiTheme="minorHAnsi" w:hAnsiTheme="minorHAnsi" w:cstheme="minorHAnsi"/>
                <w:sz w:val="18"/>
                <w:szCs w:val="18"/>
              </w:rPr>
            </w:pPr>
            <w:r w:rsidRPr="00052A4B">
              <w:rPr>
                <w:rFonts w:asciiTheme="minorHAnsi" w:hAnsiTheme="minorHAnsi" w:cstheme="minorHAnsi"/>
                <w:sz w:val="18"/>
                <w:szCs w:val="18"/>
              </w:rPr>
              <w:t>Entities must provide all staff, including contractors, with sufficient information and security awareness training to ensure they are aware of, and meet the requirements of the Protective Security Policy Framework.</w:t>
            </w:r>
          </w:p>
        </w:tc>
        <w:tc>
          <w:tcPr>
            <w:tcW w:w="1194" w:type="dxa"/>
            <w:tcBorders>
              <w:top w:val="single" w:sz="4" w:space="0" w:color="000000"/>
              <w:left w:val="single" w:sz="4" w:space="0" w:color="000000"/>
              <w:bottom w:val="single" w:sz="4" w:space="0" w:color="000000"/>
              <w:right w:val="single" w:sz="4" w:space="0" w:color="000000"/>
            </w:tcBorders>
          </w:tcPr>
          <w:p w14:paraId="142A4B90" w14:textId="77777777" w:rsidR="00E20F08" w:rsidRPr="003D0A6B" w:rsidRDefault="00E9440C"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82</w:t>
            </w:r>
          </w:p>
        </w:tc>
        <w:tc>
          <w:tcPr>
            <w:tcW w:w="956" w:type="dxa"/>
            <w:tcBorders>
              <w:top w:val="single" w:sz="4" w:space="0" w:color="000000"/>
              <w:left w:val="single" w:sz="4" w:space="0" w:color="000000"/>
              <w:bottom w:val="single" w:sz="4" w:space="0" w:color="000000"/>
              <w:right w:val="single" w:sz="4" w:space="0" w:color="000000"/>
            </w:tcBorders>
          </w:tcPr>
          <w:p w14:paraId="142A4B91" w14:textId="77777777" w:rsidR="00E20F08" w:rsidRPr="003D0A6B" w:rsidRDefault="00D968E9"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88</w:t>
            </w:r>
            <w:r w:rsidR="00E20F08" w:rsidRPr="003D0A6B">
              <w:rPr>
                <w:rFonts w:asciiTheme="minorHAnsi" w:hAnsiTheme="minorHAnsi" w:cstheme="minorHAnsi"/>
                <w:sz w:val="18"/>
                <w:szCs w:val="18"/>
              </w:rPr>
              <w:t>.</w:t>
            </w:r>
            <w:r>
              <w:rPr>
                <w:rFonts w:asciiTheme="minorHAnsi" w:hAnsiTheme="minorHAnsi" w:cstheme="minorHAnsi"/>
                <w:sz w:val="18"/>
                <w:szCs w:val="18"/>
              </w:rPr>
              <w:t>2</w:t>
            </w:r>
            <w:r w:rsidR="00E20F08" w:rsidRPr="003D0A6B">
              <w:rPr>
                <w:rFonts w:asciiTheme="minorHAnsi" w:hAnsiTheme="minorHAnsi" w:cstheme="minorHAnsi"/>
                <w:sz w:val="18"/>
                <w:szCs w:val="18"/>
              </w:rPr>
              <w:t>%</w:t>
            </w:r>
          </w:p>
        </w:tc>
        <w:tc>
          <w:tcPr>
            <w:tcW w:w="846" w:type="dxa"/>
            <w:gridSpan w:val="2"/>
            <w:tcBorders>
              <w:top w:val="single" w:sz="4" w:space="0" w:color="000000"/>
              <w:left w:val="single" w:sz="4" w:space="0" w:color="000000"/>
              <w:bottom w:val="single" w:sz="4" w:space="0" w:color="000000"/>
              <w:right w:val="single" w:sz="4" w:space="0" w:color="000000"/>
            </w:tcBorders>
          </w:tcPr>
          <w:p w14:paraId="142A4B92" w14:textId="77777777" w:rsidR="00E20F08" w:rsidRPr="003D0A6B" w:rsidRDefault="00D968E9"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86.</w:t>
            </w:r>
            <w:r w:rsidR="00CF7651">
              <w:rPr>
                <w:rFonts w:asciiTheme="minorHAnsi" w:hAnsiTheme="minorHAnsi" w:cstheme="minorHAnsi"/>
                <w:sz w:val="18"/>
                <w:szCs w:val="18"/>
              </w:rPr>
              <w:t>0</w:t>
            </w:r>
            <w:r w:rsidR="00E20F08" w:rsidRPr="003D0A6B">
              <w:rPr>
                <w:rFonts w:asciiTheme="minorHAnsi" w:hAnsiTheme="minorHAnsi" w:cstheme="minorHAnsi"/>
                <w:sz w:val="18"/>
                <w:szCs w:val="18"/>
              </w:rPr>
              <w:t>%</w:t>
            </w:r>
          </w:p>
        </w:tc>
        <w:tc>
          <w:tcPr>
            <w:tcW w:w="1057" w:type="dxa"/>
            <w:tcBorders>
              <w:top w:val="single" w:sz="4" w:space="0" w:color="000000"/>
              <w:left w:val="single" w:sz="4" w:space="0" w:color="000000"/>
              <w:bottom w:val="single" w:sz="4" w:space="0" w:color="000000"/>
              <w:right w:val="single" w:sz="4" w:space="0" w:color="000000"/>
            </w:tcBorders>
          </w:tcPr>
          <w:p w14:paraId="142A4B93" w14:textId="77777777" w:rsidR="00E20F08" w:rsidRPr="00F03FAB" w:rsidRDefault="00E20F08" w:rsidP="008F57A2">
            <w:pPr>
              <w:spacing w:after="0" w:line="271" w:lineRule="auto"/>
              <w:jc w:val="center"/>
              <w:rPr>
                <w:rFonts w:asciiTheme="minorHAnsi" w:hAnsiTheme="minorHAnsi" w:cstheme="minorHAnsi"/>
                <w:sz w:val="18"/>
                <w:szCs w:val="18"/>
              </w:rPr>
            </w:pPr>
            <w:r w:rsidRPr="00F03FAB">
              <w:rPr>
                <w:rFonts w:asciiTheme="minorHAnsi" w:hAnsiTheme="minorHAnsi" w:cstheme="minorHAnsi"/>
                <w:sz w:val="18"/>
                <w:szCs w:val="18"/>
              </w:rPr>
              <w:t>2.2</w:t>
            </w:r>
          </w:p>
        </w:tc>
        <w:tc>
          <w:tcPr>
            <w:tcW w:w="1695" w:type="dxa"/>
            <w:tcBorders>
              <w:top w:val="single" w:sz="4" w:space="0" w:color="000000"/>
              <w:left w:val="single" w:sz="4" w:space="0" w:color="000000"/>
              <w:bottom w:val="single" w:sz="4" w:space="0" w:color="000000"/>
              <w:right w:val="single" w:sz="4" w:space="0" w:color="000000"/>
            </w:tcBorders>
          </w:tcPr>
          <w:p w14:paraId="142A4B94" w14:textId="77777777" w:rsidR="00E20F08" w:rsidRDefault="00E20F08" w:rsidP="001B0066">
            <w:pPr>
              <w:spacing w:after="0" w:line="271" w:lineRule="auto"/>
              <w:rPr>
                <w:rFonts w:asciiTheme="minorHAnsi" w:hAnsiTheme="minorHAnsi" w:cstheme="minorHAnsi"/>
                <w:sz w:val="18"/>
                <w:szCs w:val="18"/>
              </w:rPr>
            </w:pPr>
            <w:r>
              <w:rPr>
                <w:rFonts w:asciiTheme="minorHAnsi" w:hAnsiTheme="minorHAnsi" w:cstheme="minorHAnsi"/>
                <w:sz w:val="18"/>
                <w:szCs w:val="18"/>
              </w:rPr>
              <w:t>N/A</w:t>
            </w:r>
          </w:p>
        </w:tc>
      </w:tr>
      <w:tr w:rsidR="00CE24F6" w:rsidRPr="00955B78" w14:paraId="142A4BA0" w14:textId="77777777" w:rsidTr="001003F6">
        <w:tc>
          <w:tcPr>
            <w:tcW w:w="1101" w:type="dxa"/>
            <w:tcBorders>
              <w:top w:val="single" w:sz="4" w:space="0" w:color="000000"/>
              <w:left w:val="single" w:sz="4" w:space="0" w:color="000000"/>
              <w:bottom w:val="single" w:sz="4" w:space="0" w:color="000000"/>
              <w:right w:val="single" w:sz="4" w:space="0" w:color="000000"/>
            </w:tcBorders>
            <w:shd w:val="clear" w:color="auto" w:fill="auto"/>
            <w:hideMark/>
          </w:tcPr>
          <w:p w14:paraId="142A4B96" w14:textId="77777777" w:rsidR="00E20F08" w:rsidRPr="00052A4B" w:rsidRDefault="00E20F08" w:rsidP="008F57A2">
            <w:pPr>
              <w:spacing w:after="0"/>
              <w:jc w:val="center"/>
              <w:rPr>
                <w:rFonts w:asciiTheme="minorHAnsi" w:hAnsiTheme="minorHAnsi" w:cstheme="minorHAnsi"/>
                <w:sz w:val="18"/>
                <w:szCs w:val="18"/>
              </w:rPr>
            </w:pPr>
            <w:r w:rsidRPr="00052A4B">
              <w:rPr>
                <w:rFonts w:asciiTheme="minorHAnsi" w:hAnsiTheme="minorHAnsi" w:cstheme="minorHAnsi"/>
                <w:sz w:val="18"/>
                <w:szCs w:val="18"/>
                <w:u w:val="single"/>
              </w:rPr>
              <w:t>GOV-2</w:t>
            </w:r>
          </w:p>
        </w:tc>
        <w:tc>
          <w:tcPr>
            <w:tcW w:w="3685" w:type="dxa"/>
            <w:tcBorders>
              <w:top w:val="single" w:sz="4" w:space="0" w:color="000000"/>
              <w:left w:val="single" w:sz="4" w:space="0" w:color="000000"/>
              <w:bottom w:val="single" w:sz="4" w:space="0" w:color="000000"/>
              <w:right w:val="single" w:sz="4" w:space="0" w:color="000000"/>
            </w:tcBorders>
            <w:shd w:val="clear" w:color="auto" w:fill="auto"/>
            <w:hideMark/>
          </w:tcPr>
          <w:p w14:paraId="142A4B97" w14:textId="77777777" w:rsidR="00E20F08" w:rsidRPr="00052A4B" w:rsidRDefault="00E20F08" w:rsidP="00F12B68">
            <w:pPr>
              <w:widowControl w:val="0"/>
              <w:spacing w:after="0"/>
              <w:rPr>
                <w:rFonts w:asciiTheme="minorHAnsi" w:hAnsiTheme="minorHAnsi" w:cstheme="minorHAnsi"/>
                <w:sz w:val="18"/>
                <w:szCs w:val="18"/>
              </w:rPr>
            </w:pPr>
            <w:r w:rsidRPr="00052A4B">
              <w:rPr>
                <w:rFonts w:asciiTheme="minorHAnsi" w:hAnsiTheme="minorHAnsi" w:cstheme="minorHAnsi"/>
                <w:sz w:val="18"/>
                <w:szCs w:val="18"/>
              </w:rPr>
              <w:t>To fulfil their security obligations, entities must appoint:</w:t>
            </w:r>
          </w:p>
          <w:p w14:paraId="142A4B98" w14:textId="77777777" w:rsidR="00E20F08" w:rsidRPr="00052A4B" w:rsidRDefault="00E20F08" w:rsidP="00F12B68">
            <w:pPr>
              <w:pStyle w:val="ListParagraph"/>
              <w:widowControl w:val="0"/>
              <w:numPr>
                <w:ilvl w:val="0"/>
                <w:numId w:val="4"/>
              </w:numPr>
              <w:spacing w:after="0" w:line="240" w:lineRule="auto"/>
              <w:ind w:left="357" w:hanging="357"/>
              <w:contextualSpacing w:val="0"/>
              <w:rPr>
                <w:rFonts w:asciiTheme="minorHAnsi" w:hAnsiTheme="minorHAnsi" w:cstheme="minorHAnsi"/>
                <w:sz w:val="18"/>
                <w:szCs w:val="18"/>
              </w:rPr>
            </w:pPr>
            <w:r w:rsidRPr="00052A4B">
              <w:rPr>
                <w:rFonts w:asciiTheme="minorHAnsi" w:hAnsiTheme="minorHAnsi" w:cstheme="minorHAnsi"/>
                <w:sz w:val="18"/>
                <w:szCs w:val="18"/>
              </w:rPr>
              <w:t>A member of the Senior Executive Service as the security executive, responsible for the entity protective security policy and oversight of protective security practices.</w:t>
            </w:r>
          </w:p>
          <w:p w14:paraId="142A4B99" w14:textId="77777777" w:rsidR="00E20F08" w:rsidRPr="00052A4B" w:rsidRDefault="00E20F08" w:rsidP="00F12B68">
            <w:pPr>
              <w:pStyle w:val="ListParagraph"/>
              <w:widowControl w:val="0"/>
              <w:numPr>
                <w:ilvl w:val="0"/>
                <w:numId w:val="4"/>
              </w:numPr>
              <w:spacing w:after="0" w:line="240" w:lineRule="auto"/>
              <w:ind w:left="357" w:hanging="357"/>
              <w:contextualSpacing w:val="0"/>
              <w:rPr>
                <w:rFonts w:asciiTheme="minorHAnsi" w:hAnsiTheme="minorHAnsi" w:cstheme="minorHAnsi"/>
                <w:sz w:val="18"/>
                <w:szCs w:val="18"/>
              </w:rPr>
            </w:pPr>
            <w:r w:rsidRPr="00052A4B">
              <w:rPr>
                <w:rFonts w:asciiTheme="minorHAnsi" w:hAnsiTheme="minorHAnsi" w:cstheme="minorHAnsi"/>
                <w:sz w:val="18"/>
                <w:szCs w:val="18"/>
              </w:rPr>
              <w:t>An entity security adviser (ASA) responsible for the day-to-day performance of protective security functions.</w:t>
            </w:r>
          </w:p>
          <w:p w14:paraId="142A4B9A" w14:textId="77777777" w:rsidR="00E20F08" w:rsidRPr="00052A4B" w:rsidRDefault="00E20F08" w:rsidP="00F12B68">
            <w:pPr>
              <w:pStyle w:val="ListParagraph"/>
              <w:widowControl w:val="0"/>
              <w:numPr>
                <w:ilvl w:val="0"/>
                <w:numId w:val="4"/>
              </w:numPr>
              <w:spacing w:after="0" w:line="240" w:lineRule="auto"/>
              <w:ind w:left="357" w:hanging="357"/>
              <w:contextualSpacing w:val="0"/>
              <w:rPr>
                <w:rFonts w:asciiTheme="minorHAnsi" w:hAnsiTheme="minorHAnsi" w:cstheme="minorHAnsi"/>
                <w:sz w:val="18"/>
                <w:szCs w:val="18"/>
              </w:rPr>
            </w:pPr>
            <w:r w:rsidRPr="00052A4B">
              <w:rPr>
                <w:rFonts w:asciiTheme="minorHAnsi" w:hAnsiTheme="minorHAnsi" w:cstheme="minorHAnsi"/>
                <w:sz w:val="18"/>
                <w:szCs w:val="18"/>
              </w:rPr>
              <w:t>An information technology security adviser (ITSA) to advise senior management on the security of the entity’s Information Communications Technology (ICT) systems.</w:t>
            </w:r>
          </w:p>
        </w:tc>
        <w:tc>
          <w:tcPr>
            <w:tcW w:w="1194" w:type="dxa"/>
            <w:tcBorders>
              <w:top w:val="single" w:sz="4" w:space="0" w:color="000000"/>
              <w:left w:val="single" w:sz="4" w:space="0" w:color="000000"/>
              <w:bottom w:val="single" w:sz="4" w:space="0" w:color="000000"/>
              <w:right w:val="single" w:sz="4" w:space="0" w:color="000000"/>
            </w:tcBorders>
          </w:tcPr>
          <w:p w14:paraId="142A4B9B" w14:textId="77777777" w:rsidR="00E20F08" w:rsidRPr="003D0A6B" w:rsidRDefault="00FF36D3"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91</w:t>
            </w:r>
          </w:p>
        </w:tc>
        <w:tc>
          <w:tcPr>
            <w:tcW w:w="956" w:type="dxa"/>
            <w:tcBorders>
              <w:top w:val="single" w:sz="4" w:space="0" w:color="000000"/>
              <w:left w:val="single" w:sz="4" w:space="0" w:color="000000"/>
              <w:bottom w:val="single" w:sz="4" w:space="0" w:color="000000"/>
              <w:right w:val="single" w:sz="4" w:space="0" w:color="000000"/>
            </w:tcBorders>
          </w:tcPr>
          <w:p w14:paraId="142A4B9C" w14:textId="77777777" w:rsidR="00E20F08" w:rsidRPr="003D0A6B" w:rsidRDefault="00E20F08"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97.8%</w:t>
            </w:r>
          </w:p>
        </w:tc>
        <w:tc>
          <w:tcPr>
            <w:tcW w:w="846" w:type="dxa"/>
            <w:gridSpan w:val="2"/>
            <w:tcBorders>
              <w:top w:val="single" w:sz="4" w:space="0" w:color="000000"/>
              <w:left w:val="single" w:sz="4" w:space="0" w:color="000000"/>
              <w:bottom w:val="single" w:sz="4" w:space="0" w:color="000000"/>
              <w:right w:val="single" w:sz="4" w:space="0" w:color="000000"/>
            </w:tcBorders>
          </w:tcPr>
          <w:p w14:paraId="142A4B9D" w14:textId="77777777" w:rsidR="00E20F08" w:rsidRPr="003D0A6B" w:rsidRDefault="00E20F08"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97.8%</w:t>
            </w:r>
          </w:p>
        </w:tc>
        <w:tc>
          <w:tcPr>
            <w:tcW w:w="1057" w:type="dxa"/>
            <w:tcBorders>
              <w:top w:val="single" w:sz="4" w:space="0" w:color="000000"/>
              <w:left w:val="single" w:sz="4" w:space="0" w:color="000000"/>
              <w:bottom w:val="single" w:sz="4" w:space="0" w:color="000000"/>
              <w:right w:val="single" w:sz="4" w:space="0" w:color="000000"/>
            </w:tcBorders>
          </w:tcPr>
          <w:p w14:paraId="142A4B9E" w14:textId="77777777" w:rsidR="00E20F08" w:rsidRPr="00F03FAB" w:rsidRDefault="00E20F08" w:rsidP="008F57A2">
            <w:pPr>
              <w:spacing w:after="0" w:line="271" w:lineRule="auto"/>
              <w:jc w:val="center"/>
              <w:rPr>
                <w:rFonts w:asciiTheme="minorHAnsi" w:hAnsiTheme="minorHAnsi" w:cstheme="minorHAnsi"/>
                <w:sz w:val="18"/>
                <w:szCs w:val="18"/>
              </w:rPr>
            </w:pPr>
            <w:r w:rsidRPr="00F03FAB">
              <w:rPr>
                <w:rFonts w:asciiTheme="minorHAnsi" w:hAnsiTheme="minorHAnsi" w:cstheme="minorHAnsi"/>
                <w:sz w:val="18"/>
                <w:szCs w:val="18"/>
              </w:rPr>
              <w:t>0.0</w:t>
            </w:r>
          </w:p>
        </w:tc>
        <w:tc>
          <w:tcPr>
            <w:tcW w:w="1695" w:type="dxa"/>
            <w:tcBorders>
              <w:top w:val="single" w:sz="4" w:space="0" w:color="000000"/>
              <w:left w:val="single" w:sz="4" w:space="0" w:color="000000"/>
              <w:bottom w:val="single" w:sz="4" w:space="0" w:color="000000"/>
              <w:right w:val="single" w:sz="4" w:space="0" w:color="000000"/>
            </w:tcBorders>
          </w:tcPr>
          <w:p w14:paraId="142A4B9F" w14:textId="77777777" w:rsidR="00E20F08" w:rsidRPr="00A02903" w:rsidRDefault="00E20F08" w:rsidP="007B11C9">
            <w:pPr>
              <w:spacing w:after="0" w:line="271" w:lineRule="auto"/>
              <w:rPr>
                <w:rFonts w:asciiTheme="minorHAnsi" w:hAnsiTheme="minorHAnsi" w:cstheme="minorHAnsi"/>
                <w:sz w:val="18"/>
                <w:szCs w:val="18"/>
              </w:rPr>
            </w:pPr>
            <w:r>
              <w:rPr>
                <w:rFonts w:asciiTheme="minorHAnsi" w:hAnsiTheme="minorHAnsi" w:cstheme="minorHAnsi"/>
                <w:sz w:val="18"/>
                <w:szCs w:val="18"/>
              </w:rPr>
              <w:t>No change in compliance</w:t>
            </w:r>
          </w:p>
        </w:tc>
      </w:tr>
      <w:tr w:rsidR="00CE24F6" w:rsidRPr="00955B78" w14:paraId="142A4BA8" w14:textId="77777777" w:rsidTr="001003F6">
        <w:tc>
          <w:tcPr>
            <w:tcW w:w="1101" w:type="dxa"/>
            <w:tcBorders>
              <w:top w:val="single" w:sz="4" w:space="0" w:color="000000"/>
              <w:left w:val="single" w:sz="4" w:space="0" w:color="000000"/>
              <w:bottom w:val="single" w:sz="4" w:space="0" w:color="000000"/>
              <w:right w:val="single" w:sz="4" w:space="0" w:color="000000"/>
            </w:tcBorders>
            <w:shd w:val="clear" w:color="auto" w:fill="auto"/>
            <w:hideMark/>
          </w:tcPr>
          <w:p w14:paraId="142A4BA1" w14:textId="77777777" w:rsidR="00E20F08" w:rsidRPr="00052A4B" w:rsidRDefault="00E20F08" w:rsidP="008F57A2">
            <w:pPr>
              <w:spacing w:after="0"/>
              <w:jc w:val="center"/>
              <w:rPr>
                <w:rFonts w:asciiTheme="minorHAnsi" w:hAnsiTheme="minorHAnsi" w:cstheme="minorHAnsi"/>
                <w:sz w:val="18"/>
                <w:szCs w:val="18"/>
              </w:rPr>
            </w:pPr>
            <w:r w:rsidRPr="00052A4B">
              <w:rPr>
                <w:rFonts w:asciiTheme="minorHAnsi" w:hAnsiTheme="minorHAnsi" w:cstheme="minorHAnsi"/>
                <w:sz w:val="18"/>
                <w:szCs w:val="18"/>
                <w:u w:val="single"/>
              </w:rPr>
              <w:t>GOV-3</w:t>
            </w:r>
          </w:p>
        </w:tc>
        <w:tc>
          <w:tcPr>
            <w:tcW w:w="3685" w:type="dxa"/>
            <w:tcBorders>
              <w:top w:val="single" w:sz="4" w:space="0" w:color="000000"/>
              <w:left w:val="single" w:sz="4" w:space="0" w:color="000000"/>
              <w:bottom w:val="single" w:sz="4" w:space="0" w:color="000000"/>
              <w:right w:val="single" w:sz="4" w:space="0" w:color="000000"/>
            </w:tcBorders>
            <w:shd w:val="clear" w:color="auto" w:fill="auto"/>
            <w:hideMark/>
          </w:tcPr>
          <w:p w14:paraId="142A4BA2" w14:textId="77777777" w:rsidR="00E20F08" w:rsidRPr="00052A4B" w:rsidRDefault="00E20F08" w:rsidP="00F12B68">
            <w:pPr>
              <w:widowControl w:val="0"/>
              <w:spacing w:after="0"/>
              <w:rPr>
                <w:rFonts w:asciiTheme="minorHAnsi" w:hAnsiTheme="minorHAnsi" w:cstheme="minorHAnsi"/>
                <w:sz w:val="18"/>
                <w:szCs w:val="18"/>
              </w:rPr>
            </w:pPr>
            <w:r w:rsidRPr="00052A4B">
              <w:rPr>
                <w:rFonts w:asciiTheme="minorHAnsi" w:hAnsiTheme="minorHAnsi" w:cstheme="minorHAnsi"/>
                <w:sz w:val="18"/>
                <w:szCs w:val="18"/>
              </w:rPr>
              <w:t>Entities must ensure that the entity security adviser (ASA) and information technology security adviser (ITSA) have detailed knowledge of entity specific protective security policy, protocols and mandatory protective security requirements in order to fulfil their protective security responsibilities.</w:t>
            </w:r>
          </w:p>
        </w:tc>
        <w:tc>
          <w:tcPr>
            <w:tcW w:w="1194" w:type="dxa"/>
            <w:tcBorders>
              <w:top w:val="single" w:sz="4" w:space="0" w:color="000000"/>
              <w:left w:val="single" w:sz="4" w:space="0" w:color="000000"/>
              <w:bottom w:val="single" w:sz="4" w:space="0" w:color="000000"/>
              <w:right w:val="single" w:sz="4" w:space="0" w:color="000000"/>
            </w:tcBorders>
          </w:tcPr>
          <w:p w14:paraId="142A4BA3" w14:textId="77777777" w:rsidR="00E20F08" w:rsidRPr="003D0A6B" w:rsidRDefault="00A467FB"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9</w:t>
            </w:r>
            <w:r w:rsidR="00CF3DA0">
              <w:rPr>
                <w:rFonts w:asciiTheme="minorHAnsi" w:hAnsiTheme="minorHAnsi" w:cstheme="minorHAnsi"/>
                <w:sz w:val="18"/>
                <w:szCs w:val="18"/>
              </w:rPr>
              <w:t>0</w:t>
            </w:r>
          </w:p>
        </w:tc>
        <w:tc>
          <w:tcPr>
            <w:tcW w:w="956" w:type="dxa"/>
            <w:tcBorders>
              <w:top w:val="single" w:sz="4" w:space="0" w:color="000000"/>
              <w:left w:val="single" w:sz="4" w:space="0" w:color="000000"/>
              <w:bottom w:val="single" w:sz="4" w:space="0" w:color="000000"/>
              <w:right w:val="single" w:sz="4" w:space="0" w:color="000000"/>
            </w:tcBorders>
          </w:tcPr>
          <w:p w14:paraId="142A4BA4" w14:textId="77777777" w:rsidR="00E20F08" w:rsidRPr="003D0A6B" w:rsidRDefault="00E20F08"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96.8%</w:t>
            </w:r>
          </w:p>
        </w:tc>
        <w:tc>
          <w:tcPr>
            <w:tcW w:w="846" w:type="dxa"/>
            <w:gridSpan w:val="2"/>
            <w:tcBorders>
              <w:top w:val="single" w:sz="4" w:space="0" w:color="000000"/>
              <w:left w:val="single" w:sz="4" w:space="0" w:color="000000"/>
              <w:bottom w:val="single" w:sz="4" w:space="0" w:color="000000"/>
              <w:right w:val="single" w:sz="4" w:space="0" w:color="000000"/>
            </w:tcBorders>
          </w:tcPr>
          <w:p w14:paraId="142A4BA5" w14:textId="77777777" w:rsidR="00E20F08" w:rsidRPr="003D0A6B" w:rsidRDefault="00E20F08"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96.8%</w:t>
            </w:r>
          </w:p>
        </w:tc>
        <w:tc>
          <w:tcPr>
            <w:tcW w:w="1057" w:type="dxa"/>
            <w:tcBorders>
              <w:top w:val="single" w:sz="4" w:space="0" w:color="000000"/>
              <w:left w:val="single" w:sz="4" w:space="0" w:color="000000"/>
              <w:bottom w:val="single" w:sz="4" w:space="0" w:color="000000"/>
              <w:right w:val="single" w:sz="4" w:space="0" w:color="000000"/>
            </w:tcBorders>
          </w:tcPr>
          <w:p w14:paraId="142A4BA6" w14:textId="77777777" w:rsidR="00E20F08" w:rsidRPr="00F03FAB" w:rsidRDefault="00E20F08" w:rsidP="008F57A2">
            <w:pPr>
              <w:spacing w:after="0" w:line="271" w:lineRule="auto"/>
              <w:jc w:val="center"/>
              <w:rPr>
                <w:rFonts w:asciiTheme="minorHAnsi" w:hAnsiTheme="minorHAnsi" w:cstheme="minorHAnsi"/>
                <w:sz w:val="18"/>
                <w:szCs w:val="18"/>
              </w:rPr>
            </w:pPr>
            <w:r w:rsidRPr="00F03FAB">
              <w:rPr>
                <w:rFonts w:asciiTheme="minorHAnsi" w:hAnsiTheme="minorHAnsi" w:cstheme="minorHAnsi"/>
                <w:sz w:val="18"/>
                <w:szCs w:val="18"/>
              </w:rPr>
              <w:t>0.0</w:t>
            </w:r>
          </w:p>
        </w:tc>
        <w:tc>
          <w:tcPr>
            <w:tcW w:w="1695" w:type="dxa"/>
            <w:tcBorders>
              <w:top w:val="single" w:sz="4" w:space="0" w:color="000000"/>
              <w:left w:val="single" w:sz="4" w:space="0" w:color="000000"/>
              <w:bottom w:val="single" w:sz="4" w:space="0" w:color="000000"/>
              <w:right w:val="single" w:sz="4" w:space="0" w:color="000000"/>
            </w:tcBorders>
          </w:tcPr>
          <w:p w14:paraId="142A4BA7" w14:textId="77777777" w:rsidR="00E20F08" w:rsidRPr="00A02903" w:rsidRDefault="00E20F08" w:rsidP="007B11C9">
            <w:pPr>
              <w:spacing w:after="0" w:line="271" w:lineRule="auto"/>
              <w:rPr>
                <w:rFonts w:asciiTheme="minorHAnsi" w:hAnsiTheme="minorHAnsi" w:cstheme="minorHAnsi"/>
                <w:sz w:val="18"/>
                <w:szCs w:val="18"/>
              </w:rPr>
            </w:pPr>
            <w:r>
              <w:rPr>
                <w:rFonts w:asciiTheme="minorHAnsi" w:hAnsiTheme="minorHAnsi" w:cstheme="minorHAnsi"/>
                <w:sz w:val="18"/>
                <w:szCs w:val="18"/>
              </w:rPr>
              <w:t>No change in compliance</w:t>
            </w:r>
          </w:p>
        </w:tc>
      </w:tr>
      <w:tr w:rsidR="00CE24F6" w:rsidRPr="00955B78" w14:paraId="142A4BB0" w14:textId="77777777" w:rsidTr="001003F6">
        <w:tc>
          <w:tcPr>
            <w:tcW w:w="1101" w:type="dxa"/>
            <w:tcBorders>
              <w:top w:val="single" w:sz="4" w:space="0" w:color="000000"/>
              <w:left w:val="single" w:sz="4" w:space="0" w:color="000000"/>
              <w:bottom w:val="single" w:sz="4" w:space="0" w:color="000000"/>
              <w:right w:val="single" w:sz="4" w:space="0" w:color="000000"/>
            </w:tcBorders>
            <w:shd w:val="clear" w:color="auto" w:fill="auto"/>
            <w:hideMark/>
          </w:tcPr>
          <w:p w14:paraId="142A4BA9" w14:textId="77777777" w:rsidR="00E20F08" w:rsidRPr="00052A4B" w:rsidRDefault="00E20F08" w:rsidP="008F57A2">
            <w:pPr>
              <w:spacing w:after="0"/>
              <w:jc w:val="center"/>
              <w:rPr>
                <w:rFonts w:asciiTheme="minorHAnsi" w:hAnsiTheme="minorHAnsi" w:cstheme="minorHAnsi"/>
                <w:sz w:val="18"/>
                <w:szCs w:val="18"/>
                <w:u w:val="single"/>
              </w:rPr>
            </w:pPr>
            <w:r w:rsidRPr="00052A4B">
              <w:rPr>
                <w:rFonts w:asciiTheme="minorHAnsi" w:hAnsiTheme="minorHAnsi" w:cstheme="minorHAnsi"/>
                <w:sz w:val="18"/>
                <w:szCs w:val="18"/>
                <w:u w:val="single"/>
              </w:rPr>
              <w:t>GOV-4</w:t>
            </w:r>
          </w:p>
        </w:tc>
        <w:tc>
          <w:tcPr>
            <w:tcW w:w="3685" w:type="dxa"/>
            <w:tcBorders>
              <w:top w:val="single" w:sz="4" w:space="0" w:color="000000"/>
              <w:left w:val="single" w:sz="4" w:space="0" w:color="000000"/>
              <w:bottom w:val="single" w:sz="4" w:space="0" w:color="000000"/>
              <w:right w:val="single" w:sz="4" w:space="0" w:color="000000"/>
            </w:tcBorders>
            <w:shd w:val="clear" w:color="auto" w:fill="auto"/>
            <w:hideMark/>
          </w:tcPr>
          <w:p w14:paraId="142A4BAA" w14:textId="77777777" w:rsidR="00E20F08" w:rsidRPr="00052A4B" w:rsidRDefault="00E20F08" w:rsidP="007B11C9">
            <w:pPr>
              <w:spacing w:after="0" w:line="271" w:lineRule="auto"/>
              <w:rPr>
                <w:rFonts w:asciiTheme="minorHAnsi" w:hAnsiTheme="minorHAnsi" w:cstheme="minorHAnsi"/>
                <w:sz w:val="18"/>
                <w:szCs w:val="18"/>
              </w:rPr>
            </w:pPr>
            <w:r w:rsidRPr="00052A4B">
              <w:rPr>
                <w:rFonts w:asciiTheme="minorHAnsi" w:hAnsiTheme="minorHAnsi" w:cstheme="minorHAnsi"/>
                <w:sz w:val="18"/>
                <w:szCs w:val="18"/>
              </w:rPr>
              <w:t>Entities must prepare a security plan to manage their security risks. The security plan must be updated or revised every two years or sooner where changes in risks and the entity’s operating environment dictate.</w:t>
            </w:r>
          </w:p>
        </w:tc>
        <w:tc>
          <w:tcPr>
            <w:tcW w:w="1194" w:type="dxa"/>
            <w:tcBorders>
              <w:top w:val="single" w:sz="4" w:space="0" w:color="000000"/>
              <w:left w:val="single" w:sz="4" w:space="0" w:color="000000"/>
              <w:bottom w:val="single" w:sz="4" w:space="0" w:color="000000"/>
              <w:right w:val="single" w:sz="4" w:space="0" w:color="000000"/>
            </w:tcBorders>
          </w:tcPr>
          <w:p w14:paraId="142A4BAB" w14:textId="77777777" w:rsidR="00E20F08" w:rsidRPr="003D0A6B" w:rsidRDefault="00CF3DA0"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74</w:t>
            </w:r>
          </w:p>
        </w:tc>
        <w:tc>
          <w:tcPr>
            <w:tcW w:w="956" w:type="dxa"/>
            <w:tcBorders>
              <w:top w:val="single" w:sz="4" w:space="0" w:color="000000"/>
              <w:left w:val="single" w:sz="4" w:space="0" w:color="000000"/>
              <w:bottom w:val="single" w:sz="4" w:space="0" w:color="000000"/>
              <w:right w:val="single" w:sz="4" w:space="0" w:color="000000"/>
            </w:tcBorders>
          </w:tcPr>
          <w:p w14:paraId="142A4BAC" w14:textId="77777777" w:rsidR="00E20F08" w:rsidRPr="003D0A6B" w:rsidRDefault="00D968E9"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79.6%</w:t>
            </w:r>
          </w:p>
        </w:tc>
        <w:tc>
          <w:tcPr>
            <w:tcW w:w="846" w:type="dxa"/>
            <w:gridSpan w:val="2"/>
            <w:tcBorders>
              <w:top w:val="single" w:sz="4" w:space="0" w:color="000000"/>
              <w:left w:val="single" w:sz="4" w:space="0" w:color="000000"/>
              <w:bottom w:val="single" w:sz="4" w:space="0" w:color="000000"/>
              <w:right w:val="single" w:sz="4" w:space="0" w:color="000000"/>
            </w:tcBorders>
          </w:tcPr>
          <w:p w14:paraId="142A4BAD" w14:textId="77777777" w:rsidR="00E20F08" w:rsidRPr="003D0A6B" w:rsidRDefault="00D968E9"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78.5%</w:t>
            </w:r>
          </w:p>
        </w:tc>
        <w:tc>
          <w:tcPr>
            <w:tcW w:w="1057" w:type="dxa"/>
            <w:tcBorders>
              <w:top w:val="single" w:sz="4" w:space="0" w:color="000000"/>
              <w:left w:val="single" w:sz="4" w:space="0" w:color="000000"/>
              <w:bottom w:val="single" w:sz="4" w:space="0" w:color="000000"/>
              <w:right w:val="single" w:sz="4" w:space="0" w:color="000000"/>
            </w:tcBorders>
          </w:tcPr>
          <w:p w14:paraId="142A4BAE" w14:textId="77777777" w:rsidR="00E20F08" w:rsidRPr="00F03FAB" w:rsidRDefault="00E20F08"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1</w:t>
            </w:r>
            <w:r w:rsidRPr="00F03FAB">
              <w:rPr>
                <w:rFonts w:asciiTheme="minorHAnsi" w:hAnsiTheme="minorHAnsi" w:cstheme="minorHAnsi"/>
                <w:sz w:val="18"/>
                <w:szCs w:val="18"/>
              </w:rPr>
              <w:t>.</w:t>
            </w:r>
            <w:r>
              <w:rPr>
                <w:rFonts w:asciiTheme="minorHAnsi" w:hAnsiTheme="minorHAnsi" w:cstheme="minorHAnsi"/>
                <w:sz w:val="18"/>
                <w:szCs w:val="18"/>
              </w:rPr>
              <w:t>1</w:t>
            </w:r>
          </w:p>
        </w:tc>
        <w:tc>
          <w:tcPr>
            <w:tcW w:w="1695" w:type="dxa"/>
            <w:tcBorders>
              <w:top w:val="single" w:sz="4" w:space="0" w:color="000000"/>
              <w:left w:val="single" w:sz="4" w:space="0" w:color="000000"/>
              <w:bottom w:val="single" w:sz="4" w:space="0" w:color="000000"/>
              <w:right w:val="single" w:sz="4" w:space="0" w:color="000000"/>
            </w:tcBorders>
          </w:tcPr>
          <w:p w14:paraId="142A4BAF" w14:textId="77777777" w:rsidR="00E20F08" w:rsidRPr="00A02903" w:rsidRDefault="00E20F08" w:rsidP="007B11C9">
            <w:pPr>
              <w:spacing w:after="0" w:line="271" w:lineRule="auto"/>
              <w:rPr>
                <w:rFonts w:asciiTheme="minorHAnsi" w:hAnsiTheme="minorHAnsi" w:cstheme="minorHAnsi"/>
                <w:sz w:val="18"/>
                <w:szCs w:val="18"/>
              </w:rPr>
            </w:pPr>
            <w:r>
              <w:rPr>
                <w:rFonts w:asciiTheme="minorHAnsi" w:hAnsiTheme="minorHAnsi" w:cstheme="minorHAnsi"/>
                <w:sz w:val="18"/>
                <w:szCs w:val="18"/>
              </w:rPr>
              <w:t>N/A</w:t>
            </w:r>
          </w:p>
        </w:tc>
      </w:tr>
      <w:tr w:rsidR="00CE24F6" w:rsidRPr="00955B78" w14:paraId="142A4BB8" w14:textId="77777777" w:rsidTr="001003F6">
        <w:tc>
          <w:tcPr>
            <w:tcW w:w="1101" w:type="dxa"/>
            <w:tcBorders>
              <w:top w:val="single" w:sz="4" w:space="0" w:color="000000"/>
              <w:left w:val="single" w:sz="4" w:space="0" w:color="000000"/>
              <w:bottom w:val="single" w:sz="4" w:space="0" w:color="000000"/>
              <w:right w:val="single" w:sz="4" w:space="0" w:color="000000"/>
            </w:tcBorders>
            <w:shd w:val="clear" w:color="auto" w:fill="auto"/>
            <w:hideMark/>
          </w:tcPr>
          <w:p w14:paraId="142A4BB1" w14:textId="77777777" w:rsidR="00E20F08" w:rsidRPr="00052A4B" w:rsidRDefault="00E20F08" w:rsidP="008F57A2">
            <w:pPr>
              <w:spacing w:after="0"/>
              <w:jc w:val="center"/>
              <w:rPr>
                <w:rFonts w:asciiTheme="minorHAnsi" w:hAnsiTheme="minorHAnsi" w:cstheme="minorHAnsi"/>
                <w:sz w:val="18"/>
                <w:szCs w:val="18"/>
              </w:rPr>
            </w:pPr>
            <w:r w:rsidRPr="00052A4B">
              <w:rPr>
                <w:rFonts w:asciiTheme="minorHAnsi" w:hAnsiTheme="minorHAnsi" w:cstheme="minorHAnsi"/>
                <w:sz w:val="18"/>
                <w:szCs w:val="18"/>
                <w:u w:val="single"/>
              </w:rPr>
              <w:t>GOV-5</w:t>
            </w:r>
          </w:p>
        </w:tc>
        <w:tc>
          <w:tcPr>
            <w:tcW w:w="3685" w:type="dxa"/>
            <w:tcBorders>
              <w:top w:val="single" w:sz="4" w:space="0" w:color="000000"/>
              <w:left w:val="single" w:sz="4" w:space="0" w:color="000000"/>
              <w:bottom w:val="single" w:sz="4" w:space="0" w:color="000000"/>
              <w:right w:val="single" w:sz="4" w:space="0" w:color="000000"/>
            </w:tcBorders>
            <w:shd w:val="clear" w:color="auto" w:fill="auto"/>
            <w:hideMark/>
          </w:tcPr>
          <w:p w14:paraId="142A4BB2" w14:textId="77777777" w:rsidR="00E20F08" w:rsidRPr="00052A4B" w:rsidRDefault="00E20F08" w:rsidP="00F12B68">
            <w:pPr>
              <w:spacing w:after="0" w:line="271" w:lineRule="auto"/>
              <w:rPr>
                <w:rFonts w:asciiTheme="minorHAnsi" w:hAnsiTheme="minorHAnsi" w:cstheme="minorHAnsi"/>
                <w:sz w:val="18"/>
                <w:szCs w:val="18"/>
              </w:rPr>
            </w:pPr>
            <w:r w:rsidRPr="00052A4B">
              <w:rPr>
                <w:rFonts w:asciiTheme="minorHAnsi" w:hAnsiTheme="minorHAnsi" w:cstheme="minorHAnsi"/>
                <w:sz w:val="18"/>
                <w:szCs w:val="18"/>
              </w:rPr>
              <w:t>Entities must develop their own set of protective security policies and procedures to meet their specific business needs.</w:t>
            </w:r>
          </w:p>
        </w:tc>
        <w:tc>
          <w:tcPr>
            <w:tcW w:w="1194" w:type="dxa"/>
            <w:tcBorders>
              <w:top w:val="single" w:sz="4" w:space="0" w:color="000000"/>
              <w:left w:val="single" w:sz="4" w:space="0" w:color="000000"/>
              <w:bottom w:val="single" w:sz="4" w:space="0" w:color="000000"/>
              <w:right w:val="single" w:sz="4" w:space="0" w:color="000000"/>
            </w:tcBorders>
          </w:tcPr>
          <w:p w14:paraId="142A4BB3" w14:textId="77777777" w:rsidR="00E20F08" w:rsidRPr="003D0A6B" w:rsidRDefault="00BE0661"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79</w:t>
            </w:r>
          </w:p>
        </w:tc>
        <w:tc>
          <w:tcPr>
            <w:tcW w:w="956" w:type="dxa"/>
            <w:tcBorders>
              <w:top w:val="single" w:sz="4" w:space="0" w:color="000000"/>
              <w:left w:val="single" w:sz="4" w:space="0" w:color="000000"/>
              <w:bottom w:val="single" w:sz="4" w:space="0" w:color="000000"/>
              <w:right w:val="single" w:sz="4" w:space="0" w:color="000000"/>
            </w:tcBorders>
          </w:tcPr>
          <w:p w14:paraId="142A4BB4" w14:textId="77777777" w:rsidR="00E20F08" w:rsidRPr="003D0A6B" w:rsidRDefault="00E20F08"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84.9%</w:t>
            </w:r>
          </w:p>
        </w:tc>
        <w:tc>
          <w:tcPr>
            <w:tcW w:w="846" w:type="dxa"/>
            <w:gridSpan w:val="2"/>
            <w:tcBorders>
              <w:top w:val="single" w:sz="4" w:space="0" w:color="000000"/>
              <w:left w:val="single" w:sz="4" w:space="0" w:color="000000"/>
              <w:bottom w:val="single" w:sz="4" w:space="0" w:color="000000"/>
              <w:right w:val="single" w:sz="4" w:space="0" w:color="000000"/>
            </w:tcBorders>
          </w:tcPr>
          <w:p w14:paraId="142A4BB5" w14:textId="77777777" w:rsidR="00E20F08" w:rsidRPr="003D0A6B" w:rsidRDefault="00E20F08"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84.9%</w:t>
            </w:r>
          </w:p>
        </w:tc>
        <w:tc>
          <w:tcPr>
            <w:tcW w:w="1057" w:type="dxa"/>
            <w:tcBorders>
              <w:top w:val="single" w:sz="4" w:space="0" w:color="000000"/>
              <w:left w:val="single" w:sz="4" w:space="0" w:color="000000"/>
              <w:bottom w:val="single" w:sz="4" w:space="0" w:color="000000"/>
              <w:right w:val="single" w:sz="4" w:space="0" w:color="000000"/>
            </w:tcBorders>
          </w:tcPr>
          <w:p w14:paraId="142A4BB6" w14:textId="77777777" w:rsidR="00E20F08" w:rsidRPr="00F03FAB" w:rsidRDefault="00E20F08" w:rsidP="008F57A2">
            <w:pPr>
              <w:spacing w:after="0" w:line="271" w:lineRule="auto"/>
              <w:jc w:val="center"/>
              <w:rPr>
                <w:rFonts w:asciiTheme="minorHAnsi" w:hAnsiTheme="minorHAnsi" w:cstheme="minorHAnsi"/>
                <w:sz w:val="18"/>
                <w:szCs w:val="18"/>
              </w:rPr>
            </w:pPr>
            <w:r w:rsidRPr="00F03FAB">
              <w:rPr>
                <w:rFonts w:asciiTheme="minorHAnsi" w:hAnsiTheme="minorHAnsi" w:cstheme="minorHAnsi"/>
                <w:sz w:val="18"/>
                <w:szCs w:val="18"/>
              </w:rPr>
              <w:t>0.0</w:t>
            </w:r>
          </w:p>
        </w:tc>
        <w:tc>
          <w:tcPr>
            <w:tcW w:w="1695" w:type="dxa"/>
            <w:tcBorders>
              <w:top w:val="single" w:sz="4" w:space="0" w:color="000000"/>
              <w:left w:val="single" w:sz="4" w:space="0" w:color="000000"/>
              <w:bottom w:val="single" w:sz="4" w:space="0" w:color="000000"/>
              <w:right w:val="single" w:sz="4" w:space="0" w:color="000000"/>
            </w:tcBorders>
          </w:tcPr>
          <w:p w14:paraId="142A4BB7" w14:textId="77777777" w:rsidR="00E20F08" w:rsidRPr="00A02903" w:rsidRDefault="00E20F08" w:rsidP="007B11C9">
            <w:pPr>
              <w:spacing w:after="0" w:line="271" w:lineRule="auto"/>
              <w:rPr>
                <w:rFonts w:asciiTheme="minorHAnsi" w:hAnsiTheme="minorHAnsi" w:cstheme="minorHAnsi"/>
                <w:sz w:val="18"/>
                <w:szCs w:val="18"/>
              </w:rPr>
            </w:pPr>
            <w:r>
              <w:rPr>
                <w:rFonts w:asciiTheme="minorHAnsi" w:hAnsiTheme="minorHAnsi" w:cstheme="minorHAnsi"/>
                <w:sz w:val="18"/>
                <w:szCs w:val="18"/>
              </w:rPr>
              <w:t>No change in compliance</w:t>
            </w:r>
          </w:p>
        </w:tc>
      </w:tr>
      <w:tr w:rsidR="00CE24F6" w:rsidRPr="00955B78" w14:paraId="142A4BC0" w14:textId="77777777" w:rsidTr="001003F6">
        <w:tc>
          <w:tcPr>
            <w:tcW w:w="1101" w:type="dxa"/>
            <w:tcBorders>
              <w:top w:val="single" w:sz="4" w:space="0" w:color="000000"/>
              <w:left w:val="single" w:sz="4" w:space="0" w:color="000000"/>
              <w:bottom w:val="single" w:sz="4" w:space="0" w:color="000000"/>
              <w:right w:val="single" w:sz="4" w:space="0" w:color="000000"/>
            </w:tcBorders>
            <w:shd w:val="clear" w:color="auto" w:fill="auto"/>
            <w:hideMark/>
          </w:tcPr>
          <w:p w14:paraId="142A4BB9" w14:textId="77777777" w:rsidR="00E20F08" w:rsidRPr="00052A4B" w:rsidRDefault="00E20F08" w:rsidP="008F57A2">
            <w:pPr>
              <w:spacing w:after="0"/>
              <w:jc w:val="center"/>
              <w:rPr>
                <w:rFonts w:asciiTheme="minorHAnsi" w:hAnsiTheme="minorHAnsi" w:cstheme="minorHAnsi"/>
                <w:sz w:val="18"/>
                <w:szCs w:val="18"/>
              </w:rPr>
            </w:pPr>
            <w:r w:rsidRPr="00052A4B">
              <w:rPr>
                <w:rFonts w:asciiTheme="minorHAnsi" w:hAnsiTheme="minorHAnsi" w:cstheme="minorHAnsi"/>
                <w:sz w:val="18"/>
                <w:szCs w:val="18"/>
                <w:u w:val="single"/>
              </w:rPr>
              <w:t>GOV-6</w:t>
            </w:r>
          </w:p>
        </w:tc>
        <w:tc>
          <w:tcPr>
            <w:tcW w:w="3685" w:type="dxa"/>
            <w:tcBorders>
              <w:top w:val="single" w:sz="4" w:space="0" w:color="000000"/>
              <w:left w:val="single" w:sz="4" w:space="0" w:color="000000"/>
              <w:bottom w:val="single" w:sz="4" w:space="0" w:color="000000"/>
              <w:right w:val="single" w:sz="4" w:space="0" w:color="000000"/>
            </w:tcBorders>
            <w:shd w:val="clear" w:color="auto" w:fill="auto"/>
            <w:hideMark/>
          </w:tcPr>
          <w:p w14:paraId="142A4BBA" w14:textId="77777777" w:rsidR="00E20F08" w:rsidRPr="00052A4B" w:rsidRDefault="00E20F08" w:rsidP="00F12B68">
            <w:pPr>
              <w:spacing w:after="0" w:line="271" w:lineRule="auto"/>
              <w:rPr>
                <w:rFonts w:asciiTheme="minorHAnsi" w:hAnsiTheme="minorHAnsi" w:cstheme="minorHAnsi"/>
                <w:sz w:val="18"/>
                <w:szCs w:val="18"/>
              </w:rPr>
            </w:pPr>
            <w:r w:rsidRPr="00052A4B">
              <w:rPr>
                <w:rFonts w:asciiTheme="minorHAnsi" w:hAnsiTheme="minorHAnsi" w:cstheme="minorHAnsi"/>
                <w:sz w:val="18"/>
                <w:szCs w:val="18"/>
              </w:rPr>
              <w:t xml:space="preserve">Entities must adopt a risk management approach to cover all areas of protective security activity across their organisation, in accordance with the Australian Standards AS/NZS ISO 31000:2009 </w:t>
            </w:r>
            <w:r w:rsidRPr="00052A4B">
              <w:rPr>
                <w:rFonts w:asciiTheme="minorHAnsi" w:hAnsiTheme="minorHAnsi" w:cstheme="minorHAnsi"/>
                <w:i/>
                <w:sz w:val="18"/>
                <w:szCs w:val="18"/>
              </w:rPr>
              <w:t>Risk management—Principles and guidelines</w:t>
            </w:r>
            <w:r w:rsidRPr="00052A4B">
              <w:rPr>
                <w:rFonts w:asciiTheme="minorHAnsi" w:hAnsiTheme="minorHAnsi" w:cstheme="minorHAnsi"/>
                <w:sz w:val="18"/>
                <w:szCs w:val="18"/>
              </w:rPr>
              <w:t xml:space="preserve"> and HB 167:2006 </w:t>
            </w:r>
            <w:r w:rsidRPr="00052A4B">
              <w:rPr>
                <w:rFonts w:asciiTheme="minorHAnsi" w:hAnsiTheme="minorHAnsi" w:cstheme="minorHAnsi"/>
                <w:i/>
                <w:sz w:val="18"/>
                <w:szCs w:val="18"/>
              </w:rPr>
              <w:t>Security risk management</w:t>
            </w:r>
            <w:r w:rsidRPr="00052A4B">
              <w:rPr>
                <w:rFonts w:asciiTheme="minorHAnsi" w:hAnsiTheme="minorHAnsi" w:cstheme="minorHAnsi"/>
                <w:sz w:val="18"/>
                <w:szCs w:val="18"/>
              </w:rPr>
              <w:t>.</w:t>
            </w:r>
          </w:p>
        </w:tc>
        <w:tc>
          <w:tcPr>
            <w:tcW w:w="1194" w:type="dxa"/>
            <w:tcBorders>
              <w:top w:val="single" w:sz="4" w:space="0" w:color="000000"/>
              <w:left w:val="single" w:sz="4" w:space="0" w:color="000000"/>
              <w:bottom w:val="single" w:sz="4" w:space="0" w:color="000000"/>
              <w:right w:val="single" w:sz="4" w:space="0" w:color="000000"/>
            </w:tcBorders>
          </w:tcPr>
          <w:p w14:paraId="142A4BBB" w14:textId="77777777" w:rsidR="00E20F08" w:rsidRPr="003D0A6B" w:rsidRDefault="00CF3DA0"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85</w:t>
            </w:r>
          </w:p>
        </w:tc>
        <w:tc>
          <w:tcPr>
            <w:tcW w:w="956" w:type="dxa"/>
            <w:tcBorders>
              <w:top w:val="single" w:sz="4" w:space="0" w:color="000000"/>
              <w:left w:val="single" w:sz="4" w:space="0" w:color="000000"/>
              <w:bottom w:val="single" w:sz="4" w:space="0" w:color="000000"/>
              <w:right w:val="single" w:sz="4" w:space="0" w:color="000000"/>
            </w:tcBorders>
          </w:tcPr>
          <w:p w14:paraId="142A4BBC" w14:textId="77777777" w:rsidR="00E20F08" w:rsidRPr="003D0A6B" w:rsidRDefault="00D968E9"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91.4%</w:t>
            </w:r>
          </w:p>
        </w:tc>
        <w:tc>
          <w:tcPr>
            <w:tcW w:w="846" w:type="dxa"/>
            <w:gridSpan w:val="2"/>
            <w:tcBorders>
              <w:top w:val="single" w:sz="4" w:space="0" w:color="000000"/>
              <w:left w:val="single" w:sz="4" w:space="0" w:color="000000"/>
              <w:bottom w:val="single" w:sz="4" w:space="0" w:color="000000"/>
              <w:right w:val="single" w:sz="4" w:space="0" w:color="000000"/>
            </w:tcBorders>
          </w:tcPr>
          <w:p w14:paraId="142A4BBD" w14:textId="77777777" w:rsidR="00E20F08" w:rsidRPr="003D0A6B" w:rsidRDefault="00D968E9"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90.3%</w:t>
            </w:r>
          </w:p>
        </w:tc>
        <w:tc>
          <w:tcPr>
            <w:tcW w:w="1057" w:type="dxa"/>
            <w:tcBorders>
              <w:top w:val="single" w:sz="4" w:space="0" w:color="000000"/>
              <w:left w:val="single" w:sz="4" w:space="0" w:color="000000"/>
              <w:bottom w:val="single" w:sz="4" w:space="0" w:color="000000"/>
              <w:right w:val="single" w:sz="4" w:space="0" w:color="000000"/>
            </w:tcBorders>
          </w:tcPr>
          <w:p w14:paraId="142A4BBE" w14:textId="77777777" w:rsidR="00E20F08" w:rsidRPr="00F03FAB" w:rsidRDefault="00E20F08"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1</w:t>
            </w:r>
            <w:r w:rsidRPr="002C3B60">
              <w:rPr>
                <w:rFonts w:asciiTheme="minorHAnsi" w:hAnsiTheme="minorHAnsi" w:cstheme="minorHAnsi"/>
                <w:sz w:val="18"/>
                <w:szCs w:val="18"/>
              </w:rPr>
              <w:t>.</w:t>
            </w:r>
            <w:r>
              <w:rPr>
                <w:rFonts w:asciiTheme="minorHAnsi" w:hAnsiTheme="minorHAnsi" w:cstheme="minorHAnsi"/>
                <w:sz w:val="18"/>
                <w:szCs w:val="18"/>
              </w:rPr>
              <w:t>1</w:t>
            </w:r>
          </w:p>
        </w:tc>
        <w:tc>
          <w:tcPr>
            <w:tcW w:w="1695" w:type="dxa"/>
            <w:tcBorders>
              <w:top w:val="single" w:sz="4" w:space="0" w:color="000000"/>
              <w:left w:val="single" w:sz="4" w:space="0" w:color="000000"/>
              <w:bottom w:val="single" w:sz="4" w:space="0" w:color="000000"/>
              <w:right w:val="single" w:sz="4" w:space="0" w:color="000000"/>
            </w:tcBorders>
          </w:tcPr>
          <w:p w14:paraId="142A4BBF" w14:textId="77777777" w:rsidR="00E20F08" w:rsidRPr="00A02903" w:rsidRDefault="00E20F08" w:rsidP="007B11C9">
            <w:pPr>
              <w:spacing w:after="0" w:line="271" w:lineRule="auto"/>
              <w:rPr>
                <w:rFonts w:asciiTheme="minorHAnsi" w:hAnsiTheme="minorHAnsi" w:cstheme="minorHAnsi"/>
                <w:sz w:val="18"/>
                <w:szCs w:val="18"/>
              </w:rPr>
            </w:pPr>
            <w:r>
              <w:rPr>
                <w:rFonts w:asciiTheme="minorHAnsi" w:hAnsiTheme="minorHAnsi" w:cstheme="minorHAnsi"/>
                <w:sz w:val="18"/>
                <w:szCs w:val="18"/>
              </w:rPr>
              <w:t>N/A</w:t>
            </w:r>
          </w:p>
        </w:tc>
      </w:tr>
      <w:tr w:rsidR="00CE24F6" w:rsidRPr="00955B78" w14:paraId="142A4BD4" w14:textId="77777777" w:rsidTr="001003F6">
        <w:tc>
          <w:tcPr>
            <w:tcW w:w="1101" w:type="dxa"/>
            <w:tcBorders>
              <w:top w:val="single" w:sz="4" w:space="0" w:color="000000"/>
              <w:left w:val="single" w:sz="4" w:space="0" w:color="000000"/>
              <w:bottom w:val="single" w:sz="4" w:space="0" w:color="000000"/>
              <w:right w:val="single" w:sz="4" w:space="0" w:color="000000"/>
            </w:tcBorders>
            <w:shd w:val="clear" w:color="auto" w:fill="auto"/>
            <w:hideMark/>
          </w:tcPr>
          <w:p w14:paraId="142A4BC1" w14:textId="77777777" w:rsidR="00E20F08" w:rsidRPr="00052A4B" w:rsidRDefault="00E20F08" w:rsidP="008F57A2">
            <w:pPr>
              <w:spacing w:after="0"/>
              <w:jc w:val="center"/>
              <w:rPr>
                <w:rFonts w:asciiTheme="minorHAnsi" w:hAnsiTheme="minorHAnsi" w:cstheme="minorHAnsi"/>
                <w:sz w:val="18"/>
                <w:szCs w:val="18"/>
              </w:rPr>
            </w:pPr>
            <w:r w:rsidRPr="00052A4B">
              <w:rPr>
                <w:rFonts w:asciiTheme="minorHAnsi" w:hAnsiTheme="minorHAnsi" w:cstheme="minorHAnsi"/>
                <w:sz w:val="18"/>
                <w:szCs w:val="18"/>
                <w:u w:val="single"/>
              </w:rPr>
              <w:t>GOV-7</w:t>
            </w:r>
          </w:p>
        </w:tc>
        <w:tc>
          <w:tcPr>
            <w:tcW w:w="3685" w:type="dxa"/>
            <w:tcBorders>
              <w:top w:val="single" w:sz="4" w:space="0" w:color="000000"/>
              <w:left w:val="single" w:sz="4" w:space="0" w:color="000000"/>
              <w:bottom w:val="single" w:sz="4" w:space="0" w:color="000000"/>
              <w:right w:val="single" w:sz="4" w:space="0" w:color="000000"/>
            </w:tcBorders>
            <w:shd w:val="clear" w:color="auto" w:fill="auto"/>
            <w:hideMark/>
          </w:tcPr>
          <w:p w14:paraId="142A4BC2" w14:textId="77777777" w:rsidR="00E20F08" w:rsidRPr="00052A4B" w:rsidRDefault="00E20F08" w:rsidP="00F12B68">
            <w:pPr>
              <w:widowControl w:val="0"/>
              <w:spacing w:after="0"/>
              <w:rPr>
                <w:rFonts w:asciiTheme="minorHAnsi" w:hAnsiTheme="minorHAnsi" w:cstheme="minorHAnsi"/>
                <w:sz w:val="18"/>
                <w:szCs w:val="18"/>
              </w:rPr>
            </w:pPr>
            <w:r w:rsidRPr="00052A4B">
              <w:rPr>
                <w:rFonts w:asciiTheme="minorHAnsi" w:hAnsiTheme="minorHAnsi" w:cstheme="minorHAnsi"/>
                <w:sz w:val="18"/>
                <w:szCs w:val="18"/>
              </w:rPr>
              <w:t>For internal audit and reporting, entities must:</w:t>
            </w:r>
          </w:p>
          <w:p w14:paraId="142A4BC3" w14:textId="77777777" w:rsidR="00E20F08" w:rsidRPr="00052A4B" w:rsidRDefault="00E20F08" w:rsidP="00F12B68">
            <w:pPr>
              <w:pStyle w:val="ListParagraph"/>
              <w:widowControl w:val="0"/>
              <w:numPr>
                <w:ilvl w:val="0"/>
                <w:numId w:val="5"/>
              </w:numPr>
              <w:spacing w:after="0" w:line="240" w:lineRule="auto"/>
              <w:ind w:left="357" w:hanging="357"/>
              <w:contextualSpacing w:val="0"/>
              <w:rPr>
                <w:rFonts w:asciiTheme="minorHAnsi" w:hAnsiTheme="minorHAnsi" w:cstheme="minorHAnsi"/>
                <w:sz w:val="18"/>
                <w:szCs w:val="18"/>
              </w:rPr>
            </w:pPr>
            <w:r w:rsidRPr="00052A4B">
              <w:rPr>
                <w:rFonts w:asciiTheme="minorHAnsi" w:hAnsiTheme="minorHAnsi" w:cstheme="minorHAnsi"/>
                <w:sz w:val="18"/>
                <w:szCs w:val="18"/>
              </w:rPr>
              <w:t xml:space="preserve">undertake an annual security assessment against the mandatory requirements detailed within the Protective Security Policy Framework </w:t>
            </w:r>
          </w:p>
          <w:p w14:paraId="142A4BC4" w14:textId="77777777" w:rsidR="00E20F08" w:rsidRPr="00052A4B" w:rsidRDefault="00E20F08" w:rsidP="00F12B68">
            <w:pPr>
              <w:pStyle w:val="ListParagraph"/>
              <w:widowControl w:val="0"/>
              <w:numPr>
                <w:ilvl w:val="0"/>
                <w:numId w:val="5"/>
              </w:numPr>
              <w:spacing w:after="0" w:line="240" w:lineRule="auto"/>
              <w:ind w:left="357" w:hanging="357"/>
              <w:contextualSpacing w:val="0"/>
              <w:rPr>
                <w:rFonts w:asciiTheme="minorHAnsi" w:hAnsiTheme="minorHAnsi" w:cstheme="minorHAnsi"/>
                <w:sz w:val="18"/>
                <w:szCs w:val="18"/>
              </w:rPr>
            </w:pPr>
            <w:r w:rsidRPr="00052A4B">
              <w:rPr>
                <w:rFonts w:asciiTheme="minorHAnsi" w:hAnsiTheme="minorHAnsi" w:cstheme="minorHAnsi"/>
                <w:sz w:val="18"/>
                <w:szCs w:val="18"/>
              </w:rPr>
              <w:t>report their compliance with the mandatory requirements to the relevant portfolio Minister.</w:t>
            </w:r>
          </w:p>
          <w:p w14:paraId="142A4BC5" w14:textId="77777777" w:rsidR="00E20F08" w:rsidRPr="00052A4B" w:rsidRDefault="00E20F08" w:rsidP="00F12B68">
            <w:pPr>
              <w:widowControl w:val="0"/>
              <w:spacing w:after="0"/>
              <w:rPr>
                <w:rFonts w:asciiTheme="minorHAnsi" w:hAnsiTheme="minorHAnsi" w:cstheme="minorHAnsi"/>
                <w:sz w:val="18"/>
                <w:szCs w:val="18"/>
              </w:rPr>
            </w:pPr>
            <w:r w:rsidRPr="00052A4B">
              <w:rPr>
                <w:rFonts w:asciiTheme="minorHAnsi" w:hAnsiTheme="minorHAnsi" w:cstheme="minorHAnsi"/>
                <w:sz w:val="18"/>
                <w:szCs w:val="18"/>
              </w:rPr>
              <w:t>The report must:</w:t>
            </w:r>
          </w:p>
          <w:p w14:paraId="142A4BC6" w14:textId="77777777" w:rsidR="00E20F08" w:rsidRPr="00052A4B" w:rsidRDefault="00E20F08" w:rsidP="00F12B68">
            <w:pPr>
              <w:pStyle w:val="ListParagraph"/>
              <w:widowControl w:val="0"/>
              <w:numPr>
                <w:ilvl w:val="0"/>
                <w:numId w:val="6"/>
              </w:numPr>
              <w:spacing w:after="0" w:line="240" w:lineRule="auto"/>
              <w:ind w:left="357" w:hanging="357"/>
              <w:contextualSpacing w:val="0"/>
              <w:rPr>
                <w:rFonts w:asciiTheme="minorHAnsi" w:hAnsiTheme="minorHAnsi" w:cstheme="minorHAnsi"/>
                <w:sz w:val="18"/>
                <w:szCs w:val="18"/>
              </w:rPr>
            </w:pPr>
            <w:r w:rsidRPr="00052A4B">
              <w:rPr>
                <w:rFonts w:asciiTheme="minorHAnsi" w:hAnsiTheme="minorHAnsi" w:cstheme="minorHAnsi"/>
                <w:sz w:val="18"/>
                <w:szCs w:val="18"/>
              </w:rPr>
              <w:t>contain a declaration of compliance by the entity head</w:t>
            </w:r>
          </w:p>
          <w:p w14:paraId="142A4BC7" w14:textId="77777777" w:rsidR="00E20F08" w:rsidRPr="00052A4B" w:rsidRDefault="00E20F08" w:rsidP="00F12B68">
            <w:pPr>
              <w:pStyle w:val="ListParagraph"/>
              <w:widowControl w:val="0"/>
              <w:numPr>
                <w:ilvl w:val="0"/>
                <w:numId w:val="6"/>
              </w:numPr>
              <w:spacing w:after="0" w:line="240" w:lineRule="auto"/>
              <w:ind w:left="357" w:hanging="357"/>
              <w:contextualSpacing w:val="0"/>
              <w:rPr>
                <w:rFonts w:asciiTheme="minorHAnsi" w:hAnsiTheme="minorHAnsi" w:cstheme="minorHAnsi"/>
                <w:sz w:val="18"/>
                <w:szCs w:val="18"/>
              </w:rPr>
            </w:pPr>
            <w:r w:rsidRPr="00052A4B">
              <w:rPr>
                <w:rFonts w:asciiTheme="minorHAnsi" w:hAnsiTheme="minorHAnsi" w:cstheme="minorHAnsi"/>
                <w:sz w:val="18"/>
                <w:szCs w:val="18"/>
              </w:rPr>
              <w:t>state any areas of non</w:t>
            </w:r>
            <w:r w:rsidRPr="00052A4B">
              <w:rPr>
                <w:rFonts w:asciiTheme="minorHAnsi" w:hAnsiTheme="minorHAnsi" w:cstheme="minorHAnsi"/>
                <w:sz w:val="18"/>
                <w:szCs w:val="18"/>
              </w:rPr>
              <w:noBreakHyphen/>
              <w:t>compliance, including details on measures taken to lessen identified risks.</w:t>
            </w:r>
          </w:p>
          <w:p w14:paraId="142A4BC8" w14:textId="77777777" w:rsidR="00E20F08" w:rsidRPr="00052A4B" w:rsidRDefault="00E20F08" w:rsidP="00F12B68">
            <w:pPr>
              <w:widowControl w:val="0"/>
              <w:spacing w:after="0"/>
              <w:rPr>
                <w:rFonts w:asciiTheme="minorHAnsi" w:hAnsiTheme="minorHAnsi" w:cstheme="minorHAnsi"/>
                <w:sz w:val="18"/>
                <w:szCs w:val="18"/>
              </w:rPr>
            </w:pPr>
            <w:r w:rsidRPr="00052A4B">
              <w:rPr>
                <w:rFonts w:asciiTheme="minorHAnsi" w:hAnsiTheme="minorHAnsi" w:cstheme="minorHAnsi"/>
                <w:sz w:val="18"/>
                <w:szCs w:val="18"/>
              </w:rPr>
              <w:t xml:space="preserve">In addition to their portfolio Minister, entities </w:t>
            </w:r>
            <w:r w:rsidRPr="00052A4B">
              <w:rPr>
                <w:rFonts w:asciiTheme="minorHAnsi" w:hAnsiTheme="minorHAnsi" w:cstheme="minorHAnsi"/>
                <w:sz w:val="18"/>
                <w:szCs w:val="18"/>
              </w:rPr>
              <w:lastRenderedPageBreak/>
              <w:t>must send a copy of their annual report on compliance with the mandatory requirements to:</w:t>
            </w:r>
          </w:p>
          <w:p w14:paraId="142A4BC9" w14:textId="77777777" w:rsidR="00E20F08" w:rsidRPr="00052A4B" w:rsidRDefault="00E20F08" w:rsidP="00F12B68">
            <w:pPr>
              <w:pStyle w:val="ListParagraph"/>
              <w:widowControl w:val="0"/>
              <w:numPr>
                <w:ilvl w:val="0"/>
                <w:numId w:val="1"/>
              </w:numPr>
              <w:spacing w:after="0" w:line="240" w:lineRule="auto"/>
              <w:ind w:left="357" w:hanging="357"/>
              <w:contextualSpacing w:val="0"/>
              <w:rPr>
                <w:rFonts w:asciiTheme="minorHAnsi" w:hAnsiTheme="minorHAnsi" w:cstheme="minorHAnsi"/>
                <w:sz w:val="18"/>
                <w:szCs w:val="18"/>
              </w:rPr>
            </w:pPr>
            <w:r w:rsidRPr="00052A4B">
              <w:rPr>
                <w:rFonts w:asciiTheme="minorHAnsi" w:hAnsiTheme="minorHAnsi" w:cstheme="minorHAnsi"/>
                <w:sz w:val="18"/>
                <w:szCs w:val="18"/>
              </w:rPr>
              <w:t>the Secretary, Attorney-General’s Department, and</w:t>
            </w:r>
          </w:p>
          <w:p w14:paraId="142A4BCA" w14:textId="77777777" w:rsidR="00E20F08" w:rsidRPr="00052A4B" w:rsidRDefault="00E20F08" w:rsidP="00F12B68">
            <w:pPr>
              <w:pStyle w:val="ListParagraph"/>
              <w:widowControl w:val="0"/>
              <w:numPr>
                <w:ilvl w:val="0"/>
                <w:numId w:val="1"/>
              </w:numPr>
              <w:spacing w:after="0" w:line="240" w:lineRule="auto"/>
              <w:ind w:left="357" w:hanging="357"/>
              <w:contextualSpacing w:val="0"/>
              <w:rPr>
                <w:rFonts w:asciiTheme="minorHAnsi" w:hAnsiTheme="minorHAnsi" w:cstheme="minorHAnsi"/>
                <w:sz w:val="18"/>
                <w:szCs w:val="18"/>
              </w:rPr>
            </w:pPr>
            <w:r w:rsidRPr="00052A4B">
              <w:rPr>
                <w:rFonts w:asciiTheme="minorHAnsi" w:hAnsiTheme="minorHAnsi" w:cstheme="minorHAnsi"/>
                <w:sz w:val="18"/>
                <w:szCs w:val="18"/>
              </w:rPr>
              <w:t>the Auditor General.</w:t>
            </w:r>
          </w:p>
          <w:p w14:paraId="142A4BCB" w14:textId="77777777" w:rsidR="00E20F08" w:rsidRPr="00052A4B" w:rsidRDefault="00E20F08" w:rsidP="00F12B68">
            <w:pPr>
              <w:widowControl w:val="0"/>
              <w:spacing w:after="0"/>
              <w:rPr>
                <w:rFonts w:asciiTheme="minorHAnsi" w:hAnsiTheme="minorHAnsi" w:cstheme="minorHAnsi"/>
                <w:sz w:val="18"/>
                <w:szCs w:val="18"/>
              </w:rPr>
            </w:pPr>
            <w:r w:rsidRPr="00052A4B">
              <w:rPr>
                <w:rFonts w:asciiTheme="minorHAnsi" w:hAnsiTheme="minorHAnsi" w:cstheme="minorHAnsi"/>
                <w:sz w:val="18"/>
                <w:szCs w:val="18"/>
              </w:rPr>
              <w:t>Entities must also advise any non-compliance with mandatory requirements to:</w:t>
            </w:r>
          </w:p>
          <w:p w14:paraId="142A4BCC" w14:textId="77777777" w:rsidR="00E20F08" w:rsidRPr="00052A4B" w:rsidRDefault="00E20F08" w:rsidP="00F12B68">
            <w:pPr>
              <w:pStyle w:val="ListParagraph"/>
              <w:widowControl w:val="0"/>
              <w:numPr>
                <w:ilvl w:val="0"/>
                <w:numId w:val="2"/>
              </w:numPr>
              <w:spacing w:after="0" w:line="240" w:lineRule="auto"/>
              <w:ind w:left="357" w:hanging="357"/>
              <w:contextualSpacing w:val="0"/>
              <w:rPr>
                <w:rFonts w:asciiTheme="minorHAnsi" w:hAnsiTheme="minorHAnsi" w:cstheme="minorHAnsi"/>
                <w:sz w:val="18"/>
                <w:szCs w:val="18"/>
              </w:rPr>
            </w:pPr>
            <w:r w:rsidRPr="00052A4B">
              <w:rPr>
                <w:rFonts w:asciiTheme="minorHAnsi" w:hAnsiTheme="minorHAnsi" w:cstheme="minorHAnsi"/>
                <w:sz w:val="18"/>
                <w:szCs w:val="18"/>
              </w:rPr>
              <w:t xml:space="preserve">the Director, Australian Signals Directorate for matters relating to the </w:t>
            </w:r>
            <w:hyperlink r:id="rId21" w:history="1">
              <w:r w:rsidRPr="00052A4B">
                <w:rPr>
                  <w:rStyle w:val="Hyperlink"/>
                  <w:rFonts w:asciiTheme="minorHAnsi" w:hAnsiTheme="minorHAnsi" w:cstheme="minorHAnsi"/>
                  <w:sz w:val="18"/>
                  <w:szCs w:val="18"/>
                </w:rPr>
                <w:t>Australian Government Information Security Manual</w:t>
              </w:r>
            </w:hyperlink>
            <w:r w:rsidRPr="00052A4B">
              <w:rPr>
                <w:rFonts w:asciiTheme="minorHAnsi" w:hAnsiTheme="minorHAnsi" w:cstheme="minorHAnsi"/>
                <w:sz w:val="18"/>
                <w:szCs w:val="18"/>
              </w:rPr>
              <w:t xml:space="preserve"> (ISM).</w:t>
            </w:r>
          </w:p>
          <w:p w14:paraId="142A4BCD" w14:textId="77777777" w:rsidR="00E20F08" w:rsidRPr="00052A4B" w:rsidRDefault="00E20F08" w:rsidP="00F12B68">
            <w:pPr>
              <w:pStyle w:val="ListParagraph"/>
              <w:widowControl w:val="0"/>
              <w:numPr>
                <w:ilvl w:val="0"/>
                <w:numId w:val="2"/>
              </w:numPr>
              <w:spacing w:after="0" w:line="240" w:lineRule="auto"/>
              <w:ind w:left="357" w:hanging="357"/>
              <w:contextualSpacing w:val="0"/>
              <w:rPr>
                <w:rFonts w:asciiTheme="minorHAnsi" w:hAnsiTheme="minorHAnsi" w:cstheme="minorHAnsi"/>
                <w:sz w:val="18"/>
                <w:szCs w:val="18"/>
              </w:rPr>
            </w:pPr>
            <w:r w:rsidRPr="00052A4B">
              <w:rPr>
                <w:rFonts w:asciiTheme="minorHAnsi" w:hAnsiTheme="minorHAnsi" w:cstheme="minorHAnsi"/>
                <w:sz w:val="18"/>
                <w:szCs w:val="18"/>
              </w:rPr>
              <w:t>the Director-General, Australian Security Intelligence Organisation for matters relating to national security, and</w:t>
            </w:r>
          </w:p>
          <w:p w14:paraId="142A4BCE" w14:textId="77777777" w:rsidR="00E20F08" w:rsidRPr="00052A4B" w:rsidRDefault="00E20F08" w:rsidP="00F12B68">
            <w:pPr>
              <w:pStyle w:val="ListParagraph"/>
              <w:widowControl w:val="0"/>
              <w:numPr>
                <w:ilvl w:val="0"/>
                <w:numId w:val="2"/>
              </w:numPr>
              <w:spacing w:after="0" w:line="240" w:lineRule="auto"/>
              <w:ind w:left="357" w:hanging="357"/>
              <w:contextualSpacing w:val="0"/>
              <w:rPr>
                <w:rFonts w:asciiTheme="minorHAnsi" w:hAnsiTheme="minorHAnsi" w:cstheme="minorHAnsi"/>
                <w:sz w:val="18"/>
                <w:szCs w:val="18"/>
              </w:rPr>
            </w:pPr>
            <w:r w:rsidRPr="00052A4B">
              <w:rPr>
                <w:rFonts w:asciiTheme="minorHAnsi" w:hAnsiTheme="minorHAnsi" w:cstheme="minorHAnsi"/>
                <w:sz w:val="18"/>
                <w:szCs w:val="18"/>
              </w:rPr>
              <w:t>the heads of any entities whose people, information or assets may be affected by the non-compliance.</w:t>
            </w:r>
          </w:p>
        </w:tc>
        <w:tc>
          <w:tcPr>
            <w:tcW w:w="1194" w:type="dxa"/>
            <w:tcBorders>
              <w:top w:val="single" w:sz="4" w:space="0" w:color="000000"/>
              <w:left w:val="single" w:sz="4" w:space="0" w:color="000000"/>
              <w:bottom w:val="single" w:sz="4" w:space="0" w:color="000000"/>
              <w:right w:val="single" w:sz="4" w:space="0" w:color="000000"/>
            </w:tcBorders>
          </w:tcPr>
          <w:p w14:paraId="142A4BCF" w14:textId="77777777" w:rsidR="00E20F08" w:rsidRPr="003D0A6B" w:rsidRDefault="00BE0661"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lastRenderedPageBreak/>
              <w:t>93</w:t>
            </w:r>
          </w:p>
        </w:tc>
        <w:tc>
          <w:tcPr>
            <w:tcW w:w="956" w:type="dxa"/>
            <w:tcBorders>
              <w:top w:val="single" w:sz="4" w:space="0" w:color="000000"/>
              <w:left w:val="single" w:sz="4" w:space="0" w:color="000000"/>
              <w:bottom w:val="single" w:sz="4" w:space="0" w:color="000000"/>
              <w:right w:val="single" w:sz="4" w:space="0" w:color="000000"/>
            </w:tcBorders>
          </w:tcPr>
          <w:p w14:paraId="142A4BD0" w14:textId="77777777" w:rsidR="00E20F08" w:rsidRPr="003D0A6B" w:rsidRDefault="00D968E9"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100.0%</w:t>
            </w:r>
          </w:p>
        </w:tc>
        <w:tc>
          <w:tcPr>
            <w:tcW w:w="846" w:type="dxa"/>
            <w:gridSpan w:val="2"/>
            <w:tcBorders>
              <w:top w:val="single" w:sz="4" w:space="0" w:color="000000"/>
              <w:left w:val="single" w:sz="4" w:space="0" w:color="000000"/>
              <w:bottom w:val="single" w:sz="4" w:space="0" w:color="000000"/>
              <w:right w:val="single" w:sz="4" w:space="0" w:color="000000"/>
            </w:tcBorders>
          </w:tcPr>
          <w:p w14:paraId="142A4BD1" w14:textId="77777777" w:rsidR="00E20F08" w:rsidRPr="003D0A6B" w:rsidRDefault="00D968E9"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96.8%</w:t>
            </w:r>
          </w:p>
        </w:tc>
        <w:tc>
          <w:tcPr>
            <w:tcW w:w="1057" w:type="dxa"/>
            <w:tcBorders>
              <w:top w:val="single" w:sz="4" w:space="0" w:color="000000"/>
              <w:left w:val="single" w:sz="4" w:space="0" w:color="000000"/>
              <w:bottom w:val="single" w:sz="4" w:space="0" w:color="000000"/>
              <w:right w:val="single" w:sz="4" w:space="0" w:color="000000"/>
            </w:tcBorders>
          </w:tcPr>
          <w:p w14:paraId="142A4BD2" w14:textId="77777777" w:rsidR="00E20F08" w:rsidRPr="00F03FAB" w:rsidRDefault="00E20F08"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3.2</w:t>
            </w:r>
          </w:p>
        </w:tc>
        <w:tc>
          <w:tcPr>
            <w:tcW w:w="1695" w:type="dxa"/>
            <w:tcBorders>
              <w:top w:val="single" w:sz="4" w:space="0" w:color="000000"/>
              <w:left w:val="single" w:sz="4" w:space="0" w:color="000000"/>
              <w:bottom w:val="single" w:sz="4" w:space="0" w:color="000000"/>
              <w:right w:val="single" w:sz="4" w:space="0" w:color="000000"/>
            </w:tcBorders>
          </w:tcPr>
          <w:p w14:paraId="142A4BD3" w14:textId="77777777" w:rsidR="00E20F08" w:rsidRPr="00A02903" w:rsidRDefault="00E20F08" w:rsidP="007B11C9">
            <w:pPr>
              <w:spacing w:after="0" w:line="271" w:lineRule="auto"/>
              <w:rPr>
                <w:rFonts w:asciiTheme="minorHAnsi" w:hAnsiTheme="minorHAnsi" w:cstheme="minorHAnsi"/>
                <w:sz w:val="18"/>
                <w:szCs w:val="18"/>
              </w:rPr>
            </w:pPr>
            <w:r>
              <w:rPr>
                <w:rFonts w:asciiTheme="minorHAnsi" w:hAnsiTheme="minorHAnsi" w:cstheme="minorHAnsi"/>
                <w:sz w:val="18"/>
                <w:szCs w:val="18"/>
              </w:rPr>
              <w:t>N/A</w:t>
            </w:r>
          </w:p>
        </w:tc>
      </w:tr>
      <w:tr w:rsidR="00CE24F6" w:rsidRPr="00955B78" w14:paraId="142A4BDE" w14:textId="77777777" w:rsidTr="001003F6">
        <w:tc>
          <w:tcPr>
            <w:tcW w:w="1101" w:type="dxa"/>
            <w:tcBorders>
              <w:top w:val="single" w:sz="4" w:space="0" w:color="000000"/>
              <w:left w:val="single" w:sz="4" w:space="0" w:color="000000"/>
              <w:bottom w:val="single" w:sz="4" w:space="0" w:color="000000"/>
              <w:right w:val="single" w:sz="4" w:space="0" w:color="000000"/>
            </w:tcBorders>
            <w:shd w:val="clear" w:color="auto" w:fill="auto"/>
            <w:hideMark/>
          </w:tcPr>
          <w:p w14:paraId="142A4BD5" w14:textId="77777777" w:rsidR="00E20F08" w:rsidRPr="00052A4B" w:rsidRDefault="00E20F08" w:rsidP="008F57A2">
            <w:pPr>
              <w:spacing w:after="0"/>
              <w:jc w:val="center"/>
              <w:rPr>
                <w:rFonts w:asciiTheme="minorHAnsi" w:hAnsiTheme="minorHAnsi" w:cstheme="minorHAnsi"/>
                <w:sz w:val="18"/>
                <w:szCs w:val="18"/>
              </w:rPr>
            </w:pPr>
            <w:r w:rsidRPr="00052A4B">
              <w:rPr>
                <w:rFonts w:asciiTheme="minorHAnsi" w:hAnsiTheme="minorHAnsi" w:cstheme="minorHAnsi"/>
                <w:sz w:val="18"/>
                <w:szCs w:val="18"/>
                <w:u w:val="single"/>
              </w:rPr>
              <w:t>GOV-8</w:t>
            </w:r>
          </w:p>
        </w:tc>
        <w:tc>
          <w:tcPr>
            <w:tcW w:w="3685" w:type="dxa"/>
            <w:tcBorders>
              <w:top w:val="single" w:sz="4" w:space="0" w:color="000000"/>
              <w:left w:val="single" w:sz="4" w:space="0" w:color="000000"/>
              <w:bottom w:val="single" w:sz="4" w:space="0" w:color="000000"/>
              <w:right w:val="single" w:sz="4" w:space="0" w:color="000000"/>
            </w:tcBorders>
            <w:shd w:val="clear" w:color="auto" w:fill="auto"/>
            <w:hideMark/>
          </w:tcPr>
          <w:p w14:paraId="142A4BD6" w14:textId="77777777" w:rsidR="00E20F08" w:rsidRPr="00052A4B" w:rsidRDefault="00E20F08" w:rsidP="00F12B68">
            <w:pPr>
              <w:widowControl w:val="0"/>
              <w:spacing w:after="0"/>
              <w:rPr>
                <w:rFonts w:asciiTheme="minorHAnsi" w:hAnsiTheme="minorHAnsi" w:cstheme="minorHAnsi"/>
                <w:sz w:val="18"/>
                <w:szCs w:val="18"/>
              </w:rPr>
            </w:pPr>
            <w:r w:rsidRPr="00052A4B">
              <w:rPr>
                <w:rFonts w:asciiTheme="minorHAnsi" w:hAnsiTheme="minorHAnsi" w:cstheme="minorHAnsi"/>
                <w:sz w:val="18"/>
                <w:szCs w:val="18"/>
              </w:rPr>
              <w:t>Entities must ensure investigators are appropriately trained and have procedures in place for reporting and investigating security incidents and taking corrective action, in accordance with the provisions of the:</w:t>
            </w:r>
          </w:p>
          <w:p w14:paraId="142A4BD7" w14:textId="77777777" w:rsidR="00E20F08" w:rsidRPr="00052A4B" w:rsidRDefault="00E20F08" w:rsidP="00F12B68">
            <w:pPr>
              <w:pStyle w:val="ListParagraph"/>
              <w:widowControl w:val="0"/>
              <w:numPr>
                <w:ilvl w:val="0"/>
                <w:numId w:val="7"/>
              </w:numPr>
              <w:spacing w:after="0" w:line="240" w:lineRule="auto"/>
              <w:ind w:left="357" w:hanging="357"/>
              <w:contextualSpacing w:val="0"/>
              <w:rPr>
                <w:rFonts w:asciiTheme="minorHAnsi" w:hAnsiTheme="minorHAnsi" w:cstheme="minorHAnsi"/>
                <w:sz w:val="18"/>
                <w:szCs w:val="18"/>
              </w:rPr>
            </w:pPr>
            <w:r w:rsidRPr="00052A4B">
              <w:rPr>
                <w:rFonts w:asciiTheme="minorHAnsi" w:hAnsiTheme="minorHAnsi" w:cstheme="minorHAnsi"/>
                <w:i/>
                <w:iCs/>
                <w:sz w:val="18"/>
                <w:szCs w:val="18"/>
              </w:rPr>
              <w:t xml:space="preserve">Australian Government protective security governance guidelines—Reporting incidents and conducting security investigations, </w:t>
            </w:r>
            <w:r w:rsidRPr="00052A4B">
              <w:rPr>
                <w:rFonts w:asciiTheme="minorHAnsi" w:hAnsiTheme="minorHAnsi" w:cstheme="minorHAnsi"/>
                <w:sz w:val="18"/>
                <w:szCs w:val="18"/>
              </w:rPr>
              <w:t>and/or</w:t>
            </w:r>
          </w:p>
          <w:p w14:paraId="142A4BD8" w14:textId="77777777" w:rsidR="00E20F08" w:rsidRPr="00052A4B" w:rsidRDefault="00E20F08" w:rsidP="00F12B68">
            <w:pPr>
              <w:pStyle w:val="ListParagraph"/>
              <w:numPr>
                <w:ilvl w:val="0"/>
                <w:numId w:val="7"/>
              </w:numPr>
              <w:spacing w:after="0" w:line="240" w:lineRule="auto"/>
              <w:ind w:left="357" w:hanging="357"/>
              <w:contextualSpacing w:val="0"/>
              <w:rPr>
                <w:rFonts w:asciiTheme="minorHAnsi" w:hAnsiTheme="minorHAnsi" w:cstheme="minorHAnsi"/>
                <w:sz w:val="18"/>
                <w:szCs w:val="18"/>
              </w:rPr>
            </w:pPr>
            <w:r w:rsidRPr="00052A4B">
              <w:rPr>
                <w:rFonts w:asciiTheme="minorHAnsi" w:hAnsiTheme="minorHAnsi" w:cstheme="minorHAnsi"/>
                <w:i/>
                <w:sz w:val="18"/>
                <w:szCs w:val="18"/>
              </w:rPr>
              <w:t>Australian Government Investigations Standards</w:t>
            </w:r>
            <w:r w:rsidRPr="00052A4B">
              <w:rPr>
                <w:rFonts w:asciiTheme="minorHAnsi" w:hAnsiTheme="minorHAnsi" w:cstheme="minorHAnsi"/>
                <w:sz w:val="18"/>
                <w:szCs w:val="18"/>
              </w:rPr>
              <w:t>.</w:t>
            </w:r>
          </w:p>
        </w:tc>
        <w:tc>
          <w:tcPr>
            <w:tcW w:w="1194" w:type="dxa"/>
            <w:tcBorders>
              <w:top w:val="single" w:sz="4" w:space="0" w:color="000000"/>
              <w:left w:val="single" w:sz="4" w:space="0" w:color="000000"/>
              <w:bottom w:val="single" w:sz="4" w:space="0" w:color="000000"/>
              <w:right w:val="single" w:sz="4" w:space="0" w:color="000000"/>
            </w:tcBorders>
          </w:tcPr>
          <w:p w14:paraId="142A4BD9" w14:textId="77777777" w:rsidR="00E20F08" w:rsidRPr="003D0A6B" w:rsidRDefault="00BE0661"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87</w:t>
            </w:r>
          </w:p>
        </w:tc>
        <w:tc>
          <w:tcPr>
            <w:tcW w:w="956" w:type="dxa"/>
            <w:tcBorders>
              <w:top w:val="single" w:sz="4" w:space="0" w:color="000000"/>
              <w:left w:val="single" w:sz="4" w:space="0" w:color="000000"/>
              <w:bottom w:val="single" w:sz="4" w:space="0" w:color="000000"/>
              <w:right w:val="single" w:sz="4" w:space="0" w:color="000000"/>
            </w:tcBorders>
          </w:tcPr>
          <w:p w14:paraId="142A4BDA" w14:textId="77777777" w:rsidR="00E20F08" w:rsidRPr="003D0A6B" w:rsidRDefault="00D968E9"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93.5%</w:t>
            </w:r>
          </w:p>
        </w:tc>
        <w:tc>
          <w:tcPr>
            <w:tcW w:w="846" w:type="dxa"/>
            <w:gridSpan w:val="2"/>
            <w:tcBorders>
              <w:top w:val="single" w:sz="4" w:space="0" w:color="000000"/>
              <w:left w:val="single" w:sz="4" w:space="0" w:color="000000"/>
              <w:bottom w:val="single" w:sz="4" w:space="0" w:color="000000"/>
              <w:right w:val="single" w:sz="4" w:space="0" w:color="000000"/>
            </w:tcBorders>
          </w:tcPr>
          <w:p w14:paraId="142A4BDB" w14:textId="77777777" w:rsidR="00E20F08" w:rsidRPr="003D0A6B" w:rsidRDefault="00D968E9"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94.6%</w:t>
            </w:r>
          </w:p>
        </w:tc>
        <w:tc>
          <w:tcPr>
            <w:tcW w:w="1057" w:type="dxa"/>
            <w:tcBorders>
              <w:top w:val="single" w:sz="4" w:space="0" w:color="000000"/>
              <w:left w:val="single" w:sz="4" w:space="0" w:color="000000"/>
              <w:bottom w:val="single" w:sz="4" w:space="0" w:color="000000"/>
              <w:right w:val="single" w:sz="4" w:space="0" w:color="000000"/>
            </w:tcBorders>
          </w:tcPr>
          <w:p w14:paraId="142A4BDC" w14:textId="77777777" w:rsidR="00E20F08" w:rsidRPr="00F03FAB" w:rsidRDefault="00E20F08" w:rsidP="008F57A2">
            <w:pPr>
              <w:spacing w:after="0" w:line="271" w:lineRule="auto"/>
              <w:jc w:val="center"/>
              <w:rPr>
                <w:rFonts w:asciiTheme="minorHAnsi" w:hAnsiTheme="minorHAnsi" w:cstheme="minorHAnsi"/>
                <w:sz w:val="18"/>
                <w:szCs w:val="18"/>
              </w:rPr>
            </w:pPr>
            <w:r w:rsidRPr="00F03FAB">
              <w:rPr>
                <w:rFonts w:asciiTheme="minorHAnsi" w:hAnsiTheme="minorHAnsi" w:cstheme="minorHAnsi"/>
                <w:sz w:val="18"/>
                <w:szCs w:val="18"/>
              </w:rPr>
              <w:t>-1.1</w:t>
            </w:r>
          </w:p>
        </w:tc>
        <w:tc>
          <w:tcPr>
            <w:tcW w:w="1695" w:type="dxa"/>
            <w:tcBorders>
              <w:top w:val="single" w:sz="4" w:space="0" w:color="000000"/>
              <w:left w:val="single" w:sz="4" w:space="0" w:color="000000"/>
              <w:bottom w:val="single" w:sz="4" w:space="0" w:color="000000"/>
              <w:right w:val="single" w:sz="4" w:space="0" w:color="000000"/>
            </w:tcBorders>
          </w:tcPr>
          <w:p w14:paraId="142A4BDD" w14:textId="77777777" w:rsidR="00E20F08" w:rsidRPr="00A02903" w:rsidRDefault="00E20F08" w:rsidP="007B11C9">
            <w:pPr>
              <w:spacing w:after="0" w:line="271" w:lineRule="auto"/>
              <w:rPr>
                <w:rFonts w:asciiTheme="minorHAnsi" w:hAnsiTheme="minorHAnsi" w:cstheme="minorHAnsi"/>
                <w:sz w:val="18"/>
                <w:szCs w:val="18"/>
              </w:rPr>
            </w:pPr>
            <w:r>
              <w:rPr>
                <w:rFonts w:asciiTheme="minorHAnsi" w:hAnsiTheme="minorHAnsi" w:cstheme="minorHAnsi"/>
                <w:sz w:val="18"/>
                <w:szCs w:val="18"/>
              </w:rPr>
              <w:t>N/A</w:t>
            </w:r>
          </w:p>
        </w:tc>
      </w:tr>
      <w:tr w:rsidR="00CE24F6" w:rsidRPr="00955B78" w14:paraId="142A4BE6" w14:textId="77777777" w:rsidTr="001003F6">
        <w:tc>
          <w:tcPr>
            <w:tcW w:w="1101" w:type="dxa"/>
            <w:tcBorders>
              <w:top w:val="single" w:sz="4" w:space="0" w:color="000000"/>
              <w:left w:val="single" w:sz="4" w:space="0" w:color="000000"/>
              <w:bottom w:val="single" w:sz="4" w:space="0" w:color="000000"/>
              <w:right w:val="single" w:sz="4" w:space="0" w:color="000000"/>
            </w:tcBorders>
            <w:shd w:val="clear" w:color="auto" w:fill="auto"/>
            <w:hideMark/>
          </w:tcPr>
          <w:p w14:paraId="142A4BDF" w14:textId="77777777" w:rsidR="00E20F08" w:rsidRPr="00052A4B" w:rsidRDefault="00E20F08" w:rsidP="008F57A2">
            <w:pPr>
              <w:spacing w:after="0"/>
              <w:jc w:val="center"/>
              <w:rPr>
                <w:rFonts w:asciiTheme="minorHAnsi" w:hAnsiTheme="minorHAnsi" w:cstheme="minorHAnsi"/>
                <w:sz w:val="18"/>
                <w:szCs w:val="18"/>
              </w:rPr>
            </w:pPr>
            <w:r w:rsidRPr="00052A4B">
              <w:rPr>
                <w:rFonts w:asciiTheme="minorHAnsi" w:hAnsiTheme="minorHAnsi" w:cstheme="minorHAnsi"/>
                <w:sz w:val="18"/>
                <w:szCs w:val="18"/>
                <w:u w:val="single"/>
              </w:rPr>
              <w:t>GOV- 9</w:t>
            </w:r>
          </w:p>
        </w:tc>
        <w:tc>
          <w:tcPr>
            <w:tcW w:w="3685" w:type="dxa"/>
            <w:tcBorders>
              <w:top w:val="single" w:sz="4" w:space="0" w:color="000000"/>
              <w:left w:val="single" w:sz="4" w:space="0" w:color="000000"/>
              <w:bottom w:val="single" w:sz="4" w:space="0" w:color="000000"/>
              <w:right w:val="single" w:sz="4" w:space="0" w:color="000000"/>
            </w:tcBorders>
            <w:shd w:val="clear" w:color="auto" w:fill="auto"/>
            <w:hideMark/>
          </w:tcPr>
          <w:p w14:paraId="142A4BE0" w14:textId="77777777" w:rsidR="00E20F08" w:rsidRPr="00052A4B" w:rsidRDefault="00E20F08" w:rsidP="00F12B68">
            <w:pPr>
              <w:spacing w:after="0" w:line="271" w:lineRule="auto"/>
              <w:rPr>
                <w:rFonts w:asciiTheme="minorHAnsi" w:hAnsiTheme="minorHAnsi" w:cstheme="minorHAnsi"/>
                <w:sz w:val="18"/>
                <w:szCs w:val="18"/>
              </w:rPr>
            </w:pPr>
            <w:r w:rsidRPr="00052A4B">
              <w:rPr>
                <w:rFonts w:asciiTheme="minorHAnsi" w:hAnsiTheme="minorHAnsi" w:cstheme="minorHAnsi"/>
                <w:sz w:val="18"/>
                <w:szCs w:val="18"/>
              </w:rPr>
              <w:t xml:space="preserve">Entities must give all employees, including contractors, guidance on Sections 70 and 79 of the </w:t>
            </w:r>
            <w:r w:rsidRPr="00052A4B">
              <w:rPr>
                <w:rFonts w:asciiTheme="minorHAnsi" w:hAnsiTheme="minorHAnsi" w:cstheme="minorHAnsi"/>
                <w:i/>
                <w:sz w:val="18"/>
                <w:szCs w:val="18"/>
              </w:rPr>
              <w:t>Crimes Act 1914</w:t>
            </w:r>
            <w:r w:rsidRPr="00052A4B">
              <w:rPr>
                <w:rFonts w:asciiTheme="minorHAnsi" w:hAnsiTheme="minorHAnsi" w:cstheme="minorHAnsi"/>
                <w:sz w:val="18"/>
                <w:szCs w:val="18"/>
              </w:rPr>
              <w:t xml:space="preserve">, section 91 of the </w:t>
            </w:r>
            <w:r w:rsidRPr="00052A4B">
              <w:rPr>
                <w:rFonts w:asciiTheme="minorHAnsi" w:hAnsiTheme="minorHAnsi" w:cstheme="minorHAnsi"/>
                <w:i/>
                <w:iCs/>
                <w:sz w:val="18"/>
                <w:szCs w:val="18"/>
              </w:rPr>
              <w:t>Criminal Code</w:t>
            </w:r>
            <w:r w:rsidRPr="00052A4B">
              <w:rPr>
                <w:rFonts w:asciiTheme="minorHAnsi" w:hAnsiTheme="minorHAnsi" w:cstheme="minorHAnsi"/>
                <w:sz w:val="18"/>
                <w:szCs w:val="18"/>
              </w:rPr>
              <w:t xml:space="preserve"> </w:t>
            </w:r>
            <w:r w:rsidRPr="00052A4B">
              <w:rPr>
                <w:rFonts w:asciiTheme="minorHAnsi" w:hAnsiTheme="minorHAnsi" w:cstheme="minorHAnsi"/>
                <w:i/>
                <w:sz w:val="18"/>
                <w:szCs w:val="18"/>
              </w:rPr>
              <w:t>Act</w:t>
            </w:r>
            <w:r w:rsidRPr="00052A4B">
              <w:rPr>
                <w:rFonts w:asciiTheme="minorHAnsi" w:hAnsiTheme="minorHAnsi" w:cstheme="minorHAnsi"/>
                <w:sz w:val="18"/>
                <w:szCs w:val="18"/>
              </w:rPr>
              <w:t xml:space="preserve"> </w:t>
            </w:r>
            <w:r w:rsidRPr="00052A4B">
              <w:rPr>
                <w:rFonts w:asciiTheme="minorHAnsi" w:hAnsiTheme="minorHAnsi" w:cstheme="minorHAnsi"/>
                <w:i/>
                <w:iCs/>
                <w:sz w:val="18"/>
                <w:szCs w:val="18"/>
              </w:rPr>
              <w:t>1995</w:t>
            </w:r>
            <w:r w:rsidRPr="00052A4B">
              <w:rPr>
                <w:rFonts w:asciiTheme="minorHAnsi" w:hAnsiTheme="minorHAnsi" w:cstheme="minorHAnsi"/>
                <w:sz w:val="18"/>
                <w:szCs w:val="18"/>
              </w:rPr>
              <w:t xml:space="preserve">, the </w:t>
            </w:r>
            <w:r w:rsidRPr="00052A4B">
              <w:rPr>
                <w:rFonts w:asciiTheme="minorHAnsi" w:hAnsiTheme="minorHAnsi" w:cstheme="minorHAnsi"/>
                <w:i/>
                <w:iCs/>
                <w:sz w:val="18"/>
                <w:szCs w:val="18"/>
              </w:rPr>
              <w:t xml:space="preserve">Freedom of Information Act 1982 </w:t>
            </w:r>
            <w:r w:rsidRPr="00052A4B">
              <w:rPr>
                <w:rFonts w:asciiTheme="minorHAnsi" w:hAnsiTheme="minorHAnsi" w:cstheme="minorHAnsi"/>
                <w:sz w:val="18"/>
                <w:szCs w:val="18"/>
              </w:rPr>
              <w:t xml:space="preserve">and the </w:t>
            </w:r>
            <w:r w:rsidRPr="00052A4B">
              <w:rPr>
                <w:rFonts w:asciiTheme="minorHAnsi" w:hAnsiTheme="minorHAnsi" w:cstheme="minorHAnsi"/>
                <w:iCs/>
                <w:sz w:val="18"/>
                <w:szCs w:val="18"/>
              </w:rPr>
              <w:t>Australian Privacy Principles</w:t>
            </w:r>
            <w:r w:rsidRPr="00052A4B">
              <w:rPr>
                <w:rFonts w:asciiTheme="minorHAnsi" w:hAnsiTheme="minorHAnsi" w:cstheme="minorHAnsi"/>
                <w:i/>
                <w:iCs/>
                <w:sz w:val="18"/>
                <w:szCs w:val="18"/>
              </w:rPr>
              <w:t xml:space="preserve"> </w:t>
            </w:r>
            <w:r w:rsidRPr="00052A4B">
              <w:rPr>
                <w:rFonts w:asciiTheme="minorHAnsi" w:hAnsiTheme="minorHAnsi" w:cstheme="minorHAnsi"/>
                <w:sz w:val="18"/>
                <w:szCs w:val="18"/>
              </w:rPr>
              <w:t xml:space="preserve">contained in the </w:t>
            </w:r>
            <w:r w:rsidRPr="00052A4B">
              <w:rPr>
                <w:rFonts w:asciiTheme="minorHAnsi" w:hAnsiTheme="minorHAnsi" w:cstheme="minorHAnsi"/>
                <w:i/>
                <w:iCs/>
                <w:sz w:val="18"/>
                <w:szCs w:val="18"/>
              </w:rPr>
              <w:t>Privacy Act 1988,</w:t>
            </w:r>
            <w:r w:rsidRPr="00052A4B">
              <w:rPr>
                <w:rFonts w:asciiTheme="minorHAnsi" w:hAnsiTheme="minorHAnsi" w:cstheme="minorHAnsi"/>
                <w:sz w:val="18"/>
                <w:szCs w:val="18"/>
              </w:rPr>
              <w:t xml:space="preserve"> including how this legislation relates to their role.</w:t>
            </w:r>
          </w:p>
        </w:tc>
        <w:tc>
          <w:tcPr>
            <w:tcW w:w="1194" w:type="dxa"/>
            <w:tcBorders>
              <w:top w:val="single" w:sz="4" w:space="0" w:color="000000"/>
              <w:left w:val="single" w:sz="4" w:space="0" w:color="000000"/>
              <w:bottom w:val="single" w:sz="4" w:space="0" w:color="000000"/>
              <w:right w:val="single" w:sz="4" w:space="0" w:color="000000"/>
            </w:tcBorders>
          </w:tcPr>
          <w:p w14:paraId="142A4BE1" w14:textId="77777777" w:rsidR="00E20F08" w:rsidRPr="003D0A6B" w:rsidRDefault="00BE0661"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90</w:t>
            </w:r>
          </w:p>
        </w:tc>
        <w:tc>
          <w:tcPr>
            <w:tcW w:w="956" w:type="dxa"/>
            <w:tcBorders>
              <w:top w:val="single" w:sz="4" w:space="0" w:color="000000"/>
              <w:left w:val="single" w:sz="4" w:space="0" w:color="000000"/>
              <w:bottom w:val="single" w:sz="4" w:space="0" w:color="000000"/>
              <w:right w:val="single" w:sz="4" w:space="0" w:color="000000"/>
            </w:tcBorders>
          </w:tcPr>
          <w:p w14:paraId="142A4BE2" w14:textId="77777777" w:rsidR="00E20F08" w:rsidRPr="003D0A6B" w:rsidRDefault="00D968E9"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96.8%</w:t>
            </w:r>
          </w:p>
        </w:tc>
        <w:tc>
          <w:tcPr>
            <w:tcW w:w="846" w:type="dxa"/>
            <w:gridSpan w:val="2"/>
            <w:tcBorders>
              <w:top w:val="single" w:sz="4" w:space="0" w:color="000000"/>
              <w:left w:val="single" w:sz="4" w:space="0" w:color="000000"/>
              <w:bottom w:val="single" w:sz="4" w:space="0" w:color="000000"/>
              <w:right w:val="single" w:sz="4" w:space="0" w:color="000000"/>
            </w:tcBorders>
          </w:tcPr>
          <w:p w14:paraId="142A4BE3" w14:textId="77777777" w:rsidR="00E20F08" w:rsidRPr="003D0A6B" w:rsidRDefault="00D968E9"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94.6%</w:t>
            </w:r>
          </w:p>
        </w:tc>
        <w:tc>
          <w:tcPr>
            <w:tcW w:w="1057" w:type="dxa"/>
            <w:tcBorders>
              <w:top w:val="single" w:sz="4" w:space="0" w:color="000000"/>
              <w:left w:val="single" w:sz="4" w:space="0" w:color="000000"/>
              <w:bottom w:val="single" w:sz="4" w:space="0" w:color="000000"/>
              <w:right w:val="single" w:sz="4" w:space="0" w:color="000000"/>
            </w:tcBorders>
          </w:tcPr>
          <w:p w14:paraId="142A4BE4" w14:textId="77777777" w:rsidR="00E20F08" w:rsidRPr="00F03FAB" w:rsidRDefault="00E20F08"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2</w:t>
            </w:r>
            <w:r w:rsidRPr="00F03FAB">
              <w:rPr>
                <w:rFonts w:asciiTheme="minorHAnsi" w:hAnsiTheme="minorHAnsi" w:cstheme="minorHAnsi"/>
                <w:sz w:val="18"/>
                <w:szCs w:val="18"/>
              </w:rPr>
              <w:t>.2</w:t>
            </w:r>
          </w:p>
        </w:tc>
        <w:tc>
          <w:tcPr>
            <w:tcW w:w="1695" w:type="dxa"/>
            <w:tcBorders>
              <w:top w:val="single" w:sz="4" w:space="0" w:color="000000"/>
              <w:left w:val="single" w:sz="4" w:space="0" w:color="000000"/>
              <w:bottom w:val="single" w:sz="4" w:space="0" w:color="000000"/>
              <w:right w:val="single" w:sz="4" w:space="0" w:color="000000"/>
            </w:tcBorders>
          </w:tcPr>
          <w:p w14:paraId="142A4BE5" w14:textId="77777777" w:rsidR="00E20F08" w:rsidRPr="00A02903" w:rsidRDefault="00E20F08" w:rsidP="00FA6CE7">
            <w:pPr>
              <w:spacing w:after="0" w:line="271" w:lineRule="auto"/>
              <w:rPr>
                <w:rFonts w:asciiTheme="minorHAnsi" w:hAnsiTheme="minorHAnsi" w:cstheme="minorHAnsi"/>
                <w:sz w:val="18"/>
                <w:szCs w:val="18"/>
              </w:rPr>
            </w:pPr>
            <w:r>
              <w:rPr>
                <w:rFonts w:asciiTheme="minorHAnsi" w:hAnsiTheme="minorHAnsi" w:cstheme="minorHAnsi"/>
                <w:sz w:val="18"/>
                <w:szCs w:val="18"/>
              </w:rPr>
              <w:t>N/A</w:t>
            </w:r>
          </w:p>
        </w:tc>
      </w:tr>
      <w:tr w:rsidR="00CE24F6" w:rsidRPr="00955B78" w14:paraId="142A4BEE" w14:textId="77777777" w:rsidTr="001003F6">
        <w:tc>
          <w:tcPr>
            <w:tcW w:w="1101" w:type="dxa"/>
            <w:tcBorders>
              <w:top w:val="single" w:sz="4" w:space="0" w:color="000000"/>
              <w:left w:val="single" w:sz="4" w:space="0" w:color="000000"/>
              <w:bottom w:val="single" w:sz="4" w:space="0" w:color="000000"/>
              <w:right w:val="single" w:sz="4" w:space="0" w:color="000000"/>
            </w:tcBorders>
            <w:shd w:val="clear" w:color="auto" w:fill="auto"/>
            <w:hideMark/>
          </w:tcPr>
          <w:p w14:paraId="142A4BE7" w14:textId="77777777" w:rsidR="00E20F08" w:rsidRPr="00052A4B" w:rsidRDefault="00E20F08" w:rsidP="008F57A2">
            <w:pPr>
              <w:spacing w:after="0"/>
              <w:jc w:val="center"/>
              <w:rPr>
                <w:rFonts w:asciiTheme="minorHAnsi" w:hAnsiTheme="minorHAnsi" w:cstheme="minorHAnsi"/>
                <w:sz w:val="18"/>
                <w:szCs w:val="18"/>
                <w:u w:val="single"/>
              </w:rPr>
            </w:pPr>
            <w:r w:rsidRPr="00052A4B">
              <w:rPr>
                <w:rFonts w:asciiTheme="minorHAnsi" w:hAnsiTheme="minorHAnsi" w:cstheme="minorHAnsi"/>
                <w:sz w:val="18"/>
                <w:szCs w:val="18"/>
                <w:u w:val="single"/>
              </w:rPr>
              <w:t>GOV-10</w:t>
            </w:r>
          </w:p>
        </w:tc>
        <w:tc>
          <w:tcPr>
            <w:tcW w:w="3685" w:type="dxa"/>
            <w:tcBorders>
              <w:top w:val="single" w:sz="4" w:space="0" w:color="000000"/>
              <w:left w:val="single" w:sz="4" w:space="0" w:color="000000"/>
              <w:bottom w:val="single" w:sz="4" w:space="0" w:color="000000"/>
              <w:right w:val="single" w:sz="4" w:space="0" w:color="000000"/>
            </w:tcBorders>
            <w:shd w:val="clear" w:color="auto" w:fill="auto"/>
            <w:hideMark/>
          </w:tcPr>
          <w:p w14:paraId="142A4BE8" w14:textId="77777777" w:rsidR="00E20F08" w:rsidRPr="00052A4B" w:rsidRDefault="00E20F08" w:rsidP="00F12B68">
            <w:pPr>
              <w:spacing w:after="0"/>
              <w:rPr>
                <w:rFonts w:asciiTheme="minorHAnsi" w:hAnsiTheme="minorHAnsi" w:cstheme="minorHAnsi"/>
                <w:sz w:val="18"/>
                <w:szCs w:val="18"/>
              </w:rPr>
            </w:pPr>
            <w:r w:rsidRPr="00052A4B">
              <w:rPr>
                <w:rFonts w:asciiTheme="minorHAnsi" w:hAnsiTheme="minorHAnsi" w:cstheme="minorHAnsi"/>
                <w:sz w:val="18"/>
                <w:szCs w:val="18"/>
              </w:rPr>
              <w:t>Entities must adhere to any provisions concerning the security of people, information and assets contained in multilateral or bilateral agreements and arrangements to which Australia is a party.</w:t>
            </w:r>
          </w:p>
        </w:tc>
        <w:tc>
          <w:tcPr>
            <w:tcW w:w="1194" w:type="dxa"/>
            <w:tcBorders>
              <w:top w:val="single" w:sz="4" w:space="0" w:color="000000"/>
              <w:left w:val="single" w:sz="4" w:space="0" w:color="000000"/>
              <w:bottom w:val="single" w:sz="4" w:space="0" w:color="000000"/>
              <w:right w:val="single" w:sz="4" w:space="0" w:color="000000"/>
            </w:tcBorders>
          </w:tcPr>
          <w:p w14:paraId="142A4BE9" w14:textId="77777777" w:rsidR="00E20F08" w:rsidRPr="003D0A6B" w:rsidRDefault="00BE0661"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80</w:t>
            </w:r>
          </w:p>
        </w:tc>
        <w:tc>
          <w:tcPr>
            <w:tcW w:w="956" w:type="dxa"/>
            <w:tcBorders>
              <w:top w:val="single" w:sz="4" w:space="0" w:color="000000"/>
              <w:left w:val="single" w:sz="4" w:space="0" w:color="000000"/>
              <w:bottom w:val="single" w:sz="4" w:space="0" w:color="000000"/>
              <w:right w:val="single" w:sz="4" w:space="0" w:color="000000"/>
            </w:tcBorders>
          </w:tcPr>
          <w:p w14:paraId="142A4BEA" w14:textId="77777777" w:rsidR="00E20F08" w:rsidRPr="003D0A6B" w:rsidRDefault="00D968E9"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86.0%</w:t>
            </w:r>
          </w:p>
        </w:tc>
        <w:tc>
          <w:tcPr>
            <w:tcW w:w="846" w:type="dxa"/>
            <w:gridSpan w:val="2"/>
            <w:tcBorders>
              <w:top w:val="single" w:sz="4" w:space="0" w:color="000000"/>
              <w:left w:val="single" w:sz="4" w:space="0" w:color="000000"/>
              <w:bottom w:val="single" w:sz="4" w:space="0" w:color="000000"/>
              <w:right w:val="single" w:sz="4" w:space="0" w:color="000000"/>
            </w:tcBorders>
          </w:tcPr>
          <w:p w14:paraId="142A4BEB" w14:textId="77777777" w:rsidR="00E20F08" w:rsidRPr="003D0A6B" w:rsidRDefault="00D968E9"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89.2%</w:t>
            </w:r>
          </w:p>
        </w:tc>
        <w:tc>
          <w:tcPr>
            <w:tcW w:w="1057" w:type="dxa"/>
            <w:tcBorders>
              <w:top w:val="single" w:sz="4" w:space="0" w:color="000000"/>
              <w:left w:val="single" w:sz="4" w:space="0" w:color="000000"/>
              <w:bottom w:val="single" w:sz="4" w:space="0" w:color="000000"/>
              <w:right w:val="single" w:sz="4" w:space="0" w:color="000000"/>
            </w:tcBorders>
          </w:tcPr>
          <w:p w14:paraId="142A4BEC" w14:textId="77777777" w:rsidR="00E20F08" w:rsidRPr="00F03FAB" w:rsidRDefault="00E20F08"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-3.2</w:t>
            </w:r>
          </w:p>
        </w:tc>
        <w:tc>
          <w:tcPr>
            <w:tcW w:w="1695" w:type="dxa"/>
            <w:tcBorders>
              <w:top w:val="single" w:sz="4" w:space="0" w:color="000000"/>
              <w:left w:val="single" w:sz="4" w:space="0" w:color="000000"/>
              <w:bottom w:val="single" w:sz="4" w:space="0" w:color="000000"/>
              <w:right w:val="single" w:sz="4" w:space="0" w:color="000000"/>
            </w:tcBorders>
          </w:tcPr>
          <w:p w14:paraId="142A4BED" w14:textId="77777777" w:rsidR="00E20F08" w:rsidRPr="00A02903" w:rsidRDefault="00E20F08" w:rsidP="007B11C9">
            <w:pPr>
              <w:spacing w:after="0" w:line="271" w:lineRule="auto"/>
              <w:rPr>
                <w:rFonts w:asciiTheme="minorHAnsi" w:hAnsiTheme="minorHAnsi" w:cstheme="minorHAnsi"/>
                <w:sz w:val="18"/>
                <w:szCs w:val="18"/>
              </w:rPr>
            </w:pPr>
            <w:r>
              <w:rPr>
                <w:rFonts w:asciiTheme="minorHAnsi" w:hAnsiTheme="minorHAnsi" w:cstheme="minorHAnsi"/>
                <w:sz w:val="18"/>
                <w:szCs w:val="18"/>
              </w:rPr>
              <w:t>N/A</w:t>
            </w:r>
          </w:p>
        </w:tc>
      </w:tr>
      <w:tr w:rsidR="00CE24F6" w:rsidRPr="00955B78" w14:paraId="142A4BF6" w14:textId="77777777" w:rsidTr="001003F6">
        <w:tc>
          <w:tcPr>
            <w:tcW w:w="1101" w:type="dxa"/>
            <w:tcBorders>
              <w:top w:val="single" w:sz="4" w:space="0" w:color="000000"/>
              <w:left w:val="single" w:sz="4" w:space="0" w:color="000000"/>
              <w:bottom w:val="single" w:sz="4" w:space="0" w:color="000000"/>
              <w:right w:val="single" w:sz="4" w:space="0" w:color="000000"/>
            </w:tcBorders>
            <w:shd w:val="clear" w:color="auto" w:fill="auto"/>
            <w:hideMark/>
          </w:tcPr>
          <w:p w14:paraId="142A4BEF" w14:textId="77777777" w:rsidR="00E20F08" w:rsidRPr="007B11C9" w:rsidRDefault="00E20F08" w:rsidP="008F57A2">
            <w:pPr>
              <w:spacing w:after="0"/>
              <w:jc w:val="center"/>
              <w:rPr>
                <w:rFonts w:asciiTheme="minorHAnsi" w:hAnsiTheme="minorHAnsi" w:cstheme="minorHAnsi"/>
                <w:sz w:val="18"/>
                <w:szCs w:val="18"/>
              </w:rPr>
            </w:pPr>
            <w:r w:rsidRPr="007B11C9">
              <w:rPr>
                <w:rFonts w:asciiTheme="minorHAnsi" w:hAnsiTheme="minorHAnsi" w:cstheme="minorHAnsi"/>
                <w:sz w:val="18"/>
                <w:szCs w:val="18"/>
                <w:u w:val="single"/>
              </w:rPr>
              <w:t>GOV-11</w:t>
            </w:r>
          </w:p>
        </w:tc>
        <w:tc>
          <w:tcPr>
            <w:tcW w:w="3685" w:type="dxa"/>
            <w:tcBorders>
              <w:top w:val="single" w:sz="4" w:space="0" w:color="000000"/>
              <w:left w:val="single" w:sz="4" w:space="0" w:color="000000"/>
              <w:bottom w:val="single" w:sz="4" w:space="0" w:color="000000"/>
              <w:right w:val="single" w:sz="4" w:space="0" w:color="000000"/>
            </w:tcBorders>
            <w:shd w:val="clear" w:color="auto" w:fill="auto"/>
            <w:hideMark/>
          </w:tcPr>
          <w:p w14:paraId="142A4BF0" w14:textId="77777777" w:rsidR="00E20F08" w:rsidRPr="007B11C9" w:rsidRDefault="00E20F08" w:rsidP="00F12B68">
            <w:pPr>
              <w:spacing w:after="0" w:line="271" w:lineRule="auto"/>
              <w:rPr>
                <w:rFonts w:asciiTheme="minorHAnsi" w:hAnsiTheme="minorHAnsi" w:cstheme="minorHAnsi"/>
                <w:sz w:val="18"/>
                <w:szCs w:val="18"/>
              </w:rPr>
            </w:pPr>
            <w:r w:rsidRPr="007B11C9">
              <w:rPr>
                <w:rFonts w:asciiTheme="minorHAnsi" w:hAnsiTheme="minorHAnsi" w:cstheme="minorHAnsi"/>
                <w:sz w:val="18"/>
                <w:szCs w:val="18"/>
              </w:rPr>
              <w:t>Entities must establish a business continuity management (BCM) program to provide for the continued availability of critical services and assets, and other services and assets when warranted by a threat and risk assessment.</w:t>
            </w:r>
          </w:p>
        </w:tc>
        <w:tc>
          <w:tcPr>
            <w:tcW w:w="1194" w:type="dxa"/>
            <w:tcBorders>
              <w:top w:val="single" w:sz="4" w:space="0" w:color="000000"/>
              <w:left w:val="single" w:sz="4" w:space="0" w:color="000000"/>
              <w:bottom w:val="single" w:sz="4" w:space="0" w:color="000000"/>
              <w:right w:val="single" w:sz="4" w:space="0" w:color="000000"/>
            </w:tcBorders>
          </w:tcPr>
          <w:p w14:paraId="142A4BF1" w14:textId="77777777" w:rsidR="00E20F08" w:rsidRPr="003D0A6B" w:rsidRDefault="00BE0661"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84</w:t>
            </w:r>
          </w:p>
        </w:tc>
        <w:tc>
          <w:tcPr>
            <w:tcW w:w="956" w:type="dxa"/>
            <w:tcBorders>
              <w:top w:val="single" w:sz="4" w:space="0" w:color="000000"/>
              <w:left w:val="single" w:sz="4" w:space="0" w:color="000000"/>
              <w:bottom w:val="single" w:sz="4" w:space="0" w:color="000000"/>
              <w:right w:val="single" w:sz="4" w:space="0" w:color="000000"/>
            </w:tcBorders>
            <w:shd w:val="clear" w:color="auto" w:fill="auto"/>
          </w:tcPr>
          <w:p w14:paraId="142A4BF2" w14:textId="77777777" w:rsidR="00E20F08" w:rsidRPr="003D0A6B" w:rsidRDefault="00D968E9"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90.3%</w:t>
            </w:r>
          </w:p>
        </w:tc>
        <w:tc>
          <w:tcPr>
            <w:tcW w:w="846" w:type="dxa"/>
            <w:gridSpan w:val="2"/>
            <w:tcBorders>
              <w:top w:val="single" w:sz="4" w:space="0" w:color="000000"/>
              <w:left w:val="single" w:sz="4" w:space="0" w:color="000000"/>
              <w:bottom w:val="single" w:sz="4" w:space="0" w:color="000000"/>
              <w:right w:val="single" w:sz="4" w:space="0" w:color="000000"/>
            </w:tcBorders>
            <w:shd w:val="clear" w:color="auto" w:fill="auto"/>
          </w:tcPr>
          <w:p w14:paraId="142A4BF3" w14:textId="77777777" w:rsidR="00E20F08" w:rsidRPr="003D0A6B" w:rsidRDefault="00D968E9"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93.5%</w:t>
            </w:r>
          </w:p>
        </w:tc>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42A4BF4" w14:textId="77777777" w:rsidR="00E20F08" w:rsidRPr="00F03FAB" w:rsidRDefault="00E20F08"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-3.2</w:t>
            </w:r>
          </w:p>
        </w:tc>
        <w:tc>
          <w:tcPr>
            <w:tcW w:w="1695" w:type="dxa"/>
            <w:tcBorders>
              <w:top w:val="single" w:sz="4" w:space="0" w:color="000000"/>
              <w:left w:val="single" w:sz="4" w:space="0" w:color="000000"/>
              <w:bottom w:val="single" w:sz="4" w:space="0" w:color="000000"/>
              <w:right w:val="single" w:sz="4" w:space="0" w:color="000000"/>
            </w:tcBorders>
          </w:tcPr>
          <w:p w14:paraId="142A4BF5" w14:textId="77777777" w:rsidR="00E20F08" w:rsidRDefault="00E20F08">
            <w:r w:rsidRPr="0045434B">
              <w:rPr>
                <w:rFonts w:asciiTheme="minorHAnsi" w:hAnsiTheme="minorHAnsi" w:cstheme="minorHAnsi"/>
                <w:sz w:val="18"/>
                <w:szCs w:val="18"/>
              </w:rPr>
              <w:t>N/A</w:t>
            </w:r>
          </w:p>
        </w:tc>
      </w:tr>
      <w:tr w:rsidR="00CE24F6" w:rsidRPr="00955B78" w14:paraId="142A4BFE" w14:textId="77777777" w:rsidTr="001003F6">
        <w:tc>
          <w:tcPr>
            <w:tcW w:w="1101" w:type="dxa"/>
            <w:tcBorders>
              <w:top w:val="single" w:sz="4" w:space="0" w:color="000000"/>
              <w:left w:val="single" w:sz="4" w:space="0" w:color="000000"/>
              <w:bottom w:val="single" w:sz="4" w:space="0" w:color="000000"/>
              <w:right w:val="single" w:sz="4" w:space="0" w:color="000000"/>
            </w:tcBorders>
            <w:shd w:val="clear" w:color="auto" w:fill="auto"/>
            <w:hideMark/>
          </w:tcPr>
          <w:p w14:paraId="142A4BF7" w14:textId="77777777" w:rsidR="00E20F08" w:rsidRPr="00052A4B" w:rsidRDefault="00E20F08" w:rsidP="008F57A2">
            <w:pPr>
              <w:spacing w:after="0"/>
              <w:jc w:val="center"/>
              <w:rPr>
                <w:rFonts w:asciiTheme="minorHAnsi" w:hAnsiTheme="minorHAnsi" w:cstheme="minorHAnsi"/>
                <w:sz w:val="18"/>
                <w:szCs w:val="18"/>
              </w:rPr>
            </w:pPr>
            <w:r w:rsidRPr="00052A4B">
              <w:rPr>
                <w:rFonts w:asciiTheme="minorHAnsi" w:hAnsiTheme="minorHAnsi" w:cstheme="minorHAnsi"/>
                <w:sz w:val="18"/>
                <w:szCs w:val="18"/>
                <w:u w:val="single"/>
              </w:rPr>
              <w:t>GOV-12</w:t>
            </w:r>
          </w:p>
        </w:tc>
        <w:tc>
          <w:tcPr>
            <w:tcW w:w="3685" w:type="dxa"/>
            <w:tcBorders>
              <w:top w:val="single" w:sz="4" w:space="0" w:color="000000"/>
              <w:left w:val="single" w:sz="4" w:space="0" w:color="000000"/>
              <w:bottom w:val="single" w:sz="4" w:space="0" w:color="000000"/>
              <w:right w:val="single" w:sz="4" w:space="0" w:color="000000"/>
            </w:tcBorders>
            <w:shd w:val="clear" w:color="auto" w:fill="auto"/>
            <w:hideMark/>
          </w:tcPr>
          <w:p w14:paraId="142A4BF8" w14:textId="77777777" w:rsidR="00E20F08" w:rsidRPr="00052A4B" w:rsidRDefault="00E20F08" w:rsidP="00F12B68">
            <w:pPr>
              <w:spacing w:after="0" w:line="271" w:lineRule="auto"/>
              <w:rPr>
                <w:rFonts w:asciiTheme="minorHAnsi" w:hAnsiTheme="minorHAnsi" w:cstheme="minorHAnsi"/>
                <w:sz w:val="18"/>
                <w:szCs w:val="18"/>
              </w:rPr>
            </w:pPr>
            <w:r w:rsidRPr="00052A4B">
              <w:rPr>
                <w:rFonts w:asciiTheme="minorHAnsi" w:hAnsiTheme="minorHAnsi" w:cstheme="minorHAnsi"/>
                <w:sz w:val="18"/>
                <w:szCs w:val="18"/>
              </w:rPr>
              <w:t>Entities must ensure the contracted service provider complies with the requirements of this policy and any protective security protocols.</w:t>
            </w:r>
          </w:p>
        </w:tc>
        <w:tc>
          <w:tcPr>
            <w:tcW w:w="1194" w:type="dxa"/>
            <w:tcBorders>
              <w:top w:val="single" w:sz="4" w:space="0" w:color="000000"/>
              <w:left w:val="single" w:sz="4" w:space="0" w:color="000000"/>
              <w:bottom w:val="single" w:sz="4" w:space="0" w:color="000000"/>
              <w:right w:val="single" w:sz="4" w:space="0" w:color="000000"/>
            </w:tcBorders>
          </w:tcPr>
          <w:p w14:paraId="142A4BF9" w14:textId="77777777" w:rsidR="00E20F08" w:rsidRPr="003D0A6B" w:rsidRDefault="00BE0661"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87</w:t>
            </w:r>
          </w:p>
        </w:tc>
        <w:tc>
          <w:tcPr>
            <w:tcW w:w="956" w:type="dxa"/>
            <w:tcBorders>
              <w:top w:val="single" w:sz="4" w:space="0" w:color="000000"/>
              <w:left w:val="single" w:sz="4" w:space="0" w:color="000000"/>
              <w:bottom w:val="single" w:sz="4" w:space="0" w:color="000000"/>
              <w:right w:val="single" w:sz="4" w:space="0" w:color="000000"/>
            </w:tcBorders>
          </w:tcPr>
          <w:p w14:paraId="142A4BFA" w14:textId="77777777" w:rsidR="00E20F08" w:rsidRPr="003D0A6B" w:rsidRDefault="00D968E9"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93.5%</w:t>
            </w:r>
          </w:p>
        </w:tc>
        <w:tc>
          <w:tcPr>
            <w:tcW w:w="846" w:type="dxa"/>
            <w:gridSpan w:val="2"/>
            <w:tcBorders>
              <w:top w:val="single" w:sz="4" w:space="0" w:color="000000"/>
              <w:left w:val="single" w:sz="4" w:space="0" w:color="000000"/>
              <w:bottom w:val="single" w:sz="4" w:space="0" w:color="000000"/>
              <w:right w:val="single" w:sz="4" w:space="0" w:color="000000"/>
            </w:tcBorders>
          </w:tcPr>
          <w:p w14:paraId="142A4BFB" w14:textId="77777777" w:rsidR="00E20F08" w:rsidRPr="003D0A6B" w:rsidRDefault="00D968E9"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90.3%</w:t>
            </w:r>
          </w:p>
        </w:tc>
        <w:tc>
          <w:tcPr>
            <w:tcW w:w="1057" w:type="dxa"/>
            <w:tcBorders>
              <w:top w:val="single" w:sz="4" w:space="0" w:color="000000"/>
              <w:left w:val="single" w:sz="4" w:space="0" w:color="000000"/>
              <w:bottom w:val="single" w:sz="4" w:space="0" w:color="000000"/>
              <w:right w:val="single" w:sz="4" w:space="0" w:color="000000"/>
            </w:tcBorders>
          </w:tcPr>
          <w:p w14:paraId="142A4BFC" w14:textId="77777777" w:rsidR="00E20F08" w:rsidRPr="00F03FAB" w:rsidRDefault="00E20F08"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3.2</w:t>
            </w:r>
          </w:p>
        </w:tc>
        <w:tc>
          <w:tcPr>
            <w:tcW w:w="1695" w:type="dxa"/>
            <w:tcBorders>
              <w:top w:val="single" w:sz="4" w:space="0" w:color="000000"/>
              <w:left w:val="single" w:sz="4" w:space="0" w:color="000000"/>
              <w:bottom w:val="single" w:sz="4" w:space="0" w:color="000000"/>
              <w:right w:val="single" w:sz="4" w:space="0" w:color="000000"/>
            </w:tcBorders>
          </w:tcPr>
          <w:p w14:paraId="142A4BFD" w14:textId="77777777" w:rsidR="00E20F08" w:rsidRDefault="00E20F08">
            <w:r w:rsidRPr="0045434B">
              <w:rPr>
                <w:rFonts w:asciiTheme="minorHAnsi" w:hAnsiTheme="minorHAnsi" w:cstheme="minorHAnsi"/>
                <w:sz w:val="18"/>
                <w:szCs w:val="18"/>
              </w:rPr>
              <w:t>N/A</w:t>
            </w:r>
          </w:p>
        </w:tc>
      </w:tr>
      <w:tr w:rsidR="00CE24F6" w:rsidRPr="00955B78" w14:paraId="142A4C0A" w14:textId="77777777" w:rsidTr="000607EB">
        <w:tc>
          <w:tcPr>
            <w:tcW w:w="1101" w:type="dxa"/>
            <w:tcBorders>
              <w:top w:val="single" w:sz="4" w:space="0" w:color="000000"/>
              <w:left w:val="single" w:sz="4" w:space="0" w:color="000000"/>
              <w:bottom w:val="single" w:sz="4" w:space="0" w:color="000000"/>
              <w:right w:val="single" w:sz="4" w:space="0" w:color="000000"/>
            </w:tcBorders>
            <w:shd w:val="clear" w:color="auto" w:fill="auto"/>
            <w:hideMark/>
          </w:tcPr>
          <w:p w14:paraId="142A4BFF" w14:textId="77777777" w:rsidR="00E20F08" w:rsidRPr="00052A4B" w:rsidRDefault="00E20F08" w:rsidP="008F57A2">
            <w:pPr>
              <w:spacing w:after="0"/>
              <w:jc w:val="center"/>
              <w:rPr>
                <w:rFonts w:asciiTheme="minorHAnsi" w:hAnsiTheme="minorHAnsi" w:cstheme="minorHAnsi"/>
                <w:sz w:val="18"/>
                <w:szCs w:val="18"/>
              </w:rPr>
            </w:pPr>
            <w:r w:rsidRPr="00052A4B">
              <w:rPr>
                <w:rFonts w:asciiTheme="minorHAnsi" w:hAnsiTheme="minorHAnsi" w:cstheme="minorHAnsi"/>
                <w:sz w:val="18"/>
                <w:szCs w:val="18"/>
                <w:u w:val="single"/>
              </w:rPr>
              <w:t>GOV-13</w:t>
            </w:r>
          </w:p>
        </w:tc>
        <w:tc>
          <w:tcPr>
            <w:tcW w:w="3685" w:type="dxa"/>
            <w:tcBorders>
              <w:top w:val="single" w:sz="4" w:space="0" w:color="000000"/>
              <w:left w:val="single" w:sz="4" w:space="0" w:color="000000"/>
              <w:bottom w:val="single" w:sz="4" w:space="0" w:color="000000"/>
              <w:right w:val="single" w:sz="4" w:space="0" w:color="000000"/>
            </w:tcBorders>
            <w:shd w:val="clear" w:color="auto" w:fill="auto"/>
            <w:hideMark/>
          </w:tcPr>
          <w:p w14:paraId="142A4C00" w14:textId="77777777" w:rsidR="000607EB" w:rsidRDefault="00E20F08" w:rsidP="000607EB">
            <w:pPr>
              <w:widowControl w:val="0"/>
              <w:spacing w:after="0"/>
              <w:rPr>
                <w:rFonts w:asciiTheme="minorHAnsi" w:hAnsiTheme="minorHAnsi" w:cstheme="minorHAnsi"/>
                <w:sz w:val="18"/>
                <w:szCs w:val="18"/>
              </w:rPr>
            </w:pPr>
            <w:r w:rsidRPr="00052A4B">
              <w:rPr>
                <w:rFonts w:asciiTheme="minorHAnsi" w:hAnsiTheme="minorHAnsi" w:cstheme="minorHAnsi"/>
                <w:sz w:val="18"/>
                <w:szCs w:val="18"/>
              </w:rPr>
              <w:t xml:space="preserve">Entities must comply with section 10 of the </w:t>
            </w:r>
            <w:r w:rsidRPr="00052A4B">
              <w:rPr>
                <w:rFonts w:asciiTheme="minorHAnsi" w:hAnsiTheme="minorHAnsi" w:cstheme="minorHAnsi"/>
                <w:i/>
                <w:sz w:val="18"/>
                <w:szCs w:val="18"/>
              </w:rPr>
              <w:t>Public Governance, Performance and Accountability Rule 2014</w:t>
            </w:r>
            <w:r w:rsidRPr="00052A4B">
              <w:rPr>
                <w:rFonts w:asciiTheme="minorHAnsi" w:hAnsiTheme="minorHAnsi" w:cstheme="minorHAnsi"/>
                <w:sz w:val="18"/>
                <w:szCs w:val="18"/>
              </w:rPr>
              <w:t xml:space="preserve"> and the </w:t>
            </w:r>
            <w:r w:rsidRPr="00052A4B">
              <w:rPr>
                <w:rFonts w:asciiTheme="minorHAnsi" w:hAnsiTheme="minorHAnsi" w:cstheme="minorHAnsi"/>
                <w:i/>
                <w:sz w:val="18"/>
                <w:szCs w:val="18"/>
              </w:rPr>
              <w:t>Commonwealth Fraud Control Policy.</w:t>
            </w:r>
            <w:r w:rsidR="000607EB" w:rsidRPr="00052A4B">
              <w:rPr>
                <w:rFonts w:asciiTheme="minorHAnsi" w:hAnsiTheme="minorHAnsi" w:cstheme="minorHAnsi"/>
                <w:sz w:val="18"/>
                <w:szCs w:val="18"/>
              </w:rPr>
              <w:t xml:space="preserve"> </w:t>
            </w:r>
          </w:p>
          <w:p w14:paraId="142A4C01" w14:textId="77777777" w:rsidR="00DB6203" w:rsidRDefault="00DB6203" w:rsidP="000607EB">
            <w:pPr>
              <w:widowControl w:val="0"/>
              <w:spacing w:after="0"/>
              <w:rPr>
                <w:rFonts w:asciiTheme="minorHAnsi" w:hAnsiTheme="minorHAnsi" w:cstheme="minorHAnsi"/>
                <w:sz w:val="18"/>
                <w:szCs w:val="18"/>
              </w:rPr>
            </w:pPr>
          </w:p>
          <w:p w14:paraId="142A4C02" w14:textId="77777777" w:rsidR="00DB6203" w:rsidRDefault="00DB6203" w:rsidP="000607EB">
            <w:pPr>
              <w:widowControl w:val="0"/>
              <w:spacing w:after="0"/>
              <w:rPr>
                <w:rFonts w:asciiTheme="minorHAnsi" w:hAnsiTheme="minorHAnsi" w:cstheme="minorHAnsi"/>
                <w:sz w:val="18"/>
                <w:szCs w:val="18"/>
              </w:rPr>
            </w:pPr>
          </w:p>
          <w:p w14:paraId="142A4C03" w14:textId="77777777" w:rsidR="00DB6203" w:rsidRDefault="00DB6203" w:rsidP="000607EB">
            <w:pPr>
              <w:widowControl w:val="0"/>
              <w:spacing w:after="0"/>
              <w:rPr>
                <w:rFonts w:asciiTheme="minorHAnsi" w:hAnsiTheme="minorHAnsi" w:cstheme="minorHAnsi"/>
                <w:sz w:val="18"/>
                <w:szCs w:val="18"/>
              </w:rPr>
            </w:pPr>
          </w:p>
          <w:p w14:paraId="142A4C04" w14:textId="77777777" w:rsidR="00DB6203" w:rsidRPr="00052A4B" w:rsidRDefault="00DB6203" w:rsidP="000607EB">
            <w:pPr>
              <w:widowControl w:val="0"/>
              <w:spacing w:after="0"/>
              <w:rPr>
                <w:rFonts w:asciiTheme="minorHAnsi" w:hAnsiTheme="minorHAnsi" w:cstheme="minorHAnsi"/>
                <w:sz w:val="18"/>
                <w:szCs w:val="18"/>
              </w:rPr>
            </w:pPr>
          </w:p>
        </w:tc>
        <w:tc>
          <w:tcPr>
            <w:tcW w:w="1194" w:type="dxa"/>
            <w:tcBorders>
              <w:top w:val="single" w:sz="4" w:space="0" w:color="000000"/>
              <w:left w:val="single" w:sz="4" w:space="0" w:color="000000"/>
              <w:bottom w:val="single" w:sz="4" w:space="0" w:color="000000"/>
              <w:right w:val="single" w:sz="4" w:space="0" w:color="000000"/>
            </w:tcBorders>
          </w:tcPr>
          <w:p w14:paraId="142A4C05" w14:textId="77777777" w:rsidR="00E20F08" w:rsidRPr="003D0A6B" w:rsidRDefault="00BE0661"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92</w:t>
            </w:r>
          </w:p>
        </w:tc>
        <w:tc>
          <w:tcPr>
            <w:tcW w:w="956" w:type="dxa"/>
            <w:tcBorders>
              <w:top w:val="single" w:sz="4" w:space="0" w:color="000000"/>
              <w:left w:val="single" w:sz="4" w:space="0" w:color="000000"/>
              <w:bottom w:val="single" w:sz="4" w:space="0" w:color="000000"/>
              <w:right w:val="single" w:sz="4" w:space="0" w:color="000000"/>
            </w:tcBorders>
          </w:tcPr>
          <w:p w14:paraId="142A4C06" w14:textId="77777777" w:rsidR="00E20F08" w:rsidRPr="003D0A6B" w:rsidRDefault="00D968E9"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98.9%</w:t>
            </w:r>
          </w:p>
        </w:tc>
        <w:tc>
          <w:tcPr>
            <w:tcW w:w="846" w:type="dxa"/>
            <w:gridSpan w:val="2"/>
            <w:tcBorders>
              <w:top w:val="single" w:sz="4" w:space="0" w:color="000000"/>
              <w:left w:val="single" w:sz="4" w:space="0" w:color="000000"/>
              <w:bottom w:val="single" w:sz="4" w:space="0" w:color="000000"/>
              <w:right w:val="single" w:sz="4" w:space="0" w:color="000000"/>
            </w:tcBorders>
          </w:tcPr>
          <w:p w14:paraId="142A4C07" w14:textId="77777777" w:rsidR="00E20F08" w:rsidRPr="003D0A6B" w:rsidRDefault="00D968E9" w:rsidP="008F57A2">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97.8%</w:t>
            </w:r>
          </w:p>
        </w:tc>
        <w:tc>
          <w:tcPr>
            <w:tcW w:w="1057" w:type="dxa"/>
            <w:tcBorders>
              <w:top w:val="single" w:sz="4" w:space="0" w:color="000000"/>
              <w:left w:val="single" w:sz="4" w:space="0" w:color="000000"/>
              <w:bottom w:val="single" w:sz="4" w:space="0" w:color="000000"/>
              <w:right w:val="single" w:sz="4" w:space="0" w:color="000000"/>
            </w:tcBorders>
          </w:tcPr>
          <w:p w14:paraId="142A4C08" w14:textId="77777777" w:rsidR="00E20F08" w:rsidRPr="00F03FAB" w:rsidRDefault="00E20F08" w:rsidP="008F57A2">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1.1</w:t>
            </w:r>
          </w:p>
        </w:tc>
        <w:tc>
          <w:tcPr>
            <w:tcW w:w="1695" w:type="dxa"/>
            <w:tcBorders>
              <w:top w:val="single" w:sz="4" w:space="0" w:color="000000"/>
              <w:left w:val="single" w:sz="4" w:space="0" w:color="000000"/>
              <w:bottom w:val="single" w:sz="4" w:space="0" w:color="000000"/>
              <w:right w:val="single" w:sz="4" w:space="0" w:color="000000"/>
            </w:tcBorders>
          </w:tcPr>
          <w:p w14:paraId="142A4C09" w14:textId="77777777" w:rsidR="00E20F08" w:rsidRDefault="00E20F08">
            <w:r w:rsidRPr="0045434B">
              <w:rPr>
                <w:rFonts w:asciiTheme="minorHAnsi" w:hAnsiTheme="minorHAnsi" w:cstheme="minorHAnsi"/>
                <w:sz w:val="18"/>
                <w:szCs w:val="18"/>
              </w:rPr>
              <w:t>N/A</w:t>
            </w:r>
          </w:p>
        </w:tc>
      </w:tr>
      <w:tr w:rsidR="000607EB" w:rsidRPr="00955B78" w14:paraId="142A4C0C" w14:textId="77777777" w:rsidTr="000607EB">
        <w:tc>
          <w:tcPr>
            <w:tcW w:w="10534" w:type="dxa"/>
            <w:gridSpan w:val="8"/>
            <w:tcBorders>
              <w:top w:val="single" w:sz="4" w:space="0" w:color="000000"/>
              <w:left w:val="single" w:sz="4" w:space="0" w:color="000000"/>
              <w:bottom w:val="single" w:sz="4" w:space="0" w:color="000000"/>
              <w:right w:val="single" w:sz="4" w:space="0" w:color="000000"/>
            </w:tcBorders>
            <w:shd w:val="clear" w:color="auto" w:fill="C6D9F1"/>
          </w:tcPr>
          <w:p w14:paraId="142A4C0B" w14:textId="77777777" w:rsidR="000607EB" w:rsidRPr="001B0066" w:rsidRDefault="000607EB" w:rsidP="000607EB">
            <w:pPr>
              <w:spacing w:after="0" w:line="271" w:lineRule="auto"/>
              <w:rPr>
                <w:rFonts w:asciiTheme="minorHAnsi" w:eastAsia="Times New Roman" w:hAnsiTheme="minorHAnsi" w:cstheme="minorHAnsi"/>
                <w:b/>
                <w:color w:val="000000" w:themeColor="text1"/>
                <w:sz w:val="18"/>
                <w:szCs w:val="18"/>
              </w:rPr>
            </w:pPr>
            <w:r>
              <w:rPr>
                <w:rFonts w:asciiTheme="minorHAnsi" w:eastAsia="Times New Roman" w:hAnsiTheme="minorHAnsi" w:cstheme="minorHAnsi"/>
                <w:b/>
                <w:color w:val="000000" w:themeColor="text1"/>
                <w:sz w:val="18"/>
                <w:szCs w:val="18"/>
              </w:rPr>
              <w:lastRenderedPageBreak/>
              <w:t>Information security</w:t>
            </w:r>
          </w:p>
        </w:tc>
      </w:tr>
      <w:tr w:rsidR="000607EB" w:rsidRPr="00955B78" w14:paraId="142A4C14" w14:textId="77777777" w:rsidTr="001003F6">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0D" w14:textId="77777777" w:rsidR="000607EB" w:rsidRPr="00052A4B" w:rsidRDefault="000607EB" w:rsidP="00171B39">
            <w:pPr>
              <w:spacing w:after="0"/>
              <w:jc w:val="center"/>
              <w:rPr>
                <w:rFonts w:asciiTheme="minorHAnsi" w:hAnsiTheme="minorHAnsi" w:cstheme="minorHAnsi"/>
                <w:sz w:val="18"/>
                <w:szCs w:val="18"/>
              </w:rPr>
            </w:pPr>
            <w:r w:rsidRPr="00052A4B">
              <w:rPr>
                <w:rFonts w:asciiTheme="minorHAnsi" w:hAnsiTheme="minorHAnsi" w:cstheme="minorHAnsi"/>
                <w:sz w:val="18"/>
                <w:szCs w:val="18"/>
                <w:u w:val="single"/>
              </w:rPr>
              <w:t>INFOSEC-1</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0E" w14:textId="77777777" w:rsidR="000607EB" w:rsidRPr="00052A4B" w:rsidRDefault="000607EB" w:rsidP="00171B39">
            <w:pPr>
              <w:spacing w:after="0" w:line="271" w:lineRule="auto"/>
              <w:rPr>
                <w:rFonts w:asciiTheme="minorHAnsi" w:hAnsiTheme="minorHAnsi" w:cstheme="minorHAnsi"/>
                <w:sz w:val="18"/>
                <w:szCs w:val="18"/>
              </w:rPr>
            </w:pPr>
            <w:r w:rsidRPr="00052A4B">
              <w:rPr>
                <w:rFonts w:asciiTheme="minorHAnsi" w:hAnsiTheme="minorHAnsi" w:cstheme="minorHAnsi"/>
                <w:sz w:val="18"/>
                <w:szCs w:val="18"/>
              </w:rPr>
              <w:t>Entity heads must provide clear direction on information security through the development and implementation of an entity information security policy, and address entity information security requirements as part of the entity security plan.</w:t>
            </w:r>
          </w:p>
        </w:tc>
        <w:tc>
          <w:tcPr>
            <w:tcW w:w="1194" w:type="dxa"/>
            <w:tcBorders>
              <w:top w:val="single" w:sz="4" w:space="0" w:color="000000"/>
              <w:left w:val="single" w:sz="4" w:space="0" w:color="000000"/>
              <w:bottom w:val="single" w:sz="4" w:space="0" w:color="000000"/>
              <w:right w:val="single" w:sz="4" w:space="0" w:color="000000"/>
            </w:tcBorders>
          </w:tcPr>
          <w:p w14:paraId="142A4C0F" w14:textId="77777777" w:rsidR="000607EB" w:rsidRPr="003D0A6B"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85</w:t>
            </w:r>
          </w:p>
        </w:tc>
        <w:tc>
          <w:tcPr>
            <w:tcW w:w="956" w:type="dxa"/>
            <w:tcBorders>
              <w:top w:val="single" w:sz="4" w:space="0" w:color="000000"/>
              <w:left w:val="single" w:sz="4" w:space="0" w:color="000000"/>
              <w:bottom w:val="single" w:sz="4" w:space="0" w:color="000000"/>
              <w:right w:val="single" w:sz="4" w:space="0" w:color="000000"/>
            </w:tcBorders>
          </w:tcPr>
          <w:p w14:paraId="142A4C10" w14:textId="77777777" w:rsidR="000607EB" w:rsidRPr="003D0A6B"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91</w:t>
            </w:r>
            <w:r w:rsidRPr="003D0A6B">
              <w:rPr>
                <w:rFonts w:asciiTheme="minorHAnsi" w:hAnsiTheme="minorHAnsi" w:cstheme="minorHAnsi"/>
                <w:sz w:val="18"/>
                <w:szCs w:val="18"/>
              </w:rPr>
              <w:t>.</w:t>
            </w:r>
            <w:r>
              <w:rPr>
                <w:rFonts w:asciiTheme="minorHAnsi" w:hAnsiTheme="minorHAnsi" w:cstheme="minorHAnsi"/>
                <w:sz w:val="18"/>
                <w:szCs w:val="18"/>
              </w:rPr>
              <w:t>4</w:t>
            </w:r>
            <w:r w:rsidRPr="003D0A6B">
              <w:rPr>
                <w:rFonts w:asciiTheme="minorHAnsi" w:hAnsiTheme="minorHAnsi" w:cstheme="minorHAnsi"/>
                <w:sz w:val="18"/>
                <w:szCs w:val="18"/>
              </w:rPr>
              <w:t>%</w:t>
            </w:r>
          </w:p>
        </w:tc>
        <w:tc>
          <w:tcPr>
            <w:tcW w:w="846" w:type="dxa"/>
            <w:gridSpan w:val="2"/>
            <w:tcBorders>
              <w:top w:val="single" w:sz="4" w:space="0" w:color="000000"/>
              <w:left w:val="single" w:sz="4" w:space="0" w:color="000000"/>
              <w:bottom w:val="single" w:sz="4" w:space="0" w:color="000000"/>
              <w:right w:val="single" w:sz="4" w:space="0" w:color="000000"/>
            </w:tcBorders>
          </w:tcPr>
          <w:p w14:paraId="142A4C11" w14:textId="77777777" w:rsidR="000607EB" w:rsidRPr="003D0A6B"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90</w:t>
            </w:r>
            <w:r w:rsidRPr="003D0A6B">
              <w:rPr>
                <w:rFonts w:asciiTheme="minorHAnsi" w:hAnsiTheme="minorHAnsi" w:cstheme="minorHAnsi"/>
                <w:sz w:val="18"/>
                <w:szCs w:val="18"/>
              </w:rPr>
              <w:t>.3%</w:t>
            </w:r>
          </w:p>
        </w:tc>
        <w:tc>
          <w:tcPr>
            <w:tcW w:w="1057" w:type="dxa"/>
            <w:tcBorders>
              <w:top w:val="single" w:sz="4" w:space="0" w:color="000000"/>
              <w:left w:val="single" w:sz="4" w:space="0" w:color="000000"/>
              <w:bottom w:val="single" w:sz="4" w:space="0" w:color="000000"/>
              <w:right w:val="single" w:sz="4" w:space="0" w:color="000000"/>
            </w:tcBorders>
          </w:tcPr>
          <w:p w14:paraId="142A4C12" w14:textId="77777777" w:rsidR="000607EB" w:rsidRPr="0058424A"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1.1</w:t>
            </w:r>
          </w:p>
        </w:tc>
        <w:tc>
          <w:tcPr>
            <w:tcW w:w="1695" w:type="dxa"/>
            <w:tcBorders>
              <w:top w:val="single" w:sz="4" w:space="0" w:color="000000"/>
              <w:left w:val="single" w:sz="4" w:space="0" w:color="000000"/>
              <w:bottom w:val="single" w:sz="4" w:space="0" w:color="000000"/>
              <w:right w:val="single" w:sz="4" w:space="0" w:color="000000"/>
            </w:tcBorders>
          </w:tcPr>
          <w:p w14:paraId="142A4C13" w14:textId="77777777" w:rsidR="000607EB" w:rsidRDefault="000607EB" w:rsidP="00171B39">
            <w:r w:rsidRPr="0019504B">
              <w:rPr>
                <w:rFonts w:asciiTheme="minorHAnsi" w:hAnsiTheme="minorHAnsi" w:cstheme="minorHAnsi"/>
                <w:sz w:val="18"/>
                <w:szCs w:val="18"/>
              </w:rPr>
              <w:t>N/A</w:t>
            </w:r>
          </w:p>
        </w:tc>
      </w:tr>
      <w:tr w:rsidR="000607EB" w:rsidRPr="00955B78" w14:paraId="142A4C1C" w14:textId="77777777" w:rsidTr="001003F6">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15" w14:textId="77777777" w:rsidR="000607EB" w:rsidRPr="00052A4B" w:rsidRDefault="000607EB" w:rsidP="00171B39">
            <w:pPr>
              <w:spacing w:after="0"/>
              <w:jc w:val="center"/>
              <w:rPr>
                <w:rFonts w:asciiTheme="minorHAnsi" w:hAnsiTheme="minorHAnsi" w:cstheme="minorHAnsi"/>
                <w:sz w:val="18"/>
                <w:szCs w:val="18"/>
              </w:rPr>
            </w:pPr>
            <w:r w:rsidRPr="00052A4B">
              <w:rPr>
                <w:rFonts w:asciiTheme="minorHAnsi" w:hAnsiTheme="minorHAnsi" w:cstheme="minorHAnsi"/>
                <w:sz w:val="18"/>
                <w:szCs w:val="18"/>
                <w:u w:val="single"/>
              </w:rPr>
              <w:t>INFOSEC-2</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16" w14:textId="77777777" w:rsidR="000607EB" w:rsidRPr="00052A4B" w:rsidRDefault="000607EB" w:rsidP="00171B39">
            <w:pPr>
              <w:spacing w:after="0" w:line="271" w:lineRule="auto"/>
              <w:rPr>
                <w:rFonts w:asciiTheme="minorHAnsi" w:hAnsiTheme="minorHAnsi" w:cstheme="minorHAnsi"/>
                <w:sz w:val="18"/>
                <w:szCs w:val="18"/>
              </w:rPr>
            </w:pPr>
            <w:r w:rsidRPr="00052A4B">
              <w:rPr>
                <w:rFonts w:asciiTheme="minorHAnsi" w:hAnsiTheme="minorHAnsi" w:cstheme="minorHAnsi"/>
                <w:sz w:val="18"/>
                <w:szCs w:val="18"/>
              </w:rPr>
              <w:t>Each entity must establish a framework to provide direction and coordinated management of information security.  Frameworks must be appropriate to the level of security risks to the entity’s information environment.</w:t>
            </w:r>
          </w:p>
        </w:tc>
        <w:tc>
          <w:tcPr>
            <w:tcW w:w="1194" w:type="dxa"/>
            <w:tcBorders>
              <w:top w:val="single" w:sz="4" w:space="0" w:color="000000"/>
              <w:left w:val="single" w:sz="4" w:space="0" w:color="000000"/>
              <w:bottom w:val="single" w:sz="4" w:space="0" w:color="000000"/>
              <w:right w:val="single" w:sz="4" w:space="0" w:color="000000"/>
            </w:tcBorders>
          </w:tcPr>
          <w:p w14:paraId="142A4C17" w14:textId="77777777" w:rsidR="000607EB" w:rsidRPr="003D0A6B"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88</w:t>
            </w:r>
          </w:p>
        </w:tc>
        <w:tc>
          <w:tcPr>
            <w:tcW w:w="956" w:type="dxa"/>
            <w:tcBorders>
              <w:top w:val="single" w:sz="4" w:space="0" w:color="000000"/>
              <w:left w:val="single" w:sz="4" w:space="0" w:color="000000"/>
              <w:bottom w:val="single" w:sz="4" w:space="0" w:color="000000"/>
              <w:right w:val="single" w:sz="4" w:space="0" w:color="000000"/>
            </w:tcBorders>
          </w:tcPr>
          <w:p w14:paraId="142A4C18"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94.6%</w:t>
            </w:r>
          </w:p>
        </w:tc>
        <w:tc>
          <w:tcPr>
            <w:tcW w:w="846" w:type="dxa"/>
            <w:gridSpan w:val="2"/>
            <w:tcBorders>
              <w:top w:val="single" w:sz="4" w:space="0" w:color="000000"/>
              <w:left w:val="single" w:sz="4" w:space="0" w:color="000000"/>
              <w:bottom w:val="single" w:sz="4" w:space="0" w:color="000000"/>
              <w:right w:val="single" w:sz="4" w:space="0" w:color="000000"/>
            </w:tcBorders>
          </w:tcPr>
          <w:p w14:paraId="142A4C19"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93.5%</w:t>
            </w:r>
          </w:p>
        </w:tc>
        <w:tc>
          <w:tcPr>
            <w:tcW w:w="1057" w:type="dxa"/>
            <w:tcBorders>
              <w:top w:val="single" w:sz="4" w:space="0" w:color="000000"/>
              <w:left w:val="single" w:sz="4" w:space="0" w:color="000000"/>
              <w:bottom w:val="single" w:sz="4" w:space="0" w:color="000000"/>
              <w:right w:val="single" w:sz="4" w:space="0" w:color="000000"/>
            </w:tcBorders>
          </w:tcPr>
          <w:p w14:paraId="142A4C1A" w14:textId="77777777" w:rsidR="000607EB" w:rsidRPr="0058424A"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1.1</w:t>
            </w:r>
          </w:p>
        </w:tc>
        <w:tc>
          <w:tcPr>
            <w:tcW w:w="1695" w:type="dxa"/>
            <w:tcBorders>
              <w:top w:val="single" w:sz="4" w:space="0" w:color="000000"/>
              <w:left w:val="single" w:sz="4" w:space="0" w:color="000000"/>
              <w:bottom w:val="single" w:sz="4" w:space="0" w:color="000000"/>
              <w:right w:val="single" w:sz="4" w:space="0" w:color="000000"/>
            </w:tcBorders>
          </w:tcPr>
          <w:p w14:paraId="142A4C1B" w14:textId="77777777" w:rsidR="000607EB" w:rsidRDefault="000607EB" w:rsidP="00171B39">
            <w:r w:rsidRPr="0019504B">
              <w:rPr>
                <w:rFonts w:asciiTheme="minorHAnsi" w:hAnsiTheme="minorHAnsi" w:cstheme="minorHAnsi"/>
                <w:sz w:val="18"/>
                <w:szCs w:val="18"/>
              </w:rPr>
              <w:t>N/A</w:t>
            </w:r>
          </w:p>
        </w:tc>
      </w:tr>
      <w:tr w:rsidR="000607EB" w:rsidRPr="00955B78" w14:paraId="142A4C24" w14:textId="77777777" w:rsidTr="001003F6">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1D" w14:textId="77777777" w:rsidR="000607EB" w:rsidRPr="00052A4B" w:rsidRDefault="000607EB" w:rsidP="00171B39">
            <w:pPr>
              <w:spacing w:after="0"/>
              <w:jc w:val="center"/>
              <w:rPr>
                <w:rFonts w:asciiTheme="minorHAnsi" w:hAnsiTheme="minorHAnsi" w:cstheme="minorHAnsi"/>
                <w:sz w:val="18"/>
                <w:szCs w:val="18"/>
              </w:rPr>
            </w:pPr>
            <w:r w:rsidRPr="00052A4B">
              <w:rPr>
                <w:rFonts w:asciiTheme="minorHAnsi" w:hAnsiTheme="minorHAnsi" w:cstheme="minorHAnsi"/>
                <w:sz w:val="18"/>
                <w:szCs w:val="18"/>
                <w:u w:val="single"/>
              </w:rPr>
              <w:t>INFOSEC-3</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1E" w14:textId="77777777" w:rsidR="000607EB" w:rsidRPr="00052A4B" w:rsidRDefault="000607EB" w:rsidP="00171B39">
            <w:pPr>
              <w:spacing w:after="0" w:line="271" w:lineRule="auto"/>
              <w:rPr>
                <w:rFonts w:asciiTheme="minorHAnsi" w:hAnsiTheme="minorHAnsi" w:cstheme="minorHAnsi"/>
                <w:sz w:val="18"/>
                <w:szCs w:val="18"/>
              </w:rPr>
            </w:pPr>
            <w:r w:rsidRPr="00052A4B">
              <w:rPr>
                <w:rFonts w:asciiTheme="minorHAnsi" w:hAnsiTheme="minorHAnsi" w:cstheme="minorHAnsi"/>
                <w:sz w:val="18"/>
                <w:szCs w:val="18"/>
              </w:rPr>
              <w:t>Entities must implement policies and procedures for the security classification and protective control of information assets (in electronic and paper-based formats), which match their value, importance and sensitivity.</w:t>
            </w:r>
          </w:p>
        </w:tc>
        <w:tc>
          <w:tcPr>
            <w:tcW w:w="1194" w:type="dxa"/>
            <w:tcBorders>
              <w:top w:val="single" w:sz="4" w:space="0" w:color="000000"/>
              <w:left w:val="single" w:sz="4" w:space="0" w:color="000000"/>
              <w:bottom w:val="single" w:sz="4" w:space="0" w:color="000000"/>
              <w:right w:val="single" w:sz="4" w:space="0" w:color="000000"/>
            </w:tcBorders>
          </w:tcPr>
          <w:p w14:paraId="142A4C1F" w14:textId="77777777" w:rsidR="000607EB" w:rsidRPr="003D0A6B" w:rsidRDefault="000607EB" w:rsidP="00171B39">
            <w:pPr>
              <w:spacing w:after="0" w:line="271" w:lineRule="auto"/>
              <w:jc w:val="center"/>
              <w:rPr>
                <w:rFonts w:asciiTheme="minorHAnsi" w:hAnsiTheme="minorHAnsi" w:cstheme="minorHAnsi"/>
                <w:sz w:val="18"/>
                <w:szCs w:val="18"/>
              </w:rPr>
            </w:pPr>
            <w:r w:rsidRPr="008163EC">
              <w:rPr>
                <w:rFonts w:asciiTheme="minorHAnsi" w:hAnsiTheme="minorHAnsi" w:cstheme="minorHAnsi"/>
                <w:sz w:val="18"/>
                <w:szCs w:val="18"/>
              </w:rPr>
              <w:t>82</w:t>
            </w:r>
          </w:p>
        </w:tc>
        <w:tc>
          <w:tcPr>
            <w:tcW w:w="956" w:type="dxa"/>
            <w:tcBorders>
              <w:top w:val="single" w:sz="4" w:space="0" w:color="000000"/>
              <w:left w:val="single" w:sz="4" w:space="0" w:color="000000"/>
              <w:bottom w:val="single" w:sz="4" w:space="0" w:color="000000"/>
              <w:right w:val="single" w:sz="4" w:space="0" w:color="000000"/>
            </w:tcBorders>
          </w:tcPr>
          <w:p w14:paraId="142A4C20" w14:textId="77777777" w:rsidR="000607EB" w:rsidRPr="003D0A6B" w:rsidRDefault="000607EB" w:rsidP="00171B39">
            <w:pPr>
              <w:spacing w:after="0" w:line="271" w:lineRule="auto"/>
              <w:jc w:val="center"/>
              <w:rPr>
                <w:rFonts w:asciiTheme="minorHAnsi" w:hAnsiTheme="minorHAnsi" w:cstheme="minorHAnsi"/>
                <w:sz w:val="18"/>
                <w:szCs w:val="18"/>
              </w:rPr>
            </w:pPr>
            <w:r w:rsidRPr="008163EC">
              <w:rPr>
                <w:rFonts w:asciiTheme="minorHAnsi" w:hAnsiTheme="minorHAnsi" w:cstheme="minorHAnsi"/>
                <w:sz w:val="18"/>
                <w:szCs w:val="18"/>
              </w:rPr>
              <w:t>88.2%</w:t>
            </w:r>
          </w:p>
        </w:tc>
        <w:tc>
          <w:tcPr>
            <w:tcW w:w="846" w:type="dxa"/>
            <w:gridSpan w:val="2"/>
            <w:tcBorders>
              <w:top w:val="single" w:sz="4" w:space="0" w:color="000000"/>
              <w:left w:val="single" w:sz="4" w:space="0" w:color="000000"/>
              <w:bottom w:val="single" w:sz="4" w:space="0" w:color="000000"/>
              <w:right w:val="single" w:sz="4" w:space="0" w:color="000000"/>
            </w:tcBorders>
          </w:tcPr>
          <w:p w14:paraId="142A4C21"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89.2%</w:t>
            </w:r>
          </w:p>
        </w:tc>
        <w:tc>
          <w:tcPr>
            <w:tcW w:w="1057" w:type="dxa"/>
            <w:tcBorders>
              <w:top w:val="single" w:sz="4" w:space="0" w:color="000000"/>
              <w:left w:val="single" w:sz="4" w:space="0" w:color="000000"/>
              <w:bottom w:val="single" w:sz="4" w:space="0" w:color="000000"/>
              <w:right w:val="single" w:sz="4" w:space="0" w:color="000000"/>
            </w:tcBorders>
          </w:tcPr>
          <w:p w14:paraId="142A4C22" w14:textId="77777777" w:rsidR="000607EB" w:rsidRPr="0058424A"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-1.1</w:t>
            </w:r>
          </w:p>
        </w:tc>
        <w:tc>
          <w:tcPr>
            <w:tcW w:w="1695" w:type="dxa"/>
            <w:tcBorders>
              <w:top w:val="single" w:sz="4" w:space="0" w:color="000000"/>
              <w:left w:val="single" w:sz="4" w:space="0" w:color="000000"/>
              <w:bottom w:val="single" w:sz="4" w:space="0" w:color="000000"/>
              <w:right w:val="single" w:sz="4" w:space="0" w:color="000000"/>
            </w:tcBorders>
          </w:tcPr>
          <w:p w14:paraId="142A4C23" w14:textId="77777777" w:rsidR="000607EB" w:rsidRDefault="000607EB" w:rsidP="00171B39">
            <w:r w:rsidRPr="0019504B">
              <w:rPr>
                <w:rFonts w:asciiTheme="minorHAnsi" w:hAnsiTheme="minorHAnsi" w:cstheme="minorHAnsi"/>
                <w:sz w:val="18"/>
                <w:szCs w:val="18"/>
              </w:rPr>
              <w:t>N/A</w:t>
            </w:r>
          </w:p>
        </w:tc>
      </w:tr>
      <w:tr w:rsidR="000607EB" w:rsidRPr="00955B78" w14:paraId="142A4C2C" w14:textId="77777777" w:rsidTr="001003F6">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25" w14:textId="77777777" w:rsidR="000607EB" w:rsidRPr="00052A4B" w:rsidRDefault="000607EB" w:rsidP="00171B39">
            <w:pPr>
              <w:spacing w:after="0"/>
              <w:jc w:val="center"/>
              <w:rPr>
                <w:rFonts w:asciiTheme="minorHAnsi" w:hAnsiTheme="minorHAnsi" w:cstheme="minorHAnsi"/>
                <w:sz w:val="18"/>
                <w:szCs w:val="18"/>
              </w:rPr>
            </w:pPr>
            <w:r w:rsidRPr="00052A4B">
              <w:rPr>
                <w:rFonts w:asciiTheme="minorHAnsi" w:hAnsiTheme="minorHAnsi" w:cstheme="minorHAnsi"/>
                <w:sz w:val="18"/>
                <w:szCs w:val="18"/>
                <w:u w:val="single"/>
              </w:rPr>
              <w:t>INFOSEC-4</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26" w14:textId="77777777" w:rsidR="000607EB" w:rsidRPr="00052A4B" w:rsidRDefault="000607EB" w:rsidP="00171B39">
            <w:pPr>
              <w:spacing w:after="0" w:line="271" w:lineRule="auto"/>
              <w:rPr>
                <w:rFonts w:asciiTheme="minorHAnsi" w:hAnsiTheme="minorHAnsi" w:cstheme="minorHAnsi"/>
                <w:sz w:val="18"/>
                <w:szCs w:val="18"/>
              </w:rPr>
            </w:pPr>
            <w:r w:rsidRPr="00052A4B">
              <w:rPr>
                <w:rFonts w:asciiTheme="minorHAnsi" w:hAnsiTheme="minorHAnsi" w:cstheme="minorHAnsi"/>
                <w:sz w:val="18"/>
                <w:szCs w:val="18"/>
              </w:rPr>
              <w:t>Entities must document and implement operational procedures and measures to ensure information, ICT systems and network tasks are managed securely and consistently, in accordance with the level of required security.  This includes implementing the mandatory ‘Strategies to Mitigate Targeted Cyber Intrusions’ as detailed in the Australian Government Information Security Manual.</w:t>
            </w:r>
            <w:r w:rsidRPr="00052A4B">
              <w:rPr>
                <w:rFonts w:asciiTheme="minorHAnsi" w:hAnsiTheme="minorHAnsi" w:cstheme="minorHAnsi"/>
                <w:sz w:val="18"/>
                <w:szCs w:val="18"/>
                <w:lang w:val="en-US"/>
              </w:rPr>
              <w:t> </w:t>
            </w:r>
          </w:p>
        </w:tc>
        <w:tc>
          <w:tcPr>
            <w:tcW w:w="1194" w:type="dxa"/>
            <w:tcBorders>
              <w:top w:val="single" w:sz="4" w:space="0" w:color="000000"/>
              <w:left w:val="single" w:sz="4" w:space="0" w:color="000000"/>
              <w:bottom w:val="single" w:sz="4" w:space="0" w:color="000000"/>
              <w:right w:val="single" w:sz="4" w:space="0" w:color="000000"/>
            </w:tcBorders>
          </w:tcPr>
          <w:p w14:paraId="142A4C27" w14:textId="77777777" w:rsidR="000607EB" w:rsidRPr="003D0A6B" w:rsidRDefault="000607EB" w:rsidP="00171B39">
            <w:pPr>
              <w:spacing w:after="0" w:line="271" w:lineRule="auto"/>
              <w:jc w:val="center"/>
              <w:rPr>
                <w:rFonts w:asciiTheme="minorHAnsi" w:hAnsiTheme="minorHAnsi" w:cstheme="minorHAnsi"/>
                <w:sz w:val="18"/>
                <w:szCs w:val="18"/>
              </w:rPr>
            </w:pPr>
            <w:r w:rsidRPr="008163EC">
              <w:rPr>
                <w:rFonts w:asciiTheme="minorHAnsi" w:hAnsiTheme="minorHAnsi" w:cstheme="minorHAnsi"/>
                <w:sz w:val="18"/>
                <w:szCs w:val="18"/>
              </w:rPr>
              <w:t>56</w:t>
            </w:r>
          </w:p>
        </w:tc>
        <w:tc>
          <w:tcPr>
            <w:tcW w:w="956" w:type="dxa"/>
            <w:tcBorders>
              <w:top w:val="single" w:sz="4" w:space="0" w:color="000000"/>
              <w:left w:val="single" w:sz="4" w:space="0" w:color="000000"/>
              <w:bottom w:val="single" w:sz="4" w:space="0" w:color="000000"/>
              <w:right w:val="single" w:sz="4" w:space="0" w:color="000000"/>
            </w:tcBorders>
          </w:tcPr>
          <w:p w14:paraId="142A4C28" w14:textId="77777777" w:rsidR="000607EB" w:rsidRPr="003D0A6B" w:rsidRDefault="000607EB" w:rsidP="00171B39">
            <w:pPr>
              <w:spacing w:after="0" w:line="271" w:lineRule="auto"/>
              <w:jc w:val="center"/>
              <w:rPr>
                <w:rFonts w:asciiTheme="minorHAnsi" w:hAnsiTheme="minorHAnsi" w:cstheme="minorHAnsi"/>
                <w:sz w:val="18"/>
                <w:szCs w:val="18"/>
              </w:rPr>
            </w:pPr>
            <w:r w:rsidRPr="008163EC">
              <w:rPr>
                <w:rFonts w:asciiTheme="minorHAnsi" w:hAnsiTheme="minorHAnsi" w:cstheme="minorHAnsi"/>
                <w:sz w:val="18"/>
                <w:szCs w:val="18"/>
              </w:rPr>
              <w:t>60.2%</w:t>
            </w:r>
          </w:p>
        </w:tc>
        <w:tc>
          <w:tcPr>
            <w:tcW w:w="846" w:type="dxa"/>
            <w:gridSpan w:val="2"/>
            <w:tcBorders>
              <w:top w:val="single" w:sz="4" w:space="0" w:color="000000"/>
              <w:left w:val="single" w:sz="4" w:space="0" w:color="000000"/>
              <w:bottom w:val="single" w:sz="4" w:space="0" w:color="000000"/>
              <w:right w:val="single" w:sz="4" w:space="0" w:color="000000"/>
            </w:tcBorders>
          </w:tcPr>
          <w:p w14:paraId="142A4C29"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59.1%</w:t>
            </w:r>
          </w:p>
        </w:tc>
        <w:tc>
          <w:tcPr>
            <w:tcW w:w="1057" w:type="dxa"/>
            <w:tcBorders>
              <w:top w:val="single" w:sz="4" w:space="0" w:color="000000"/>
              <w:left w:val="single" w:sz="4" w:space="0" w:color="000000"/>
              <w:bottom w:val="single" w:sz="4" w:space="0" w:color="000000"/>
              <w:right w:val="single" w:sz="4" w:space="0" w:color="000000"/>
            </w:tcBorders>
          </w:tcPr>
          <w:p w14:paraId="142A4C2A" w14:textId="77777777" w:rsidR="000607EB" w:rsidRPr="0058424A"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1.1</w:t>
            </w:r>
          </w:p>
        </w:tc>
        <w:tc>
          <w:tcPr>
            <w:tcW w:w="1695" w:type="dxa"/>
            <w:tcBorders>
              <w:top w:val="single" w:sz="4" w:space="0" w:color="000000"/>
              <w:left w:val="single" w:sz="4" w:space="0" w:color="000000"/>
              <w:bottom w:val="single" w:sz="4" w:space="0" w:color="000000"/>
              <w:right w:val="single" w:sz="4" w:space="0" w:color="000000"/>
            </w:tcBorders>
          </w:tcPr>
          <w:p w14:paraId="142A4C2B" w14:textId="77777777" w:rsidR="000607EB" w:rsidRDefault="000607EB" w:rsidP="00171B39">
            <w:r w:rsidRPr="0019504B">
              <w:rPr>
                <w:rFonts w:asciiTheme="minorHAnsi" w:hAnsiTheme="minorHAnsi" w:cstheme="minorHAnsi"/>
                <w:sz w:val="18"/>
                <w:szCs w:val="18"/>
              </w:rPr>
              <w:t>N/A</w:t>
            </w:r>
          </w:p>
        </w:tc>
      </w:tr>
      <w:tr w:rsidR="000607EB" w:rsidRPr="00955B78" w14:paraId="142A4C34" w14:textId="77777777" w:rsidTr="001003F6">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2D" w14:textId="77777777" w:rsidR="000607EB" w:rsidRPr="00052A4B" w:rsidRDefault="000607EB" w:rsidP="00171B39">
            <w:pPr>
              <w:spacing w:after="0"/>
              <w:jc w:val="center"/>
              <w:rPr>
                <w:rFonts w:asciiTheme="minorHAnsi" w:hAnsiTheme="minorHAnsi" w:cstheme="minorHAnsi"/>
                <w:sz w:val="18"/>
                <w:szCs w:val="18"/>
              </w:rPr>
            </w:pPr>
            <w:r w:rsidRPr="00052A4B">
              <w:rPr>
                <w:rFonts w:asciiTheme="minorHAnsi" w:hAnsiTheme="minorHAnsi" w:cstheme="minorHAnsi"/>
                <w:sz w:val="18"/>
                <w:szCs w:val="18"/>
                <w:u w:val="single"/>
              </w:rPr>
              <w:t>INFOSEC-5</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2E" w14:textId="77777777" w:rsidR="000607EB" w:rsidRPr="00052A4B" w:rsidRDefault="000607EB" w:rsidP="00171B39">
            <w:pPr>
              <w:spacing w:after="0" w:line="271" w:lineRule="auto"/>
              <w:rPr>
                <w:rFonts w:asciiTheme="minorHAnsi" w:hAnsiTheme="minorHAnsi" w:cstheme="minorHAnsi"/>
                <w:sz w:val="18"/>
                <w:szCs w:val="18"/>
              </w:rPr>
            </w:pPr>
            <w:r w:rsidRPr="00052A4B">
              <w:rPr>
                <w:rFonts w:asciiTheme="minorHAnsi" w:hAnsiTheme="minorHAnsi" w:cstheme="minorHAnsi"/>
                <w:sz w:val="18"/>
                <w:szCs w:val="18"/>
              </w:rPr>
              <w:t>Entities must have in place control measures based on business owner requirements and assessed/accepted risks for controlling access to all information, ICT systems, networks (including remote access), infrastructures and applications.  Entity access control rules must be consistent with entity business requirements and information classification as well as legal obligations.</w:t>
            </w:r>
          </w:p>
        </w:tc>
        <w:tc>
          <w:tcPr>
            <w:tcW w:w="1194" w:type="dxa"/>
            <w:tcBorders>
              <w:top w:val="single" w:sz="4" w:space="0" w:color="000000"/>
              <w:left w:val="single" w:sz="4" w:space="0" w:color="000000"/>
              <w:bottom w:val="single" w:sz="4" w:space="0" w:color="000000"/>
              <w:right w:val="single" w:sz="4" w:space="0" w:color="000000"/>
            </w:tcBorders>
          </w:tcPr>
          <w:p w14:paraId="142A4C2F" w14:textId="77777777" w:rsidR="000607EB" w:rsidRPr="003D0A6B" w:rsidRDefault="000607EB" w:rsidP="00171B39">
            <w:pPr>
              <w:spacing w:after="0" w:line="271" w:lineRule="auto"/>
              <w:jc w:val="center"/>
              <w:rPr>
                <w:rFonts w:asciiTheme="minorHAnsi" w:hAnsiTheme="minorHAnsi" w:cstheme="minorHAnsi"/>
                <w:sz w:val="18"/>
                <w:szCs w:val="18"/>
              </w:rPr>
            </w:pPr>
            <w:r w:rsidRPr="008163EC">
              <w:rPr>
                <w:rFonts w:asciiTheme="minorHAnsi" w:hAnsiTheme="minorHAnsi" w:cstheme="minorHAnsi"/>
                <w:sz w:val="18"/>
                <w:szCs w:val="18"/>
              </w:rPr>
              <w:t>76</w:t>
            </w:r>
          </w:p>
        </w:tc>
        <w:tc>
          <w:tcPr>
            <w:tcW w:w="956" w:type="dxa"/>
            <w:tcBorders>
              <w:top w:val="single" w:sz="4" w:space="0" w:color="000000"/>
              <w:left w:val="single" w:sz="4" w:space="0" w:color="000000"/>
              <w:bottom w:val="single" w:sz="4" w:space="0" w:color="000000"/>
              <w:right w:val="single" w:sz="4" w:space="0" w:color="000000"/>
            </w:tcBorders>
          </w:tcPr>
          <w:p w14:paraId="142A4C30" w14:textId="77777777" w:rsidR="000607EB" w:rsidRPr="003D0A6B" w:rsidRDefault="000607EB" w:rsidP="00171B39">
            <w:pPr>
              <w:spacing w:after="0" w:line="271" w:lineRule="auto"/>
              <w:jc w:val="center"/>
              <w:rPr>
                <w:rFonts w:asciiTheme="minorHAnsi" w:hAnsiTheme="minorHAnsi" w:cstheme="minorHAnsi"/>
                <w:sz w:val="18"/>
                <w:szCs w:val="18"/>
              </w:rPr>
            </w:pPr>
            <w:r w:rsidRPr="00DF5EE8">
              <w:rPr>
                <w:rFonts w:asciiTheme="minorHAnsi" w:hAnsiTheme="minorHAnsi" w:cstheme="minorHAnsi"/>
                <w:sz w:val="18"/>
                <w:szCs w:val="18"/>
              </w:rPr>
              <w:t>81.7%</w:t>
            </w:r>
          </w:p>
        </w:tc>
        <w:tc>
          <w:tcPr>
            <w:tcW w:w="846" w:type="dxa"/>
            <w:gridSpan w:val="2"/>
            <w:tcBorders>
              <w:top w:val="single" w:sz="4" w:space="0" w:color="000000"/>
              <w:left w:val="single" w:sz="4" w:space="0" w:color="000000"/>
              <w:bottom w:val="single" w:sz="4" w:space="0" w:color="000000"/>
              <w:right w:val="single" w:sz="4" w:space="0" w:color="000000"/>
            </w:tcBorders>
          </w:tcPr>
          <w:p w14:paraId="142A4C31"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83.9%</w:t>
            </w:r>
          </w:p>
        </w:tc>
        <w:tc>
          <w:tcPr>
            <w:tcW w:w="1057" w:type="dxa"/>
            <w:tcBorders>
              <w:top w:val="single" w:sz="4" w:space="0" w:color="000000"/>
              <w:left w:val="single" w:sz="4" w:space="0" w:color="000000"/>
              <w:bottom w:val="single" w:sz="4" w:space="0" w:color="000000"/>
              <w:right w:val="single" w:sz="4" w:space="0" w:color="000000"/>
            </w:tcBorders>
          </w:tcPr>
          <w:p w14:paraId="142A4C32" w14:textId="77777777" w:rsidR="000607EB" w:rsidRPr="0058424A"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-2.2</w:t>
            </w:r>
          </w:p>
        </w:tc>
        <w:tc>
          <w:tcPr>
            <w:tcW w:w="1695" w:type="dxa"/>
            <w:tcBorders>
              <w:top w:val="single" w:sz="4" w:space="0" w:color="000000"/>
              <w:left w:val="single" w:sz="4" w:space="0" w:color="000000"/>
              <w:bottom w:val="single" w:sz="4" w:space="0" w:color="000000"/>
              <w:right w:val="single" w:sz="4" w:space="0" w:color="000000"/>
            </w:tcBorders>
          </w:tcPr>
          <w:p w14:paraId="142A4C33" w14:textId="77777777" w:rsidR="000607EB" w:rsidRDefault="000607EB" w:rsidP="00171B39">
            <w:r w:rsidRPr="00012B82">
              <w:rPr>
                <w:rFonts w:asciiTheme="minorHAnsi" w:hAnsiTheme="minorHAnsi" w:cstheme="minorHAnsi"/>
                <w:sz w:val="18"/>
                <w:szCs w:val="18"/>
              </w:rPr>
              <w:t>N/A</w:t>
            </w:r>
          </w:p>
        </w:tc>
      </w:tr>
      <w:tr w:rsidR="000607EB" w:rsidRPr="00955B78" w14:paraId="142A4C3C" w14:textId="77777777" w:rsidTr="001003F6">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35" w14:textId="77777777" w:rsidR="000607EB" w:rsidRPr="00052A4B" w:rsidRDefault="000607EB" w:rsidP="00171B39">
            <w:pPr>
              <w:spacing w:after="0"/>
              <w:jc w:val="center"/>
              <w:rPr>
                <w:rFonts w:asciiTheme="minorHAnsi" w:hAnsiTheme="minorHAnsi" w:cstheme="minorHAnsi"/>
                <w:sz w:val="18"/>
                <w:szCs w:val="18"/>
              </w:rPr>
            </w:pPr>
            <w:r w:rsidRPr="00052A4B">
              <w:rPr>
                <w:rFonts w:asciiTheme="minorHAnsi" w:hAnsiTheme="minorHAnsi" w:cstheme="minorHAnsi"/>
                <w:sz w:val="18"/>
                <w:szCs w:val="18"/>
                <w:u w:val="single"/>
              </w:rPr>
              <w:t>INFOSEC-6</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36" w14:textId="77777777" w:rsidR="000607EB" w:rsidRPr="00052A4B" w:rsidRDefault="000607EB" w:rsidP="00171B39">
            <w:pPr>
              <w:spacing w:after="0" w:line="271" w:lineRule="auto"/>
              <w:rPr>
                <w:rFonts w:asciiTheme="minorHAnsi" w:hAnsiTheme="minorHAnsi" w:cstheme="minorHAnsi"/>
                <w:sz w:val="18"/>
                <w:szCs w:val="18"/>
              </w:rPr>
            </w:pPr>
            <w:r w:rsidRPr="00052A4B">
              <w:rPr>
                <w:rFonts w:asciiTheme="minorHAnsi" w:hAnsiTheme="minorHAnsi" w:cstheme="minorHAnsi"/>
                <w:sz w:val="18"/>
                <w:szCs w:val="18"/>
              </w:rPr>
              <w:t>Entities must have in place security measures during all stages of ICT system development, as well as when new ICT systems are implemented into the operational environment. Such measures must match the assessed security risk of the information holdings contained within, or passing across, ICT networks infrastructures and applications.</w:t>
            </w:r>
          </w:p>
        </w:tc>
        <w:tc>
          <w:tcPr>
            <w:tcW w:w="1194" w:type="dxa"/>
            <w:tcBorders>
              <w:top w:val="single" w:sz="4" w:space="0" w:color="000000"/>
              <w:left w:val="single" w:sz="4" w:space="0" w:color="000000"/>
              <w:bottom w:val="single" w:sz="4" w:space="0" w:color="000000"/>
              <w:right w:val="single" w:sz="4" w:space="0" w:color="000000"/>
            </w:tcBorders>
          </w:tcPr>
          <w:p w14:paraId="142A4C37" w14:textId="77777777" w:rsidR="000607EB" w:rsidRPr="003D0A6B" w:rsidRDefault="000607EB" w:rsidP="00171B39">
            <w:pPr>
              <w:spacing w:after="0" w:line="271" w:lineRule="auto"/>
              <w:jc w:val="center"/>
              <w:rPr>
                <w:rFonts w:asciiTheme="minorHAnsi" w:hAnsiTheme="minorHAnsi" w:cstheme="minorHAnsi"/>
                <w:sz w:val="18"/>
                <w:szCs w:val="18"/>
              </w:rPr>
            </w:pPr>
            <w:r w:rsidRPr="00FF36D3">
              <w:rPr>
                <w:rFonts w:asciiTheme="minorHAnsi" w:hAnsiTheme="minorHAnsi" w:cstheme="minorHAnsi"/>
                <w:sz w:val="18"/>
                <w:szCs w:val="18"/>
              </w:rPr>
              <w:t>81</w:t>
            </w:r>
          </w:p>
        </w:tc>
        <w:tc>
          <w:tcPr>
            <w:tcW w:w="956" w:type="dxa"/>
            <w:tcBorders>
              <w:top w:val="single" w:sz="4" w:space="0" w:color="000000"/>
              <w:left w:val="single" w:sz="4" w:space="0" w:color="000000"/>
              <w:bottom w:val="single" w:sz="4" w:space="0" w:color="000000"/>
              <w:right w:val="single" w:sz="4" w:space="0" w:color="000000"/>
            </w:tcBorders>
          </w:tcPr>
          <w:p w14:paraId="142A4C38"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87.</w:t>
            </w:r>
            <w:r>
              <w:rPr>
                <w:rFonts w:asciiTheme="minorHAnsi" w:hAnsiTheme="minorHAnsi" w:cstheme="minorHAnsi"/>
                <w:sz w:val="18"/>
                <w:szCs w:val="18"/>
              </w:rPr>
              <w:t>1</w:t>
            </w:r>
            <w:r w:rsidRPr="003D0A6B">
              <w:rPr>
                <w:rFonts w:asciiTheme="minorHAnsi" w:hAnsiTheme="minorHAnsi" w:cstheme="minorHAnsi"/>
                <w:sz w:val="18"/>
                <w:szCs w:val="18"/>
              </w:rPr>
              <w:t>%</w:t>
            </w:r>
          </w:p>
        </w:tc>
        <w:tc>
          <w:tcPr>
            <w:tcW w:w="846" w:type="dxa"/>
            <w:gridSpan w:val="2"/>
            <w:tcBorders>
              <w:top w:val="single" w:sz="4" w:space="0" w:color="000000"/>
              <w:left w:val="single" w:sz="4" w:space="0" w:color="000000"/>
              <w:bottom w:val="single" w:sz="4" w:space="0" w:color="000000"/>
              <w:right w:val="single" w:sz="4" w:space="0" w:color="000000"/>
            </w:tcBorders>
          </w:tcPr>
          <w:p w14:paraId="142A4C39"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90.3%</w:t>
            </w:r>
          </w:p>
        </w:tc>
        <w:tc>
          <w:tcPr>
            <w:tcW w:w="1057" w:type="dxa"/>
            <w:tcBorders>
              <w:top w:val="single" w:sz="4" w:space="0" w:color="000000"/>
              <w:left w:val="single" w:sz="4" w:space="0" w:color="000000"/>
              <w:bottom w:val="single" w:sz="4" w:space="0" w:color="000000"/>
              <w:right w:val="single" w:sz="4" w:space="0" w:color="000000"/>
            </w:tcBorders>
          </w:tcPr>
          <w:p w14:paraId="142A4C3A" w14:textId="77777777" w:rsidR="000607EB" w:rsidRPr="0058424A"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-3.2</w:t>
            </w:r>
          </w:p>
        </w:tc>
        <w:tc>
          <w:tcPr>
            <w:tcW w:w="1695" w:type="dxa"/>
            <w:tcBorders>
              <w:top w:val="single" w:sz="4" w:space="0" w:color="000000"/>
              <w:left w:val="single" w:sz="4" w:space="0" w:color="000000"/>
              <w:bottom w:val="single" w:sz="4" w:space="0" w:color="000000"/>
              <w:right w:val="single" w:sz="4" w:space="0" w:color="000000"/>
            </w:tcBorders>
          </w:tcPr>
          <w:p w14:paraId="142A4C3B" w14:textId="77777777" w:rsidR="000607EB" w:rsidRDefault="000607EB" w:rsidP="00171B39">
            <w:r w:rsidRPr="00012B82">
              <w:rPr>
                <w:rFonts w:asciiTheme="minorHAnsi" w:hAnsiTheme="minorHAnsi" w:cstheme="minorHAnsi"/>
                <w:sz w:val="18"/>
                <w:szCs w:val="18"/>
              </w:rPr>
              <w:t>N/A</w:t>
            </w:r>
          </w:p>
        </w:tc>
      </w:tr>
      <w:tr w:rsidR="000607EB" w:rsidRPr="00955B78" w14:paraId="142A4C44" w14:textId="77777777" w:rsidTr="000607EB">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3D" w14:textId="77777777" w:rsidR="000607EB" w:rsidRPr="00052A4B" w:rsidRDefault="000607EB" w:rsidP="00171B39">
            <w:pPr>
              <w:spacing w:after="0"/>
              <w:jc w:val="center"/>
              <w:rPr>
                <w:rFonts w:asciiTheme="minorHAnsi" w:hAnsiTheme="minorHAnsi" w:cstheme="minorHAnsi"/>
                <w:sz w:val="18"/>
                <w:szCs w:val="18"/>
              </w:rPr>
            </w:pPr>
            <w:r w:rsidRPr="00052A4B">
              <w:rPr>
                <w:rFonts w:asciiTheme="minorHAnsi" w:hAnsiTheme="minorHAnsi" w:cstheme="minorHAnsi"/>
                <w:bCs/>
                <w:sz w:val="18"/>
                <w:szCs w:val="18"/>
                <w:u w:val="single"/>
              </w:rPr>
              <w:t>INFOSEC-7</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3E" w14:textId="77777777" w:rsidR="000607EB" w:rsidRPr="00052A4B" w:rsidRDefault="000607EB" w:rsidP="000607EB">
            <w:pPr>
              <w:spacing w:after="0" w:line="271" w:lineRule="auto"/>
              <w:rPr>
                <w:rFonts w:asciiTheme="minorHAnsi" w:hAnsiTheme="minorHAnsi" w:cstheme="minorHAnsi"/>
                <w:bCs/>
                <w:sz w:val="18"/>
                <w:szCs w:val="18"/>
              </w:rPr>
            </w:pPr>
            <w:r w:rsidRPr="00052A4B">
              <w:rPr>
                <w:rFonts w:asciiTheme="minorHAnsi" w:hAnsiTheme="minorHAnsi" w:cstheme="minorHAnsi"/>
                <w:bCs/>
                <w:sz w:val="18"/>
                <w:szCs w:val="18"/>
              </w:rPr>
              <w:t xml:space="preserve">Entities must ensure that entity information security measures for all information processes, ICT systems and infrastructure adhere to any legislative or regulatory obligations under which the entity operates. </w:t>
            </w:r>
          </w:p>
        </w:tc>
        <w:tc>
          <w:tcPr>
            <w:tcW w:w="1194" w:type="dxa"/>
            <w:tcBorders>
              <w:top w:val="single" w:sz="4" w:space="0" w:color="000000"/>
              <w:left w:val="single" w:sz="4" w:space="0" w:color="000000"/>
              <w:bottom w:val="single" w:sz="4" w:space="0" w:color="000000"/>
              <w:right w:val="single" w:sz="4" w:space="0" w:color="000000"/>
            </w:tcBorders>
          </w:tcPr>
          <w:p w14:paraId="142A4C3F" w14:textId="77777777" w:rsidR="000607EB" w:rsidRPr="003D0A6B"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89</w:t>
            </w:r>
          </w:p>
        </w:tc>
        <w:tc>
          <w:tcPr>
            <w:tcW w:w="956" w:type="dxa"/>
            <w:tcBorders>
              <w:top w:val="single" w:sz="4" w:space="0" w:color="000000"/>
              <w:left w:val="single" w:sz="4" w:space="0" w:color="000000"/>
              <w:bottom w:val="single" w:sz="4" w:space="0" w:color="000000"/>
              <w:right w:val="single" w:sz="4" w:space="0" w:color="000000"/>
            </w:tcBorders>
          </w:tcPr>
          <w:p w14:paraId="142A4C40"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95.7%</w:t>
            </w:r>
          </w:p>
        </w:tc>
        <w:tc>
          <w:tcPr>
            <w:tcW w:w="846" w:type="dxa"/>
            <w:gridSpan w:val="2"/>
            <w:tcBorders>
              <w:top w:val="single" w:sz="4" w:space="0" w:color="000000"/>
              <w:left w:val="single" w:sz="4" w:space="0" w:color="000000"/>
              <w:bottom w:val="single" w:sz="4" w:space="0" w:color="000000"/>
              <w:right w:val="single" w:sz="4" w:space="0" w:color="000000"/>
            </w:tcBorders>
          </w:tcPr>
          <w:p w14:paraId="142A4C41"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93.5%</w:t>
            </w:r>
          </w:p>
        </w:tc>
        <w:tc>
          <w:tcPr>
            <w:tcW w:w="1057" w:type="dxa"/>
            <w:tcBorders>
              <w:top w:val="single" w:sz="4" w:space="0" w:color="000000"/>
              <w:left w:val="single" w:sz="4" w:space="0" w:color="000000"/>
              <w:bottom w:val="single" w:sz="4" w:space="0" w:color="000000"/>
              <w:right w:val="single" w:sz="4" w:space="0" w:color="000000"/>
            </w:tcBorders>
          </w:tcPr>
          <w:p w14:paraId="142A4C42" w14:textId="77777777" w:rsidR="000607EB" w:rsidRPr="0058424A"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2.2</w:t>
            </w:r>
          </w:p>
        </w:tc>
        <w:tc>
          <w:tcPr>
            <w:tcW w:w="1695" w:type="dxa"/>
            <w:tcBorders>
              <w:top w:val="single" w:sz="4" w:space="0" w:color="000000"/>
              <w:left w:val="single" w:sz="4" w:space="0" w:color="000000"/>
              <w:bottom w:val="single" w:sz="4" w:space="0" w:color="000000"/>
              <w:right w:val="single" w:sz="4" w:space="0" w:color="000000"/>
            </w:tcBorders>
          </w:tcPr>
          <w:p w14:paraId="142A4C43" w14:textId="77777777" w:rsidR="000607EB" w:rsidRDefault="000607EB" w:rsidP="00171B39">
            <w:r w:rsidRPr="00012B82">
              <w:rPr>
                <w:rFonts w:asciiTheme="minorHAnsi" w:hAnsiTheme="minorHAnsi" w:cstheme="minorHAnsi"/>
                <w:sz w:val="18"/>
                <w:szCs w:val="18"/>
              </w:rPr>
              <w:t>N/A</w:t>
            </w:r>
          </w:p>
        </w:tc>
      </w:tr>
      <w:tr w:rsidR="000607EB" w:rsidRPr="00955B78" w14:paraId="142A4C46" w14:textId="77777777" w:rsidTr="000607EB">
        <w:tc>
          <w:tcPr>
            <w:tcW w:w="10534" w:type="dxa"/>
            <w:gridSpan w:val="8"/>
            <w:tcBorders>
              <w:top w:val="single" w:sz="4" w:space="0" w:color="000000"/>
              <w:left w:val="single" w:sz="4" w:space="0" w:color="000000"/>
              <w:bottom w:val="single" w:sz="4" w:space="0" w:color="000000"/>
              <w:right w:val="single" w:sz="4" w:space="0" w:color="000000"/>
            </w:tcBorders>
            <w:shd w:val="clear" w:color="auto" w:fill="C6D9F1"/>
          </w:tcPr>
          <w:p w14:paraId="142A4C45" w14:textId="77777777" w:rsidR="000607EB" w:rsidRDefault="000607EB" w:rsidP="000607EB">
            <w:pPr>
              <w:spacing w:after="0" w:line="271" w:lineRule="auto"/>
              <w:rPr>
                <w:rFonts w:asciiTheme="minorHAnsi" w:hAnsiTheme="minorHAnsi" w:cstheme="minorHAnsi"/>
                <w:sz w:val="18"/>
                <w:szCs w:val="18"/>
              </w:rPr>
            </w:pPr>
            <w:r>
              <w:rPr>
                <w:rFonts w:asciiTheme="minorHAnsi" w:eastAsia="Times New Roman" w:hAnsiTheme="minorHAnsi" w:cstheme="minorHAnsi"/>
                <w:b/>
                <w:color w:val="000000" w:themeColor="text1"/>
                <w:sz w:val="18"/>
                <w:szCs w:val="18"/>
              </w:rPr>
              <w:t>Physical security</w:t>
            </w:r>
          </w:p>
        </w:tc>
      </w:tr>
      <w:tr w:rsidR="000607EB" w:rsidRPr="00955B78" w14:paraId="142A4C4E" w14:textId="77777777" w:rsidTr="000607EB">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47" w14:textId="77777777" w:rsidR="000607EB" w:rsidRPr="00052A4B" w:rsidRDefault="000607EB" w:rsidP="00171B39">
            <w:pPr>
              <w:spacing w:after="0"/>
              <w:jc w:val="center"/>
              <w:rPr>
                <w:rFonts w:asciiTheme="minorHAnsi" w:hAnsiTheme="minorHAnsi" w:cstheme="minorHAnsi"/>
                <w:sz w:val="18"/>
                <w:szCs w:val="18"/>
              </w:rPr>
            </w:pPr>
            <w:r w:rsidRPr="00052A4B">
              <w:rPr>
                <w:rFonts w:asciiTheme="minorHAnsi" w:hAnsiTheme="minorHAnsi" w:cstheme="minorHAnsi"/>
                <w:bCs/>
                <w:sz w:val="18"/>
                <w:szCs w:val="18"/>
                <w:u w:val="single"/>
              </w:rPr>
              <w:t>PHYSEC-1</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48" w14:textId="77777777" w:rsidR="000607EB" w:rsidRPr="00052A4B" w:rsidRDefault="000607EB" w:rsidP="00171B39">
            <w:pPr>
              <w:spacing w:after="0" w:line="271" w:lineRule="auto"/>
              <w:rPr>
                <w:rFonts w:asciiTheme="minorHAnsi" w:hAnsiTheme="minorHAnsi" w:cstheme="minorHAnsi"/>
                <w:bCs/>
                <w:sz w:val="18"/>
                <w:szCs w:val="18"/>
              </w:rPr>
            </w:pPr>
            <w:r w:rsidRPr="00052A4B">
              <w:rPr>
                <w:rFonts w:asciiTheme="minorHAnsi" w:hAnsiTheme="minorHAnsi" w:cstheme="minorHAnsi"/>
                <w:bCs/>
                <w:sz w:val="18"/>
                <w:szCs w:val="18"/>
              </w:rPr>
              <w:t>Entity heads must provide clear direction on physical security through the development and implementation of an entity physical security policy</w:t>
            </w:r>
            <w:r w:rsidRPr="00052A4B">
              <w:rPr>
                <w:rFonts w:asciiTheme="minorHAnsi" w:hAnsiTheme="minorHAnsi" w:cstheme="minorHAnsi"/>
                <w:sz w:val="18"/>
                <w:szCs w:val="18"/>
              </w:rPr>
              <w:t>, and address entity physical security requirements as part of the entity security plan.</w:t>
            </w:r>
          </w:p>
        </w:tc>
        <w:tc>
          <w:tcPr>
            <w:tcW w:w="1194" w:type="dxa"/>
            <w:tcBorders>
              <w:top w:val="single" w:sz="4" w:space="0" w:color="000000"/>
              <w:left w:val="single" w:sz="4" w:space="0" w:color="000000"/>
              <w:bottom w:val="single" w:sz="4" w:space="0" w:color="000000"/>
              <w:right w:val="single" w:sz="4" w:space="0" w:color="000000"/>
            </w:tcBorders>
          </w:tcPr>
          <w:p w14:paraId="142A4C49" w14:textId="77777777" w:rsidR="000607EB" w:rsidRPr="007B7860" w:rsidRDefault="000607EB" w:rsidP="00171B39">
            <w:pPr>
              <w:spacing w:after="0" w:line="271" w:lineRule="auto"/>
              <w:jc w:val="center"/>
              <w:rPr>
                <w:rFonts w:asciiTheme="minorHAnsi" w:hAnsiTheme="minorHAnsi" w:cstheme="minorHAnsi"/>
                <w:sz w:val="18"/>
                <w:szCs w:val="18"/>
              </w:rPr>
            </w:pPr>
            <w:r w:rsidRPr="00DF5EE8">
              <w:rPr>
                <w:rFonts w:asciiTheme="minorHAnsi" w:hAnsiTheme="minorHAnsi" w:cstheme="minorHAnsi"/>
                <w:sz w:val="18"/>
                <w:szCs w:val="18"/>
              </w:rPr>
              <w:t>80</w:t>
            </w:r>
          </w:p>
        </w:tc>
        <w:tc>
          <w:tcPr>
            <w:tcW w:w="956" w:type="dxa"/>
            <w:tcBorders>
              <w:top w:val="single" w:sz="4" w:space="0" w:color="000000"/>
              <w:left w:val="single" w:sz="4" w:space="0" w:color="000000"/>
              <w:bottom w:val="single" w:sz="4" w:space="0" w:color="000000"/>
              <w:right w:val="single" w:sz="4" w:space="0" w:color="000000"/>
            </w:tcBorders>
          </w:tcPr>
          <w:p w14:paraId="142A4C4A" w14:textId="77777777" w:rsidR="000607EB" w:rsidRPr="007B7860" w:rsidRDefault="000607EB" w:rsidP="00171B39">
            <w:pPr>
              <w:spacing w:after="0" w:line="271" w:lineRule="auto"/>
              <w:jc w:val="center"/>
              <w:rPr>
                <w:rFonts w:asciiTheme="minorHAnsi" w:hAnsiTheme="minorHAnsi" w:cstheme="minorHAnsi"/>
                <w:sz w:val="18"/>
                <w:szCs w:val="18"/>
              </w:rPr>
            </w:pPr>
            <w:r w:rsidRPr="00DF5EE8">
              <w:rPr>
                <w:rFonts w:asciiTheme="minorHAnsi" w:hAnsiTheme="minorHAnsi" w:cstheme="minorHAnsi"/>
                <w:sz w:val="18"/>
                <w:szCs w:val="18"/>
              </w:rPr>
              <w:t>86.0%</w:t>
            </w:r>
          </w:p>
        </w:tc>
        <w:tc>
          <w:tcPr>
            <w:tcW w:w="846" w:type="dxa"/>
            <w:gridSpan w:val="2"/>
            <w:tcBorders>
              <w:top w:val="single" w:sz="4" w:space="0" w:color="000000"/>
              <w:left w:val="single" w:sz="4" w:space="0" w:color="000000"/>
              <w:bottom w:val="single" w:sz="4" w:space="0" w:color="000000"/>
              <w:right w:val="single" w:sz="4" w:space="0" w:color="000000"/>
            </w:tcBorders>
          </w:tcPr>
          <w:p w14:paraId="142A4C4B" w14:textId="77777777" w:rsidR="000607EB" w:rsidRPr="007B7860" w:rsidRDefault="000607EB" w:rsidP="00171B39">
            <w:pPr>
              <w:spacing w:after="0" w:line="271" w:lineRule="auto"/>
              <w:jc w:val="center"/>
              <w:rPr>
                <w:rFonts w:asciiTheme="minorHAnsi" w:hAnsiTheme="minorHAnsi" w:cstheme="minorHAnsi"/>
                <w:sz w:val="18"/>
                <w:szCs w:val="18"/>
              </w:rPr>
            </w:pPr>
            <w:r w:rsidRPr="007B7860">
              <w:rPr>
                <w:rFonts w:asciiTheme="minorHAnsi" w:hAnsiTheme="minorHAnsi" w:cstheme="minorHAnsi"/>
                <w:sz w:val="18"/>
                <w:szCs w:val="18"/>
              </w:rPr>
              <w:t>90.3%</w:t>
            </w:r>
          </w:p>
        </w:tc>
        <w:tc>
          <w:tcPr>
            <w:tcW w:w="1057" w:type="dxa"/>
            <w:tcBorders>
              <w:top w:val="single" w:sz="4" w:space="0" w:color="000000"/>
              <w:left w:val="single" w:sz="4" w:space="0" w:color="000000"/>
              <w:bottom w:val="single" w:sz="4" w:space="0" w:color="000000"/>
              <w:right w:val="single" w:sz="4" w:space="0" w:color="000000"/>
            </w:tcBorders>
          </w:tcPr>
          <w:p w14:paraId="142A4C4C" w14:textId="77777777" w:rsidR="000607EB" w:rsidRPr="0058424A" w:rsidRDefault="000607EB" w:rsidP="00171B39">
            <w:pPr>
              <w:spacing w:after="0" w:line="271" w:lineRule="auto"/>
              <w:jc w:val="center"/>
              <w:rPr>
                <w:rFonts w:asciiTheme="minorHAnsi" w:hAnsiTheme="minorHAnsi" w:cstheme="minorHAnsi"/>
                <w:sz w:val="18"/>
                <w:szCs w:val="18"/>
              </w:rPr>
            </w:pPr>
            <w:r w:rsidRPr="0058424A">
              <w:rPr>
                <w:rFonts w:asciiTheme="minorHAnsi" w:hAnsiTheme="minorHAnsi" w:cstheme="minorHAnsi"/>
                <w:sz w:val="18"/>
                <w:szCs w:val="18"/>
              </w:rPr>
              <w:t>-</w:t>
            </w:r>
            <w:r>
              <w:rPr>
                <w:rFonts w:asciiTheme="minorHAnsi" w:hAnsiTheme="minorHAnsi" w:cstheme="minorHAnsi"/>
                <w:sz w:val="18"/>
                <w:szCs w:val="18"/>
              </w:rPr>
              <w:t>4</w:t>
            </w:r>
            <w:r w:rsidRPr="0058424A">
              <w:rPr>
                <w:rFonts w:asciiTheme="minorHAnsi" w:hAnsiTheme="minorHAnsi" w:cstheme="minorHAnsi"/>
                <w:sz w:val="18"/>
                <w:szCs w:val="18"/>
              </w:rPr>
              <w:t>.</w:t>
            </w:r>
            <w:r>
              <w:rPr>
                <w:rFonts w:asciiTheme="minorHAnsi" w:hAnsiTheme="minorHAnsi" w:cstheme="minorHAnsi"/>
                <w:sz w:val="18"/>
                <w:szCs w:val="18"/>
              </w:rPr>
              <w:t>3</w:t>
            </w:r>
          </w:p>
        </w:tc>
        <w:tc>
          <w:tcPr>
            <w:tcW w:w="1695" w:type="dxa"/>
            <w:tcBorders>
              <w:top w:val="single" w:sz="4" w:space="0" w:color="000000"/>
              <w:left w:val="single" w:sz="4" w:space="0" w:color="000000"/>
              <w:bottom w:val="single" w:sz="4" w:space="0" w:color="000000"/>
              <w:right w:val="single" w:sz="4" w:space="0" w:color="000000"/>
            </w:tcBorders>
          </w:tcPr>
          <w:p w14:paraId="142A4C4D" w14:textId="77777777" w:rsidR="000607EB" w:rsidRDefault="000607EB" w:rsidP="00171B39">
            <w:r w:rsidRPr="00766336">
              <w:rPr>
                <w:rFonts w:asciiTheme="minorHAnsi" w:hAnsiTheme="minorHAnsi" w:cstheme="minorHAnsi"/>
                <w:sz w:val="18"/>
                <w:szCs w:val="18"/>
              </w:rPr>
              <w:t>N/A</w:t>
            </w:r>
          </w:p>
        </w:tc>
      </w:tr>
      <w:tr w:rsidR="000607EB" w:rsidRPr="00955B78" w14:paraId="142A4C5A" w14:textId="77777777" w:rsidTr="000607EB">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4F" w14:textId="77777777" w:rsidR="000607EB" w:rsidRPr="00052A4B" w:rsidRDefault="000607EB" w:rsidP="00171B39">
            <w:pPr>
              <w:spacing w:after="0"/>
              <w:jc w:val="center"/>
              <w:rPr>
                <w:rFonts w:asciiTheme="minorHAnsi" w:hAnsiTheme="minorHAnsi" w:cstheme="minorHAnsi"/>
                <w:sz w:val="18"/>
                <w:szCs w:val="18"/>
              </w:rPr>
            </w:pPr>
            <w:r w:rsidRPr="00052A4B">
              <w:rPr>
                <w:rFonts w:asciiTheme="minorHAnsi" w:hAnsiTheme="minorHAnsi" w:cstheme="minorHAnsi"/>
                <w:bCs/>
                <w:sz w:val="18"/>
                <w:szCs w:val="18"/>
                <w:u w:val="single"/>
              </w:rPr>
              <w:lastRenderedPageBreak/>
              <w:t>PHYSEC-2</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50" w14:textId="77777777" w:rsidR="000607EB" w:rsidRPr="00052A4B" w:rsidRDefault="000607EB" w:rsidP="00171B39">
            <w:pPr>
              <w:widowControl w:val="0"/>
              <w:spacing w:after="0"/>
              <w:rPr>
                <w:rFonts w:asciiTheme="minorHAnsi" w:hAnsiTheme="minorHAnsi" w:cstheme="minorHAnsi"/>
                <w:bCs/>
                <w:sz w:val="18"/>
                <w:szCs w:val="18"/>
              </w:rPr>
            </w:pPr>
            <w:r w:rsidRPr="00052A4B">
              <w:rPr>
                <w:rFonts w:asciiTheme="minorHAnsi" w:hAnsiTheme="minorHAnsi" w:cstheme="minorHAnsi"/>
                <w:bCs/>
                <w:sz w:val="18"/>
                <w:szCs w:val="18"/>
              </w:rPr>
              <w:t>Entities must have in place policies and procedures to:</w:t>
            </w:r>
          </w:p>
          <w:p w14:paraId="142A4C51" w14:textId="77777777" w:rsidR="000607EB" w:rsidRPr="00052A4B" w:rsidRDefault="000607EB" w:rsidP="00171B39">
            <w:pPr>
              <w:pStyle w:val="ListParagraph"/>
              <w:widowControl w:val="0"/>
              <w:numPr>
                <w:ilvl w:val="0"/>
                <w:numId w:val="9"/>
              </w:numPr>
              <w:spacing w:after="0" w:line="240" w:lineRule="auto"/>
              <w:ind w:left="357" w:hanging="357"/>
              <w:contextualSpacing w:val="0"/>
              <w:rPr>
                <w:rFonts w:asciiTheme="minorHAnsi" w:hAnsiTheme="minorHAnsi" w:cstheme="minorHAnsi"/>
                <w:bCs/>
                <w:sz w:val="18"/>
                <w:szCs w:val="18"/>
              </w:rPr>
            </w:pPr>
            <w:r w:rsidRPr="00052A4B">
              <w:rPr>
                <w:rFonts w:asciiTheme="minorHAnsi" w:hAnsiTheme="minorHAnsi" w:cstheme="minorHAnsi"/>
                <w:bCs/>
                <w:sz w:val="18"/>
                <w:szCs w:val="18"/>
              </w:rPr>
              <w:t>identify, protect and support employees under threat of violence, based on a threat and risk assessment of specific situations. In certain cases, entities may have to extend protection and support to family members and others</w:t>
            </w:r>
          </w:p>
          <w:p w14:paraId="142A4C52" w14:textId="77777777" w:rsidR="000607EB" w:rsidRPr="00052A4B" w:rsidRDefault="000607EB" w:rsidP="00171B39">
            <w:pPr>
              <w:pStyle w:val="ListParagraph"/>
              <w:widowControl w:val="0"/>
              <w:numPr>
                <w:ilvl w:val="0"/>
                <w:numId w:val="9"/>
              </w:numPr>
              <w:spacing w:after="0" w:line="240" w:lineRule="auto"/>
              <w:ind w:left="357" w:hanging="357"/>
              <w:contextualSpacing w:val="0"/>
              <w:rPr>
                <w:rFonts w:asciiTheme="minorHAnsi" w:hAnsiTheme="minorHAnsi" w:cstheme="minorHAnsi"/>
                <w:bCs/>
                <w:sz w:val="18"/>
                <w:szCs w:val="18"/>
              </w:rPr>
            </w:pPr>
            <w:r w:rsidRPr="00052A4B">
              <w:rPr>
                <w:rFonts w:asciiTheme="minorHAnsi" w:hAnsiTheme="minorHAnsi" w:cstheme="minorHAnsi"/>
                <w:bCs/>
                <w:sz w:val="18"/>
                <w:szCs w:val="18"/>
              </w:rPr>
              <w:t>report incidents to management, human resources, security and law enforcement authorities, as appropriate</w:t>
            </w:r>
          </w:p>
          <w:p w14:paraId="142A4C53" w14:textId="77777777" w:rsidR="000607EB" w:rsidRPr="00052A4B" w:rsidRDefault="000607EB" w:rsidP="00171B39">
            <w:pPr>
              <w:pStyle w:val="ListParagraph"/>
              <w:widowControl w:val="0"/>
              <w:numPr>
                <w:ilvl w:val="0"/>
                <w:numId w:val="9"/>
              </w:numPr>
              <w:spacing w:after="0" w:line="240" w:lineRule="auto"/>
              <w:ind w:left="357" w:hanging="357"/>
              <w:contextualSpacing w:val="0"/>
              <w:rPr>
                <w:rFonts w:asciiTheme="minorHAnsi" w:hAnsiTheme="minorHAnsi" w:cstheme="minorHAnsi"/>
                <w:bCs/>
                <w:sz w:val="18"/>
                <w:szCs w:val="18"/>
              </w:rPr>
            </w:pPr>
            <w:r w:rsidRPr="00052A4B">
              <w:rPr>
                <w:rFonts w:asciiTheme="minorHAnsi" w:hAnsiTheme="minorHAnsi" w:cstheme="minorHAnsi"/>
                <w:bCs/>
                <w:sz w:val="18"/>
                <w:szCs w:val="18"/>
              </w:rPr>
              <w:t>provide information, training and counselling to employees, and</w:t>
            </w:r>
          </w:p>
          <w:p w14:paraId="142A4C54" w14:textId="77777777" w:rsidR="000607EB" w:rsidRPr="00052A4B" w:rsidRDefault="000607EB" w:rsidP="00171B39">
            <w:pPr>
              <w:pStyle w:val="ListParagraph"/>
              <w:numPr>
                <w:ilvl w:val="0"/>
                <w:numId w:val="9"/>
              </w:numPr>
              <w:spacing w:after="0" w:line="271" w:lineRule="auto"/>
              <w:ind w:left="357" w:hanging="357"/>
              <w:contextualSpacing w:val="0"/>
              <w:rPr>
                <w:rFonts w:asciiTheme="minorHAnsi" w:hAnsiTheme="minorHAnsi" w:cstheme="minorHAnsi"/>
                <w:bCs/>
                <w:sz w:val="18"/>
                <w:szCs w:val="18"/>
              </w:rPr>
            </w:pPr>
            <w:r w:rsidRPr="00052A4B">
              <w:rPr>
                <w:rFonts w:asciiTheme="minorHAnsi" w:hAnsiTheme="minorHAnsi" w:cstheme="minorHAnsi"/>
                <w:bCs/>
                <w:sz w:val="18"/>
                <w:szCs w:val="18"/>
              </w:rPr>
              <w:t>maintain thorough records and statements on reported incidents.</w:t>
            </w:r>
          </w:p>
        </w:tc>
        <w:tc>
          <w:tcPr>
            <w:tcW w:w="1194" w:type="dxa"/>
            <w:tcBorders>
              <w:top w:val="single" w:sz="4" w:space="0" w:color="000000"/>
              <w:left w:val="single" w:sz="4" w:space="0" w:color="000000"/>
              <w:bottom w:val="single" w:sz="4" w:space="0" w:color="000000"/>
              <w:right w:val="single" w:sz="4" w:space="0" w:color="000000"/>
            </w:tcBorders>
          </w:tcPr>
          <w:p w14:paraId="142A4C55" w14:textId="77777777" w:rsidR="000607EB" w:rsidRPr="007B7860" w:rsidRDefault="000607EB" w:rsidP="00171B39">
            <w:pPr>
              <w:spacing w:after="0" w:line="271" w:lineRule="auto"/>
              <w:jc w:val="center"/>
              <w:rPr>
                <w:rFonts w:asciiTheme="minorHAnsi" w:hAnsiTheme="minorHAnsi" w:cstheme="minorHAnsi"/>
                <w:sz w:val="18"/>
                <w:szCs w:val="18"/>
              </w:rPr>
            </w:pPr>
            <w:r w:rsidRPr="00387093">
              <w:rPr>
                <w:rFonts w:asciiTheme="minorHAnsi" w:hAnsiTheme="minorHAnsi" w:cstheme="minorHAnsi"/>
                <w:sz w:val="18"/>
                <w:szCs w:val="18"/>
              </w:rPr>
              <w:t>86</w:t>
            </w:r>
          </w:p>
        </w:tc>
        <w:tc>
          <w:tcPr>
            <w:tcW w:w="956" w:type="dxa"/>
            <w:tcBorders>
              <w:top w:val="single" w:sz="4" w:space="0" w:color="000000"/>
              <w:left w:val="single" w:sz="4" w:space="0" w:color="000000"/>
              <w:bottom w:val="single" w:sz="4" w:space="0" w:color="000000"/>
              <w:right w:val="single" w:sz="4" w:space="0" w:color="000000"/>
            </w:tcBorders>
          </w:tcPr>
          <w:p w14:paraId="142A4C56" w14:textId="77777777" w:rsidR="000607EB" w:rsidRPr="007B7860" w:rsidRDefault="000607EB" w:rsidP="00171B39">
            <w:pPr>
              <w:spacing w:after="0" w:line="271" w:lineRule="auto"/>
              <w:jc w:val="center"/>
              <w:rPr>
                <w:rFonts w:asciiTheme="minorHAnsi" w:hAnsiTheme="minorHAnsi" w:cstheme="minorHAnsi"/>
                <w:sz w:val="18"/>
                <w:szCs w:val="18"/>
              </w:rPr>
            </w:pPr>
            <w:r w:rsidRPr="007B7860">
              <w:rPr>
                <w:rFonts w:asciiTheme="minorHAnsi" w:hAnsiTheme="minorHAnsi" w:cstheme="minorHAnsi"/>
                <w:sz w:val="18"/>
                <w:szCs w:val="18"/>
              </w:rPr>
              <w:t>92.</w:t>
            </w:r>
            <w:r>
              <w:rPr>
                <w:rFonts w:asciiTheme="minorHAnsi" w:hAnsiTheme="minorHAnsi" w:cstheme="minorHAnsi"/>
                <w:sz w:val="18"/>
                <w:szCs w:val="18"/>
              </w:rPr>
              <w:t>5</w:t>
            </w:r>
            <w:r w:rsidRPr="007B7860">
              <w:rPr>
                <w:rFonts w:asciiTheme="minorHAnsi" w:hAnsiTheme="minorHAnsi" w:cstheme="minorHAnsi"/>
                <w:sz w:val="18"/>
                <w:szCs w:val="18"/>
              </w:rPr>
              <w:t>%</w:t>
            </w:r>
          </w:p>
        </w:tc>
        <w:tc>
          <w:tcPr>
            <w:tcW w:w="846" w:type="dxa"/>
            <w:gridSpan w:val="2"/>
            <w:tcBorders>
              <w:top w:val="single" w:sz="4" w:space="0" w:color="000000"/>
              <w:left w:val="single" w:sz="4" w:space="0" w:color="000000"/>
              <w:bottom w:val="single" w:sz="4" w:space="0" w:color="000000"/>
              <w:right w:val="single" w:sz="4" w:space="0" w:color="000000"/>
            </w:tcBorders>
          </w:tcPr>
          <w:p w14:paraId="142A4C57" w14:textId="77777777" w:rsidR="000607EB" w:rsidRPr="007B7860" w:rsidRDefault="000607EB" w:rsidP="00171B39">
            <w:pPr>
              <w:spacing w:after="0" w:line="271" w:lineRule="auto"/>
              <w:jc w:val="center"/>
              <w:rPr>
                <w:rFonts w:asciiTheme="minorHAnsi" w:hAnsiTheme="minorHAnsi" w:cstheme="minorHAnsi"/>
                <w:sz w:val="18"/>
                <w:szCs w:val="18"/>
              </w:rPr>
            </w:pPr>
            <w:r w:rsidRPr="007B7860">
              <w:rPr>
                <w:rFonts w:asciiTheme="minorHAnsi" w:hAnsiTheme="minorHAnsi" w:cstheme="minorHAnsi"/>
                <w:sz w:val="18"/>
                <w:szCs w:val="18"/>
              </w:rPr>
              <w:t>92.5%</w:t>
            </w:r>
          </w:p>
        </w:tc>
        <w:tc>
          <w:tcPr>
            <w:tcW w:w="1057" w:type="dxa"/>
            <w:tcBorders>
              <w:top w:val="single" w:sz="4" w:space="0" w:color="000000"/>
              <w:left w:val="single" w:sz="4" w:space="0" w:color="000000"/>
              <w:bottom w:val="single" w:sz="4" w:space="0" w:color="000000"/>
              <w:right w:val="single" w:sz="4" w:space="0" w:color="000000"/>
            </w:tcBorders>
          </w:tcPr>
          <w:p w14:paraId="142A4C58" w14:textId="77777777" w:rsidR="000607EB" w:rsidRPr="0058424A"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0.0</w:t>
            </w:r>
          </w:p>
        </w:tc>
        <w:tc>
          <w:tcPr>
            <w:tcW w:w="1695" w:type="dxa"/>
            <w:tcBorders>
              <w:top w:val="single" w:sz="4" w:space="0" w:color="000000"/>
              <w:left w:val="single" w:sz="4" w:space="0" w:color="000000"/>
              <w:bottom w:val="single" w:sz="4" w:space="0" w:color="000000"/>
              <w:right w:val="single" w:sz="4" w:space="0" w:color="000000"/>
            </w:tcBorders>
          </w:tcPr>
          <w:p w14:paraId="142A4C59" w14:textId="77777777" w:rsidR="000607EB" w:rsidRDefault="000607EB" w:rsidP="00171B39">
            <w:r>
              <w:rPr>
                <w:rFonts w:asciiTheme="minorHAnsi" w:hAnsiTheme="minorHAnsi" w:cstheme="minorHAnsi"/>
                <w:sz w:val="18"/>
                <w:szCs w:val="18"/>
              </w:rPr>
              <w:t>No change in compliance</w:t>
            </w:r>
          </w:p>
        </w:tc>
      </w:tr>
      <w:tr w:rsidR="000607EB" w:rsidRPr="00955B78" w14:paraId="142A4C62" w14:textId="77777777" w:rsidTr="000607EB">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5B" w14:textId="77777777" w:rsidR="000607EB" w:rsidRPr="00052A4B" w:rsidRDefault="000607EB" w:rsidP="00171B39">
            <w:pPr>
              <w:spacing w:after="0"/>
              <w:jc w:val="center"/>
              <w:rPr>
                <w:rFonts w:asciiTheme="minorHAnsi" w:hAnsiTheme="minorHAnsi" w:cstheme="minorHAnsi"/>
                <w:sz w:val="18"/>
                <w:szCs w:val="18"/>
              </w:rPr>
            </w:pPr>
            <w:r w:rsidRPr="00052A4B">
              <w:rPr>
                <w:rFonts w:asciiTheme="minorHAnsi" w:hAnsiTheme="minorHAnsi" w:cstheme="minorHAnsi"/>
                <w:bCs/>
                <w:sz w:val="18"/>
                <w:szCs w:val="18"/>
                <w:u w:val="single"/>
              </w:rPr>
              <w:t>PHYSEC-3</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5C" w14:textId="77777777" w:rsidR="000607EB" w:rsidRPr="00052A4B" w:rsidRDefault="000607EB" w:rsidP="00171B39">
            <w:pPr>
              <w:spacing w:after="0" w:line="271" w:lineRule="auto"/>
              <w:rPr>
                <w:rFonts w:asciiTheme="minorHAnsi" w:hAnsiTheme="minorHAnsi" w:cstheme="minorHAnsi"/>
                <w:bCs/>
                <w:sz w:val="18"/>
                <w:szCs w:val="18"/>
              </w:rPr>
            </w:pPr>
            <w:r w:rsidRPr="00052A4B">
              <w:rPr>
                <w:rFonts w:asciiTheme="minorHAnsi" w:hAnsiTheme="minorHAnsi" w:cstheme="minorHAnsi"/>
                <w:bCs/>
                <w:sz w:val="18"/>
                <w:szCs w:val="18"/>
              </w:rPr>
              <w:t>Entities must ensure they fully integrate protective security early in the process of planning, selecting, designing and modifying their facilities.</w:t>
            </w:r>
          </w:p>
        </w:tc>
        <w:tc>
          <w:tcPr>
            <w:tcW w:w="1194" w:type="dxa"/>
            <w:tcBorders>
              <w:top w:val="single" w:sz="4" w:space="0" w:color="000000"/>
              <w:left w:val="single" w:sz="4" w:space="0" w:color="000000"/>
              <w:bottom w:val="single" w:sz="4" w:space="0" w:color="000000"/>
              <w:right w:val="single" w:sz="4" w:space="0" w:color="000000"/>
            </w:tcBorders>
          </w:tcPr>
          <w:p w14:paraId="142A4C5D" w14:textId="77777777" w:rsidR="000607EB" w:rsidRPr="007B7860" w:rsidRDefault="000607EB" w:rsidP="00171B39">
            <w:pPr>
              <w:spacing w:after="0" w:line="271" w:lineRule="auto"/>
              <w:jc w:val="center"/>
              <w:rPr>
                <w:rFonts w:asciiTheme="minorHAnsi" w:hAnsiTheme="minorHAnsi" w:cstheme="minorHAnsi"/>
                <w:sz w:val="18"/>
                <w:szCs w:val="18"/>
              </w:rPr>
            </w:pPr>
            <w:r w:rsidRPr="00DF5EE8">
              <w:rPr>
                <w:rFonts w:asciiTheme="minorHAnsi" w:hAnsiTheme="minorHAnsi" w:cstheme="minorHAnsi"/>
                <w:sz w:val="18"/>
                <w:szCs w:val="18"/>
              </w:rPr>
              <w:t>88</w:t>
            </w:r>
          </w:p>
        </w:tc>
        <w:tc>
          <w:tcPr>
            <w:tcW w:w="956" w:type="dxa"/>
            <w:tcBorders>
              <w:top w:val="single" w:sz="4" w:space="0" w:color="000000"/>
              <w:left w:val="single" w:sz="4" w:space="0" w:color="000000"/>
              <w:bottom w:val="single" w:sz="4" w:space="0" w:color="000000"/>
              <w:right w:val="single" w:sz="4" w:space="0" w:color="000000"/>
            </w:tcBorders>
          </w:tcPr>
          <w:p w14:paraId="142A4C5E" w14:textId="77777777" w:rsidR="000607EB" w:rsidRPr="007B7860" w:rsidRDefault="000607EB" w:rsidP="00171B39">
            <w:pPr>
              <w:spacing w:after="0" w:line="271" w:lineRule="auto"/>
              <w:jc w:val="center"/>
              <w:rPr>
                <w:rFonts w:asciiTheme="minorHAnsi" w:hAnsiTheme="minorHAnsi" w:cstheme="minorHAnsi"/>
                <w:sz w:val="18"/>
                <w:szCs w:val="18"/>
              </w:rPr>
            </w:pPr>
            <w:r w:rsidRPr="00DF5EE8">
              <w:rPr>
                <w:rFonts w:asciiTheme="minorHAnsi" w:hAnsiTheme="minorHAnsi" w:cstheme="minorHAnsi"/>
                <w:sz w:val="18"/>
                <w:szCs w:val="18"/>
              </w:rPr>
              <w:t>94.6%</w:t>
            </w:r>
          </w:p>
        </w:tc>
        <w:tc>
          <w:tcPr>
            <w:tcW w:w="846" w:type="dxa"/>
            <w:gridSpan w:val="2"/>
            <w:tcBorders>
              <w:top w:val="single" w:sz="4" w:space="0" w:color="000000"/>
              <w:left w:val="single" w:sz="4" w:space="0" w:color="000000"/>
              <w:bottom w:val="single" w:sz="4" w:space="0" w:color="000000"/>
              <w:right w:val="single" w:sz="4" w:space="0" w:color="000000"/>
            </w:tcBorders>
          </w:tcPr>
          <w:p w14:paraId="142A4C5F" w14:textId="77777777" w:rsidR="000607EB" w:rsidRPr="007B7860" w:rsidRDefault="000607EB" w:rsidP="00171B39">
            <w:pPr>
              <w:spacing w:after="0" w:line="271" w:lineRule="auto"/>
              <w:jc w:val="center"/>
              <w:rPr>
                <w:rFonts w:asciiTheme="minorHAnsi" w:hAnsiTheme="minorHAnsi" w:cstheme="minorHAnsi"/>
                <w:sz w:val="18"/>
                <w:szCs w:val="18"/>
              </w:rPr>
            </w:pPr>
            <w:r w:rsidRPr="007B7860">
              <w:rPr>
                <w:rFonts w:asciiTheme="minorHAnsi" w:hAnsiTheme="minorHAnsi" w:cstheme="minorHAnsi"/>
                <w:sz w:val="18"/>
                <w:szCs w:val="18"/>
              </w:rPr>
              <w:t>93.5%</w:t>
            </w:r>
          </w:p>
        </w:tc>
        <w:tc>
          <w:tcPr>
            <w:tcW w:w="1057" w:type="dxa"/>
            <w:tcBorders>
              <w:top w:val="single" w:sz="4" w:space="0" w:color="000000"/>
              <w:left w:val="single" w:sz="4" w:space="0" w:color="000000"/>
              <w:bottom w:val="single" w:sz="4" w:space="0" w:color="000000"/>
              <w:right w:val="single" w:sz="4" w:space="0" w:color="000000"/>
            </w:tcBorders>
          </w:tcPr>
          <w:p w14:paraId="142A4C60" w14:textId="77777777" w:rsidR="000607EB" w:rsidRPr="0058424A"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1.1</w:t>
            </w:r>
          </w:p>
        </w:tc>
        <w:tc>
          <w:tcPr>
            <w:tcW w:w="1695" w:type="dxa"/>
            <w:tcBorders>
              <w:top w:val="single" w:sz="4" w:space="0" w:color="000000"/>
              <w:left w:val="single" w:sz="4" w:space="0" w:color="000000"/>
              <w:bottom w:val="single" w:sz="4" w:space="0" w:color="000000"/>
              <w:right w:val="single" w:sz="4" w:space="0" w:color="000000"/>
            </w:tcBorders>
          </w:tcPr>
          <w:p w14:paraId="142A4C61" w14:textId="77777777" w:rsidR="000607EB" w:rsidRDefault="000607EB" w:rsidP="00171B39">
            <w:r w:rsidRPr="00766336">
              <w:rPr>
                <w:rFonts w:asciiTheme="minorHAnsi" w:hAnsiTheme="minorHAnsi" w:cstheme="minorHAnsi"/>
                <w:sz w:val="18"/>
                <w:szCs w:val="18"/>
              </w:rPr>
              <w:t>N/A</w:t>
            </w:r>
          </w:p>
        </w:tc>
      </w:tr>
      <w:tr w:rsidR="000607EB" w:rsidRPr="00955B78" w14:paraId="142A4C6A" w14:textId="77777777" w:rsidTr="000607EB">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63" w14:textId="77777777" w:rsidR="000607EB" w:rsidRPr="00052A4B" w:rsidRDefault="000607EB" w:rsidP="00171B39">
            <w:pPr>
              <w:spacing w:after="0"/>
              <w:jc w:val="center"/>
              <w:rPr>
                <w:rFonts w:asciiTheme="minorHAnsi" w:hAnsiTheme="minorHAnsi" w:cstheme="minorHAnsi"/>
                <w:sz w:val="18"/>
                <w:szCs w:val="18"/>
              </w:rPr>
            </w:pPr>
            <w:r w:rsidRPr="00052A4B">
              <w:rPr>
                <w:rFonts w:asciiTheme="minorHAnsi" w:hAnsiTheme="minorHAnsi" w:cstheme="minorHAnsi"/>
                <w:bCs/>
                <w:sz w:val="18"/>
                <w:szCs w:val="18"/>
                <w:u w:val="single"/>
              </w:rPr>
              <w:t>PHYSEC-4</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64" w14:textId="77777777" w:rsidR="000607EB" w:rsidRPr="00052A4B" w:rsidRDefault="000607EB" w:rsidP="00171B39">
            <w:pPr>
              <w:widowControl w:val="0"/>
              <w:spacing w:after="0"/>
              <w:rPr>
                <w:rFonts w:asciiTheme="minorHAnsi" w:hAnsiTheme="minorHAnsi" w:cstheme="minorHAnsi"/>
                <w:bCs/>
                <w:sz w:val="18"/>
                <w:szCs w:val="18"/>
              </w:rPr>
            </w:pPr>
            <w:r w:rsidRPr="00052A4B">
              <w:rPr>
                <w:rFonts w:asciiTheme="minorHAnsi" w:hAnsiTheme="minorHAnsi" w:cstheme="minorHAnsi"/>
                <w:bCs/>
                <w:sz w:val="18"/>
                <w:szCs w:val="18"/>
              </w:rPr>
              <w:t>Entities must ensure that any proposed physical security measure or activity does not breach relevant employer occupational health and safety obligations.</w:t>
            </w:r>
          </w:p>
        </w:tc>
        <w:tc>
          <w:tcPr>
            <w:tcW w:w="1194" w:type="dxa"/>
            <w:tcBorders>
              <w:top w:val="single" w:sz="4" w:space="0" w:color="000000"/>
              <w:left w:val="single" w:sz="4" w:space="0" w:color="000000"/>
              <w:bottom w:val="single" w:sz="4" w:space="0" w:color="000000"/>
              <w:right w:val="single" w:sz="4" w:space="0" w:color="000000"/>
            </w:tcBorders>
          </w:tcPr>
          <w:p w14:paraId="142A4C65" w14:textId="77777777" w:rsidR="000607EB" w:rsidRPr="007B7860"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93</w:t>
            </w:r>
          </w:p>
        </w:tc>
        <w:tc>
          <w:tcPr>
            <w:tcW w:w="956" w:type="dxa"/>
            <w:tcBorders>
              <w:top w:val="single" w:sz="4" w:space="0" w:color="000000"/>
              <w:left w:val="single" w:sz="4" w:space="0" w:color="000000"/>
              <w:bottom w:val="single" w:sz="4" w:space="0" w:color="000000"/>
              <w:right w:val="single" w:sz="4" w:space="0" w:color="000000"/>
            </w:tcBorders>
          </w:tcPr>
          <w:p w14:paraId="142A4C66" w14:textId="77777777" w:rsidR="000607EB" w:rsidRPr="007B7860" w:rsidRDefault="000607EB" w:rsidP="00171B39">
            <w:pPr>
              <w:spacing w:after="0" w:line="271" w:lineRule="auto"/>
              <w:jc w:val="center"/>
              <w:rPr>
                <w:rFonts w:asciiTheme="minorHAnsi" w:hAnsiTheme="minorHAnsi" w:cstheme="minorHAnsi"/>
                <w:sz w:val="18"/>
                <w:szCs w:val="18"/>
              </w:rPr>
            </w:pPr>
            <w:r w:rsidRPr="007B7860">
              <w:rPr>
                <w:rFonts w:asciiTheme="minorHAnsi" w:hAnsiTheme="minorHAnsi" w:cstheme="minorHAnsi"/>
                <w:sz w:val="18"/>
                <w:szCs w:val="18"/>
              </w:rPr>
              <w:t>100.0%</w:t>
            </w:r>
          </w:p>
        </w:tc>
        <w:tc>
          <w:tcPr>
            <w:tcW w:w="846" w:type="dxa"/>
            <w:gridSpan w:val="2"/>
            <w:tcBorders>
              <w:top w:val="single" w:sz="4" w:space="0" w:color="000000"/>
              <w:left w:val="single" w:sz="4" w:space="0" w:color="000000"/>
              <w:bottom w:val="single" w:sz="4" w:space="0" w:color="000000"/>
              <w:right w:val="single" w:sz="4" w:space="0" w:color="000000"/>
            </w:tcBorders>
          </w:tcPr>
          <w:p w14:paraId="142A4C67" w14:textId="77777777" w:rsidR="000607EB" w:rsidRPr="007B7860" w:rsidRDefault="000607EB" w:rsidP="00171B39">
            <w:pPr>
              <w:spacing w:after="0" w:line="271" w:lineRule="auto"/>
              <w:jc w:val="center"/>
              <w:rPr>
                <w:rFonts w:asciiTheme="minorHAnsi" w:hAnsiTheme="minorHAnsi" w:cstheme="minorHAnsi"/>
                <w:sz w:val="18"/>
                <w:szCs w:val="18"/>
              </w:rPr>
            </w:pPr>
            <w:r w:rsidRPr="007B7860">
              <w:rPr>
                <w:rFonts w:asciiTheme="minorHAnsi" w:hAnsiTheme="minorHAnsi" w:cstheme="minorHAnsi"/>
                <w:sz w:val="18"/>
                <w:szCs w:val="18"/>
              </w:rPr>
              <w:t>97.8%</w:t>
            </w:r>
          </w:p>
        </w:tc>
        <w:tc>
          <w:tcPr>
            <w:tcW w:w="1057" w:type="dxa"/>
            <w:tcBorders>
              <w:top w:val="single" w:sz="4" w:space="0" w:color="000000"/>
              <w:left w:val="single" w:sz="4" w:space="0" w:color="000000"/>
              <w:bottom w:val="single" w:sz="4" w:space="0" w:color="000000"/>
              <w:right w:val="single" w:sz="4" w:space="0" w:color="000000"/>
            </w:tcBorders>
          </w:tcPr>
          <w:p w14:paraId="142A4C68" w14:textId="77777777" w:rsidR="000607EB" w:rsidRPr="0058424A"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2.2</w:t>
            </w:r>
          </w:p>
        </w:tc>
        <w:tc>
          <w:tcPr>
            <w:tcW w:w="1695" w:type="dxa"/>
            <w:tcBorders>
              <w:top w:val="single" w:sz="4" w:space="0" w:color="000000"/>
              <w:left w:val="single" w:sz="4" w:space="0" w:color="000000"/>
              <w:bottom w:val="single" w:sz="4" w:space="0" w:color="000000"/>
              <w:right w:val="single" w:sz="4" w:space="0" w:color="000000"/>
            </w:tcBorders>
          </w:tcPr>
          <w:p w14:paraId="142A4C69" w14:textId="77777777" w:rsidR="000607EB" w:rsidRDefault="000607EB" w:rsidP="00171B39">
            <w:r w:rsidRPr="00766336">
              <w:rPr>
                <w:rFonts w:asciiTheme="minorHAnsi" w:hAnsiTheme="minorHAnsi" w:cstheme="minorHAnsi"/>
                <w:sz w:val="18"/>
                <w:szCs w:val="18"/>
              </w:rPr>
              <w:t>N/A</w:t>
            </w:r>
          </w:p>
        </w:tc>
      </w:tr>
      <w:tr w:rsidR="000607EB" w:rsidRPr="00955B78" w14:paraId="142A4C72" w14:textId="77777777" w:rsidTr="000607EB">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6B" w14:textId="77777777" w:rsidR="000607EB" w:rsidRPr="00052A4B" w:rsidRDefault="000607EB" w:rsidP="00171B39">
            <w:pPr>
              <w:spacing w:after="0"/>
              <w:jc w:val="center"/>
              <w:rPr>
                <w:rFonts w:asciiTheme="minorHAnsi" w:hAnsiTheme="minorHAnsi" w:cstheme="minorHAnsi"/>
                <w:sz w:val="18"/>
                <w:szCs w:val="18"/>
              </w:rPr>
            </w:pPr>
            <w:r w:rsidRPr="00052A4B">
              <w:rPr>
                <w:rFonts w:asciiTheme="minorHAnsi" w:hAnsiTheme="minorHAnsi" w:cstheme="minorHAnsi"/>
                <w:bCs/>
                <w:sz w:val="18"/>
                <w:szCs w:val="18"/>
                <w:u w:val="single"/>
              </w:rPr>
              <w:t>PHYSEC-5</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6C" w14:textId="77777777" w:rsidR="000607EB" w:rsidRPr="00052A4B" w:rsidRDefault="000607EB" w:rsidP="00171B39">
            <w:pPr>
              <w:spacing w:after="0" w:line="271" w:lineRule="auto"/>
              <w:rPr>
                <w:rFonts w:asciiTheme="minorHAnsi" w:hAnsiTheme="minorHAnsi" w:cstheme="minorHAnsi"/>
                <w:bCs/>
                <w:sz w:val="18"/>
                <w:szCs w:val="18"/>
              </w:rPr>
            </w:pPr>
            <w:r w:rsidRPr="00052A4B">
              <w:rPr>
                <w:rFonts w:asciiTheme="minorHAnsi" w:hAnsiTheme="minorHAnsi" w:cstheme="minorHAnsi"/>
                <w:bCs/>
                <w:sz w:val="18"/>
                <w:szCs w:val="18"/>
              </w:rPr>
              <w:t>Entities must show a duty of care for the physical safety of those members of the public interacting directly with the Australian Government. Where an entity’s function involves providing services, the entity must ensure that clients can transact with the Australian Government with confidence about their physical wellbeing.</w:t>
            </w:r>
          </w:p>
        </w:tc>
        <w:tc>
          <w:tcPr>
            <w:tcW w:w="1194" w:type="dxa"/>
            <w:tcBorders>
              <w:top w:val="single" w:sz="4" w:space="0" w:color="000000"/>
              <w:left w:val="single" w:sz="4" w:space="0" w:color="000000"/>
              <w:bottom w:val="single" w:sz="4" w:space="0" w:color="000000"/>
              <w:right w:val="single" w:sz="4" w:space="0" w:color="000000"/>
            </w:tcBorders>
          </w:tcPr>
          <w:p w14:paraId="142A4C6D" w14:textId="77777777" w:rsidR="000607EB" w:rsidRPr="007B7860"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91</w:t>
            </w:r>
          </w:p>
        </w:tc>
        <w:tc>
          <w:tcPr>
            <w:tcW w:w="956" w:type="dxa"/>
            <w:tcBorders>
              <w:top w:val="single" w:sz="4" w:space="0" w:color="000000"/>
              <w:left w:val="single" w:sz="4" w:space="0" w:color="000000"/>
              <w:bottom w:val="single" w:sz="4" w:space="0" w:color="000000"/>
              <w:right w:val="single" w:sz="4" w:space="0" w:color="000000"/>
            </w:tcBorders>
          </w:tcPr>
          <w:p w14:paraId="142A4C6E" w14:textId="77777777" w:rsidR="000607EB" w:rsidRPr="007B7860"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97</w:t>
            </w:r>
            <w:r w:rsidRPr="007B7860">
              <w:rPr>
                <w:rFonts w:asciiTheme="minorHAnsi" w:hAnsiTheme="minorHAnsi" w:cstheme="minorHAnsi"/>
                <w:sz w:val="18"/>
                <w:szCs w:val="18"/>
              </w:rPr>
              <w:t>.8%</w:t>
            </w:r>
          </w:p>
        </w:tc>
        <w:tc>
          <w:tcPr>
            <w:tcW w:w="846" w:type="dxa"/>
            <w:gridSpan w:val="2"/>
            <w:tcBorders>
              <w:top w:val="single" w:sz="4" w:space="0" w:color="000000"/>
              <w:left w:val="single" w:sz="4" w:space="0" w:color="000000"/>
              <w:bottom w:val="single" w:sz="4" w:space="0" w:color="000000"/>
              <w:right w:val="single" w:sz="4" w:space="0" w:color="000000"/>
            </w:tcBorders>
          </w:tcPr>
          <w:p w14:paraId="142A4C6F" w14:textId="77777777" w:rsidR="000607EB" w:rsidRPr="007B7860" w:rsidRDefault="000607EB" w:rsidP="00171B39">
            <w:pPr>
              <w:spacing w:after="0" w:line="271" w:lineRule="auto"/>
              <w:jc w:val="center"/>
              <w:rPr>
                <w:rFonts w:asciiTheme="minorHAnsi" w:hAnsiTheme="minorHAnsi" w:cstheme="minorHAnsi"/>
                <w:sz w:val="18"/>
                <w:szCs w:val="18"/>
              </w:rPr>
            </w:pPr>
            <w:r w:rsidRPr="007B7860">
              <w:rPr>
                <w:rFonts w:asciiTheme="minorHAnsi" w:hAnsiTheme="minorHAnsi" w:cstheme="minorHAnsi"/>
                <w:sz w:val="18"/>
                <w:szCs w:val="18"/>
              </w:rPr>
              <w:t>9</w:t>
            </w:r>
            <w:r>
              <w:rPr>
                <w:rFonts w:asciiTheme="minorHAnsi" w:hAnsiTheme="minorHAnsi" w:cstheme="minorHAnsi"/>
                <w:sz w:val="18"/>
                <w:szCs w:val="18"/>
              </w:rPr>
              <w:t>6</w:t>
            </w:r>
            <w:r w:rsidRPr="007B7860">
              <w:rPr>
                <w:rFonts w:asciiTheme="minorHAnsi" w:hAnsiTheme="minorHAnsi" w:cstheme="minorHAnsi"/>
                <w:sz w:val="18"/>
                <w:szCs w:val="18"/>
              </w:rPr>
              <w:t>.8%</w:t>
            </w:r>
          </w:p>
        </w:tc>
        <w:tc>
          <w:tcPr>
            <w:tcW w:w="1057" w:type="dxa"/>
            <w:tcBorders>
              <w:top w:val="single" w:sz="4" w:space="0" w:color="000000"/>
              <w:left w:val="single" w:sz="4" w:space="0" w:color="000000"/>
              <w:bottom w:val="single" w:sz="4" w:space="0" w:color="000000"/>
              <w:right w:val="single" w:sz="4" w:space="0" w:color="000000"/>
            </w:tcBorders>
          </w:tcPr>
          <w:p w14:paraId="142A4C70" w14:textId="77777777" w:rsidR="000607EB" w:rsidRPr="0058424A"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1.1</w:t>
            </w:r>
          </w:p>
        </w:tc>
        <w:tc>
          <w:tcPr>
            <w:tcW w:w="1695" w:type="dxa"/>
            <w:tcBorders>
              <w:top w:val="single" w:sz="4" w:space="0" w:color="000000"/>
              <w:left w:val="single" w:sz="4" w:space="0" w:color="000000"/>
              <w:bottom w:val="single" w:sz="4" w:space="0" w:color="000000"/>
              <w:right w:val="single" w:sz="4" w:space="0" w:color="000000"/>
            </w:tcBorders>
          </w:tcPr>
          <w:p w14:paraId="142A4C71" w14:textId="77777777" w:rsidR="000607EB" w:rsidRDefault="000607EB" w:rsidP="00171B39">
            <w:r w:rsidRPr="00766336">
              <w:rPr>
                <w:rFonts w:asciiTheme="minorHAnsi" w:hAnsiTheme="minorHAnsi" w:cstheme="minorHAnsi"/>
                <w:sz w:val="18"/>
                <w:szCs w:val="18"/>
              </w:rPr>
              <w:t>N/A</w:t>
            </w:r>
          </w:p>
        </w:tc>
      </w:tr>
      <w:tr w:rsidR="000607EB" w:rsidRPr="00955B78" w14:paraId="142A4C7A" w14:textId="77777777" w:rsidTr="000607EB">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73" w14:textId="77777777" w:rsidR="000607EB" w:rsidRPr="00052A4B" w:rsidRDefault="000607EB" w:rsidP="00171B39">
            <w:pPr>
              <w:spacing w:after="0"/>
              <w:jc w:val="center"/>
              <w:rPr>
                <w:rFonts w:asciiTheme="minorHAnsi" w:hAnsiTheme="minorHAnsi" w:cstheme="minorHAnsi"/>
                <w:sz w:val="18"/>
                <w:szCs w:val="18"/>
              </w:rPr>
            </w:pPr>
            <w:r w:rsidRPr="00052A4B">
              <w:rPr>
                <w:rFonts w:asciiTheme="minorHAnsi" w:hAnsiTheme="minorHAnsi" w:cstheme="minorHAnsi"/>
                <w:bCs/>
                <w:sz w:val="18"/>
                <w:szCs w:val="18"/>
                <w:u w:val="single"/>
              </w:rPr>
              <w:t>PHYSEC-6</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74" w14:textId="77777777" w:rsidR="000607EB" w:rsidRPr="00052A4B" w:rsidRDefault="000607EB" w:rsidP="00171B39">
            <w:pPr>
              <w:spacing w:after="0" w:line="271" w:lineRule="auto"/>
              <w:rPr>
                <w:rFonts w:asciiTheme="minorHAnsi" w:hAnsiTheme="minorHAnsi" w:cstheme="minorHAnsi"/>
                <w:bCs/>
                <w:sz w:val="18"/>
                <w:szCs w:val="18"/>
              </w:rPr>
            </w:pPr>
            <w:r w:rsidRPr="00052A4B">
              <w:rPr>
                <w:rFonts w:asciiTheme="minorHAnsi" w:hAnsiTheme="minorHAnsi" w:cstheme="minorHAnsi"/>
                <w:bCs/>
                <w:sz w:val="18"/>
                <w:szCs w:val="18"/>
              </w:rPr>
              <w:t>Entities must implement a level of physical security measures that minimises or removes the risk of information and ICT equipment being made inoperable or inaccessible, or being accessed, used or removed without appropriate authorisation.</w:t>
            </w:r>
          </w:p>
        </w:tc>
        <w:tc>
          <w:tcPr>
            <w:tcW w:w="1194" w:type="dxa"/>
            <w:tcBorders>
              <w:top w:val="single" w:sz="4" w:space="0" w:color="000000"/>
              <w:left w:val="single" w:sz="4" w:space="0" w:color="000000"/>
              <w:bottom w:val="single" w:sz="4" w:space="0" w:color="000000"/>
              <w:right w:val="single" w:sz="4" w:space="0" w:color="000000"/>
            </w:tcBorders>
          </w:tcPr>
          <w:p w14:paraId="142A4C75" w14:textId="77777777" w:rsidR="000607EB" w:rsidRPr="007B7860"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88</w:t>
            </w:r>
          </w:p>
        </w:tc>
        <w:tc>
          <w:tcPr>
            <w:tcW w:w="956" w:type="dxa"/>
            <w:tcBorders>
              <w:top w:val="single" w:sz="4" w:space="0" w:color="000000"/>
              <w:left w:val="single" w:sz="4" w:space="0" w:color="000000"/>
              <w:bottom w:val="single" w:sz="4" w:space="0" w:color="000000"/>
              <w:right w:val="single" w:sz="4" w:space="0" w:color="000000"/>
            </w:tcBorders>
          </w:tcPr>
          <w:p w14:paraId="142A4C76" w14:textId="77777777" w:rsidR="000607EB" w:rsidRPr="007B7860" w:rsidRDefault="000607EB" w:rsidP="00171B39">
            <w:pPr>
              <w:spacing w:after="0" w:line="271" w:lineRule="auto"/>
              <w:jc w:val="center"/>
              <w:rPr>
                <w:rFonts w:asciiTheme="minorHAnsi" w:hAnsiTheme="minorHAnsi" w:cstheme="minorHAnsi"/>
                <w:sz w:val="18"/>
                <w:szCs w:val="18"/>
              </w:rPr>
            </w:pPr>
            <w:r w:rsidRPr="007B7860">
              <w:rPr>
                <w:rFonts w:asciiTheme="minorHAnsi" w:hAnsiTheme="minorHAnsi" w:cstheme="minorHAnsi"/>
                <w:sz w:val="18"/>
                <w:szCs w:val="18"/>
              </w:rPr>
              <w:t>94.6%</w:t>
            </w:r>
          </w:p>
        </w:tc>
        <w:tc>
          <w:tcPr>
            <w:tcW w:w="846" w:type="dxa"/>
            <w:gridSpan w:val="2"/>
            <w:tcBorders>
              <w:top w:val="single" w:sz="4" w:space="0" w:color="000000"/>
              <w:left w:val="single" w:sz="4" w:space="0" w:color="000000"/>
              <w:bottom w:val="single" w:sz="4" w:space="0" w:color="000000"/>
              <w:right w:val="single" w:sz="4" w:space="0" w:color="000000"/>
            </w:tcBorders>
          </w:tcPr>
          <w:p w14:paraId="142A4C77" w14:textId="77777777" w:rsidR="000607EB" w:rsidRPr="007B7860" w:rsidRDefault="000607EB" w:rsidP="00171B39">
            <w:pPr>
              <w:spacing w:after="0" w:line="271" w:lineRule="auto"/>
              <w:jc w:val="center"/>
              <w:rPr>
                <w:rFonts w:asciiTheme="minorHAnsi" w:hAnsiTheme="minorHAnsi" w:cstheme="minorHAnsi"/>
                <w:sz w:val="18"/>
                <w:szCs w:val="18"/>
              </w:rPr>
            </w:pPr>
            <w:r w:rsidRPr="007B7860">
              <w:rPr>
                <w:rFonts w:asciiTheme="minorHAnsi" w:hAnsiTheme="minorHAnsi" w:cstheme="minorHAnsi"/>
                <w:sz w:val="18"/>
                <w:szCs w:val="18"/>
              </w:rPr>
              <w:t>93.5%</w:t>
            </w:r>
          </w:p>
        </w:tc>
        <w:tc>
          <w:tcPr>
            <w:tcW w:w="1057" w:type="dxa"/>
            <w:tcBorders>
              <w:top w:val="single" w:sz="4" w:space="0" w:color="000000"/>
              <w:left w:val="single" w:sz="4" w:space="0" w:color="000000"/>
              <w:bottom w:val="single" w:sz="4" w:space="0" w:color="000000"/>
              <w:right w:val="single" w:sz="4" w:space="0" w:color="000000"/>
            </w:tcBorders>
          </w:tcPr>
          <w:p w14:paraId="142A4C78" w14:textId="77777777" w:rsidR="000607EB" w:rsidRPr="0058424A"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1</w:t>
            </w:r>
            <w:r w:rsidRPr="007B7860">
              <w:rPr>
                <w:rFonts w:asciiTheme="minorHAnsi" w:hAnsiTheme="minorHAnsi" w:cstheme="minorHAnsi"/>
                <w:sz w:val="18"/>
                <w:szCs w:val="18"/>
              </w:rPr>
              <w:t>.</w:t>
            </w:r>
            <w:r>
              <w:rPr>
                <w:rFonts w:asciiTheme="minorHAnsi" w:hAnsiTheme="minorHAnsi" w:cstheme="minorHAnsi"/>
                <w:sz w:val="18"/>
                <w:szCs w:val="18"/>
              </w:rPr>
              <w:t>1</w:t>
            </w:r>
          </w:p>
        </w:tc>
        <w:tc>
          <w:tcPr>
            <w:tcW w:w="1695" w:type="dxa"/>
            <w:tcBorders>
              <w:top w:val="single" w:sz="4" w:space="0" w:color="000000"/>
              <w:left w:val="single" w:sz="4" w:space="0" w:color="000000"/>
              <w:bottom w:val="single" w:sz="4" w:space="0" w:color="000000"/>
              <w:right w:val="single" w:sz="4" w:space="0" w:color="000000"/>
            </w:tcBorders>
          </w:tcPr>
          <w:p w14:paraId="142A4C79" w14:textId="77777777" w:rsidR="000607EB" w:rsidRDefault="000607EB" w:rsidP="00171B39">
            <w:r w:rsidRPr="00766336">
              <w:rPr>
                <w:rFonts w:asciiTheme="minorHAnsi" w:hAnsiTheme="minorHAnsi" w:cstheme="minorHAnsi"/>
                <w:sz w:val="18"/>
                <w:szCs w:val="18"/>
              </w:rPr>
              <w:t>N/A</w:t>
            </w:r>
          </w:p>
        </w:tc>
      </w:tr>
      <w:tr w:rsidR="000607EB" w:rsidRPr="00955B78" w14:paraId="142A4C82" w14:textId="77777777" w:rsidTr="001003F6">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7B" w14:textId="77777777" w:rsidR="000607EB" w:rsidRPr="00052A4B" w:rsidRDefault="000607EB" w:rsidP="00171B39">
            <w:pPr>
              <w:spacing w:after="0"/>
              <w:jc w:val="center"/>
              <w:rPr>
                <w:rFonts w:asciiTheme="minorHAnsi" w:hAnsiTheme="minorHAnsi" w:cstheme="minorHAnsi"/>
                <w:sz w:val="18"/>
                <w:szCs w:val="18"/>
              </w:rPr>
            </w:pPr>
            <w:r w:rsidRPr="00052A4B">
              <w:rPr>
                <w:rFonts w:asciiTheme="minorHAnsi" w:hAnsiTheme="minorHAnsi" w:cstheme="minorHAnsi"/>
                <w:bCs/>
                <w:sz w:val="18"/>
                <w:szCs w:val="18"/>
                <w:u w:val="single"/>
              </w:rPr>
              <w:t>PHYSEC-7</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7C" w14:textId="77777777" w:rsidR="000607EB" w:rsidRPr="00052A4B" w:rsidRDefault="000607EB" w:rsidP="00171B39">
            <w:pPr>
              <w:spacing w:after="0" w:line="271" w:lineRule="auto"/>
              <w:rPr>
                <w:rFonts w:asciiTheme="minorHAnsi" w:hAnsiTheme="minorHAnsi" w:cstheme="minorHAnsi"/>
                <w:bCs/>
                <w:sz w:val="18"/>
                <w:szCs w:val="18"/>
              </w:rPr>
            </w:pPr>
            <w:r w:rsidRPr="00052A4B">
              <w:rPr>
                <w:rFonts w:asciiTheme="minorHAnsi" w:hAnsiTheme="minorHAnsi" w:cstheme="minorHAnsi"/>
                <w:bCs/>
                <w:sz w:val="18"/>
                <w:szCs w:val="18"/>
              </w:rPr>
              <w:t>Entities must develop plans and procedures to move up to heightened security levels in case of emergency and increased threat. The Australian Government may direct its entities to implement heightened security levels.</w:t>
            </w:r>
          </w:p>
        </w:tc>
        <w:tc>
          <w:tcPr>
            <w:tcW w:w="1194" w:type="dxa"/>
            <w:tcBorders>
              <w:top w:val="single" w:sz="4" w:space="0" w:color="000000"/>
              <w:left w:val="single" w:sz="4" w:space="0" w:color="000000"/>
              <w:bottom w:val="single" w:sz="4" w:space="0" w:color="000000"/>
              <w:right w:val="single" w:sz="4" w:space="0" w:color="000000"/>
            </w:tcBorders>
          </w:tcPr>
          <w:p w14:paraId="142A4C7D" w14:textId="77777777" w:rsidR="000607EB" w:rsidRPr="007B7860" w:rsidRDefault="000607EB" w:rsidP="00171B39">
            <w:pPr>
              <w:spacing w:after="0" w:line="271" w:lineRule="auto"/>
              <w:jc w:val="center"/>
              <w:rPr>
                <w:rFonts w:asciiTheme="minorHAnsi" w:hAnsiTheme="minorHAnsi" w:cstheme="minorHAnsi"/>
                <w:sz w:val="18"/>
                <w:szCs w:val="18"/>
              </w:rPr>
            </w:pPr>
            <w:r w:rsidRPr="00DF5EE8">
              <w:rPr>
                <w:rFonts w:asciiTheme="minorHAnsi" w:hAnsiTheme="minorHAnsi" w:cstheme="minorHAnsi"/>
                <w:sz w:val="18"/>
                <w:szCs w:val="18"/>
              </w:rPr>
              <w:t>82</w:t>
            </w:r>
          </w:p>
        </w:tc>
        <w:tc>
          <w:tcPr>
            <w:tcW w:w="956" w:type="dxa"/>
            <w:tcBorders>
              <w:top w:val="single" w:sz="4" w:space="0" w:color="000000"/>
              <w:left w:val="single" w:sz="4" w:space="0" w:color="000000"/>
              <w:bottom w:val="single" w:sz="4" w:space="0" w:color="000000"/>
              <w:right w:val="single" w:sz="4" w:space="0" w:color="000000"/>
            </w:tcBorders>
          </w:tcPr>
          <w:p w14:paraId="142A4C7E" w14:textId="77777777" w:rsidR="000607EB" w:rsidRPr="007B7860" w:rsidRDefault="000607EB" w:rsidP="00171B39">
            <w:pPr>
              <w:spacing w:after="0" w:line="271" w:lineRule="auto"/>
              <w:jc w:val="center"/>
              <w:rPr>
                <w:rFonts w:asciiTheme="minorHAnsi" w:hAnsiTheme="minorHAnsi" w:cstheme="minorHAnsi"/>
                <w:sz w:val="18"/>
                <w:szCs w:val="18"/>
              </w:rPr>
            </w:pPr>
            <w:r w:rsidRPr="00DF5EE8">
              <w:rPr>
                <w:rFonts w:asciiTheme="minorHAnsi" w:hAnsiTheme="minorHAnsi" w:cstheme="minorHAnsi"/>
                <w:sz w:val="18"/>
                <w:szCs w:val="18"/>
              </w:rPr>
              <w:t>88.2%</w:t>
            </w:r>
          </w:p>
        </w:tc>
        <w:tc>
          <w:tcPr>
            <w:tcW w:w="846" w:type="dxa"/>
            <w:gridSpan w:val="2"/>
            <w:tcBorders>
              <w:top w:val="single" w:sz="4" w:space="0" w:color="000000"/>
              <w:left w:val="single" w:sz="4" w:space="0" w:color="000000"/>
              <w:bottom w:val="single" w:sz="4" w:space="0" w:color="000000"/>
              <w:right w:val="single" w:sz="4" w:space="0" w:color="000000"/>
            </w:tcBorders>
          </w:tcPr>
          <w:p w14:paraId="142A4C7F" w14:textId="77777777" w:rsidR="000607EB" w:rsidRPr="007B7860" w:rsidRDefault="000607EB" w:rsidP="00171B39">
            <w:pPr>
              <w:spacing w:after="0" w:line="271" w:lineRule="auto"/>
              <w:jc w:val="center"/>
              <w:rPr>
                <w:rFonts w:asciiTheme="minorHAnsi" w:hAnsiTheme="minorHAnsi" w:cstheme="minorHAnsi"/>
                <w:sz w:val="18"/>
                <w:szCs w:val="18"/>
              </w:rPr>
            </w:pPr>
            <w:r w:rsidRPr="007B7860">
              <w:rPr>
                <w:rFonts w:asciiTheme="minorHAnsi" w:hAnsiTheme="minorHAnsi" w:cstheme="minorHAnsi"/>
                <w:sz w:val="18"/>
                <w:szCs w:val="18"/>
              </w:rPr>
              <w:t>93.5%</w:t>
            </w:r>
          </w:p>
        </w:tc>
        <w:tc>
          <w:tcPr>
            <w:tcW w:w="1057" w:type="dxa"/>
            <w:tcBorders>
              <w:top w:val="single" w:sz="4" w:space="0" w:color="000000"/>
              <w:left w:val="single" w:sz="4" w:space="0" w:color="000000"/>
              <w:bottom w:val="single" w:sz="4" w:space="0" w:color="000000"/>
              <w:right w:val="single" w:sz="4" w:space="0" w:color="000000"/>
            </w:tcBorders>
          </w:tcPr>
          <w:p w14:paraId="142A4C80" w14:textId="77777777" w:rsidR="000607EB" w:rsidRPr="0058424A" w:rsidRDefault="000607EB" w:rsidP="00171B39">
            <w:pPr>
              <w:spacing w:after="0" w:line="271" w:lineRule="auto"/>
              <w:jc w:val="center"/>
              <w:rPr>
                <w:rFonts w:asciiTheme="minorHAnsi" w:hAnsiTheme="minorHAnsi" w:cstheme="minorHAnsi"/>
                <w:sz w:val="18"/>
                <w:szCs w:val="18"/>
              </w:rPr>
            </w:pPr>
            <w:r w:rsidRPr="003E35AF">
              <w:rPr>
                <w:rFonts w:asciiTheme="minorHAnsi" w:hAnsiTheme="minorHAnsi" w:cstheme="minorHAnsi"/>
                <w:sz w:val="18"/>
                <w:szCs w:val="18"/>
              </w:rPr>
              <w:t>-5.</w:t>
            </w:r>
            <w:r>
              <w:rPr>
                <w:rFonts w:asciiTheme="minorHAnsi" w:hAnsiTheme="minorHAnsi" w:cstheme="minorHAnsi"/>
                <w:sz w:val="18"/>
                <w:szCs w:val="18"/>
              </w:rPr>
              <w:t>4</w:t>
            </w:r>
          </w:p>
        </w:tc>
        <w:tc>
          <w:tcPr>
            <w:tcW w:w="1695" w:type="dxa"/>
            <w:tcBorders>
              <w:top w:val="single" w:sz="4" w:space="0" w:color="000000"/>
              <w:left w:val="single" w:sz="4" w:space="0" w:color="000000"/>
              <w:bottom w:val="single" w:sz="4" w:space="0" w:color="000000"/>
              <w:right w:val="single" w:sz="4" w:space="0" w:color="000000"/>
            </w:tcBorders>
          </w:tcPr>
          <w:p w14:paraId="142A4C81" w14:textId="77777777" w:rsidR="000607EB" w:rsidRPr="007B11C9" w:rsidRDefault="000607EB" w:rsidP="00DB6203">
            <w:pPr>
              <w:spacing w:after="0" w:line="271" w:lineRule="auto"/>
              <w:rPr>
                <w:rFonts w:asciiTheme="minorHAnsi" w:hAnsiTheme="minorHAnsi" w:cstheme="minorHAnsi"/>
                <w:sz w:val="18"/>
                <w:szCs w:val="18"/>
              </w:rPr>
            </w:pPr>
            <w:r w:rsidRPr="007B7860">
              <w:rPr>
                <w:rFonts w:asciiTheme="minorHAnsi" w:hAnsiTheme="minorHAnsi" w:cstheme="minorHAnsi"/>
                <w:sz w:val="18"/>
                <w:szCs w:val="18"/>
              </w:rPr>
              <w:t xml:space="preserve">Ten NCCEs reported they did not have up-to-date plans and/or procedures in place to respond to heightened security levels in case of emergency or increased threat. Most of these entities reported they expect this matter to be resolved in </w:t>
            </w:r>
            <w:r>
              <w:rPr>
                <w:rFonts w:asciiTheme="minorHAnsi" w:hAnsiTheme="minorHAnsi" w:cstheme="minorHAnsi"/>
                <w:sz w:val="18"/>
                <w:szCs w:val="18"/>
              </w:rPr>
              <w:br/>
            </w:r>
            <w:r w:rsidRPr="007B7860">
              <w:rPr>
                <w:rFonts w:asciiTheme="minorHAnsi" w:hAnsiTheme="minorHAnsi" w:cstheme="minorHAnsi"/>
                <w:sz w:val="18"/>
                <w:szCs w:val="18"/>
              </w:rPr>
              <w:t>2017</w:t>
            </w:r>
            <w:r>
              <w:t>–</w:t>
            </w:r>
            <w:r w:rsidRPr="007B7860">
              <w:rPr>
                <w:rFonts w:asciiTheme="minorHAnsi" w:hAnsiTheme="minorHAnsi" w:cstheme="minorHAnsi"/>
                <w:sz w:val="18"/>
                <w:szCs w:val="18"/>
              </w:rPr>
              <w:t>18.</w:t>
            </w:r>
            <w:r>
              <w:rPr>
                <w:rFonts w:asciiTheme="minorHAnsi" w:hAnsiTheme="minorHAnsi" w:cstheme="minorHAnsi"/>
                <w:sz w:val="18"/>
                <w:szCs w:val="18"/>
              </w:rPr>
              <w:t xml:space="preserve"> One further entity further claimed this requirement was not applicable to their business.</w:t>
            </w:r>
          </w:p>
        </w:tc>
      </w:tr>
      <w:tr w:rsidR="000607EB" w:rsidRPr="00955B78" w14:paraId="142A4C84" w14:textId="77777777" w:rsidTr="00171B39">
        <w:tc>
          <w:tcPr>
            <w:tcW w:w="10534" w:type="dxa"/>
            <w:gridSpan w:val="8"/>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142A4C83" w14:textId="77777777" w:rsidR="000607EB" w:rsidRPr="007B7860" w:rsidRDefault="000607EB" w:rsidP="000607EB">
            <w:pPr>
              <w:spacing w:after="0" w:line="271" w:lineRule="auto"/>
              <w:rPr>
                <w:rFonts w:asciiTheme="minorHAnsi" w:hAnsiTheme="minorHAnsi" w:cstheme="minorHAnsi"/>
                <w:b/>
                <w:sz w:val="18"/>
                <w:szCs w:val="18"/>
              </w:rPr>
            </w:pPr>
            <w:r>
              <w:rPr>
                <w:rFonts w:asciiTheme="minorHAnsi" w:hAnsiTheme="minorHAnsi" w:cstheme="minorHAnsi"/>
                <w:b/>
                <w:sz w:val="18"/>
                <w:szCs w:val="18"/>
              </w:rPr>
              <w:lastRenderedPageBreak/>
              <w:t>Personnel security</w:t>
            </w:r>
          </w:p>
        </w:tc>
      </w:tr>
      <w:tr w:rsidR="000607EB" w:rsidRPr="00955B78" w14:paraId="142A4C90" w14:textId="77777777" w:rsidTr="000607EB">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85" w14:textId="77777777" w:rsidR="000607EB" w:rsidRPr="00052A4B" w:rsidRDefault="000607EB" w:rsidP="00171B39">
            <w:pPr>
              <w:spacing w:after="0"/>
              <w:jc w:val="center"/>
              <w:rPr>
                <w:rFonts w:asciiTheme="minorHAnsi" w:hAnsiTheme="minorHAnsi" w:cstheme="minorHAnsi"/>
                <w:sz w:val="20"/>
                <w:szCs w:val="20"/>
              </w:rPr>
            </w:pPr>
            <w:r w:rsidRPr="00052A4B">
              <w:rPr>
                <w:rFonts w:asciiTheme="minorHAnsi" w:hAnsiTheme="minorHAnsi" w:cstheme="minorHAnsi"/>
                <w:sz w:val="20"/>
                <w:szCs w:val="20"/>
                <w:u w:val="single"/>
              </w:rPr>
              <w:t>PERSEC-1</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86" w14:textId="77777777" w:rsidR="000607EB" w:rsidRPr="00052A4B" w:rsidRDefault="000607EB" w:rsidP="00171B39">
            <w:pPr>
              <w:widowControl w:val="0"/>
              <w:spacing w:after="0" w:line="240" w:lineRule="auto"/>
              <w:rPr>
                <w:rFonts w:asciiTheme="minorHAnsi" w:hAnsiTheme="minorHAnsi" w:cstheme="minorHAnsi"/>
                <w:sz w:val="20"/>
                <w:szCs w:val="20"/>
              </w:rPr>
            </w:pPr>
            <w:r w:rsidRPr="00052A4B">
              <w:rPr>
                <w:rFonts w:asciiTheme="minorHAnsi" w:hAnsiTheme="minorHAnsi" w:cstheme="minorHAnsi"/>
                <w:sz w:val="20"/>
                <w:szCs w:val="20"/>
              </w:rPr>
              <w:t>Entities must ensure that their personnel who access Australian Government resources (people, information and assets):</w:t>
            </w:r>
          </w:p>
          <w:p w14:paraId="142A4C87" w14:textId="77777777" w:rsidR="000607EB" w:rsidRPr="00052A4B" w:rsidRDefault="000607EB" w:rsidP="00171B39">
            <w:pPr>
              <w:pStyle w:val="ListParagraph"/>
              <w:widowControl w:val="0"/>
              <w:numPr>
                <w:ilvl w:val="0"/>
                <w:numId w:val="8"/>
              </w:numPr>
              <w:spacing w:after="0" w:line="240" w:lineRule="auto"/>
              <w:contextualSpacing w:val="0"/>
              <w:rPr>
                <w:rFonts w:asciiTheme="minorHAnsi" w:hAnsiTheme="minorHAnsi" w:cstheme="minorHAnsi"/>
                <w:sz w:val="20"/>
                <w:szCs w:val="20"/>
              </w:rPr>
            </w:pPr>
            <w:r w:rsidRPr="00052A4B">
              <w:rPr>
                <w:rFonts w:asciiTheme="minorHAnsi" w:hAnsiTheme="minorHAnsi" w:cstheme="minorHAnsi"/>
                <w:sz w:val="20"/>
                <w:szCs w:val="20"/>
              </w:rPr>
              <w:t>are eligible to have access</w:t>
            </w:r>
          </w:p>
          <w:p w14:paraId="142A4C88" w14:textId="77777777" w:rsidR="000607EB" w:rsidRPr="00052A4B" w:rsidRDefault="000607EB" w:rsidP="00171B39">
            <w:pPr>
              <w:pStyle w:val="ListParagraph"/>
              <w:widowControl w:val="0"/>
              <w:numPr>
                <w:ilvl w:val="0"/>
                <w:numId w:val="8"/>
              </w:numPr>
              <w:spacing w:after="0" w:line="240" w:lineRule="auto"/>
              <w:contextualSpacing w:val="0"/>
              <w:rPr>
                <w:rFonts w:asciiTheme="minorHAnsi" w:hAnsiTheme="minorHAnsi" w:cstheme="minorHAnsi"/>
                <w:sz w:val="20"/>
                <w:szCs w:val="20"/>
              </w:rPr>
            </w:pPr>
            <w:r w:rsidRPr="00052A4B">
              <w:rPr>
                <w:rFonts w:asciiTheme="minorHAnsi" w:hAnsiTheme="minorHAnsi" w:cstheme="minorHAnsi"/>
                <w:sz w:val="20"/>
                <w:szCs w:val="20"/>
              </w:rPr>
              <w:t>have had their identity established</w:t>
            </w:r>
          </w:p>
          <w:p w14:paraId="142A4C89" w14:textId="77777777" w:rsidR="000607EB" w:rsidRPr="00052A4B" w:rsidRDefault="000607EB" w:rsidP="00171B39">
            <w:pPr>
              <w:pStyle w:val="ListParagraph"/>
              <w:widowControl w:val="0"/>
              <w:numPr>
                <w:ilvl w:val="0"/>
                <w:numId w:val="8"/>
              </w:numPr>
              <w:spacing w:after="0" w:line="240" w:lineRule="auto"/>
              <w:contextualSpacing w:val="0"/>
              <w:rPr>
                <w:rFonts w:asciiTheme="minorHAnsi" w:hAnsiTheme="minorHAnsi" w:cstheme="minorHAnsi"/>
                <w:sz w:val="20"/>
                <w:szCs w:val="20"/>
              </w:rPr>
            </w:pPr>
            <w:r w:rsidRPr="00052A4B">
              <w:rPr>
                <w:rFonts w:asciiTheme="minorHAnsi" w:hAnsiTheme="minorHAnsi" w:cstheme="minorHAnsi"/>
                <w:sz w:val="20"/>
                <w:szCs w:val="20"/>
              </w:rPr>
              <w:t>are suitable to have access, and</w:t>
            </w:r>
          </w:p>
          <w:p w14:paraId="142A4C8A" w14:textId="77777777" w:rsidR="000607EB" w:rsidRPr="00052A4B" w:rsidRDefault="000607EB" w:rsidP="00171B39">
            <w:pPr>
              <w:pStyle w:val="ListParagraph"/>
              <w:widowControl w:val="0"/>
              <w:numPr>
                <w:ilvl w:val="0"/>
                <w:numId w:val="8"/>
              </w:numPr>
              <w:spacing w:after="0" w:line="240" w:lineRule="auto"/>
              <w:contextualSpacing w:val="0"/>
              <w:rPr>
                <w:rFonts w:asciiTheme="minorHAnsi" w:hAnsiTheme="minorHAnsi" w:cstheme="minorHAnsi"/>
                <w:sz w:val="20"/>
                <w:szCs w:val="20"/>
              </w:rPr>
            </w:pPr>
            <w:r w:rsidRPr="00052A4B">
              <w:rPr>
                <w:rFonts w:asciiTheme="minorHAnsi" w:hAnsiTheme="minorHAnsi" w:cstheme="minorHAnsi"/>
                <w:sz w:val="20"/>
                <w:szCs w:val="20"/>
              </w:rPr>
              <w:t>agree to comply with the Government’s policies, standards, protocols and guidelines that safeguard that entity’s resources from harm.</w:t>
            </w:r>
          </w:p>
        </w:tc>
        <w:tc>
          <w:tcPr>
            <w:tcW w:w="1194" w:type="dxa"/>
            <w:tcBorders>
              <w:top w:val="single" w:sz="4" w:space="0" w:color="000000"/>
              <w:left w:val="single" w:sz="4" w:space="0" w:color="000000"/>
              <w:bottom w:val="single" w:sz="4" w:space="0" w:color="000000"/>
              <w:right w:val="single" w:sz="4" w:space="0" w:color="000000"/>
            </w:tcBorders>
          </w:tcPr>
          <w:p w14:paraId="142A4C8B" w14:textId="77777777" w:rsidR="000607EB" w:rsidRPr="003D0A6B"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85</w:t>
            </w:r>
          </w:p>
        </w:tc>
        <w:tc>
          <w:tcPr>
            <w:tcW w:w="956" w:type="dxa"/>
            <w:tcBorders>
              <w:top w:val="single" w:sz="4" w:space="0" w:color="000000"/>
              <w:left w:val="single" w:sz="4" w:space="0" w:color="000000"/>
              <w:bottom w:val="single" w:sz="4" w:space="0" w:color="000000"/>
              <w:right w:val="single" w:sz="4" w:space="0" w:color="000000"/>
            </w:tcBorders>
          </w:tcPr>
          <w:p w14:paraId="142A4C8C"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91.4%</w:t>
            </w:r>
          </w:p>
        </w:tc>
        <w:tc>
          <w:tcPr>
            <w:tcW w:w="846" w:type="dxa"/>
            <w:gridSpan w:val="2"/>
            <w:tcBorders>
              <w:top w:val="single" w:sz="4" w:space="0" w:color="000000"/>
              <w:left w:val="single" w:sz="4" w:space="0" w:color="000000"/>
              <w:bottom w:val="single" w:sz="4" w:space="0" w:color="000000"/>
              <w:right w:val="single" w:sz="4" w:space="0" w:color="000000"/>
            </w:tcBorders>
          </w:tcPr>
          <w:p w14:paraId="142A4C8D"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93.5%</w:t>
            </w:r>
          </w:p>
        </w:tc>
        <w:tc>
          <w:tcPr>
            <w:tcW w:w="1057" w:type="dxa"/>
            <w:tcBorders>
              <w:top w:val="single" w:sz="4" w:space="0" w:color="000000"/>
              <w:left w:val="single" w:sz="4" w:space="0" w:color="000000"/>
              <w:bottom w:val="single" w:sz="4" w:space="0" w:color="000000"/>
              <w:right w:val="single" w:sz="4" w:space="0" w:color="000000"/>
            </w:tcBorders>
          </w:tcPr>
          <w:p w14:paraId="142A4C8E" w14:textId="77777777" w:rsidR="000607EB" w:rsidRPr="0058424A"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-2.2</w:t>
            </w:r>
          </w:p>
        </w:tc>
        <w:tc>
          <w:tcPr>
            <w:tcW w:w="1695" w:type="dxa"/>
            <w:tcBorders>
              <w:top w:val="single" w:sz="4" w:space="0" w:color="000000"/>
              <w:left w:val="single" w:sz="4" w:space="0" w:color="000000"/>
              <w:bottom w:val="single" w:sz="4" w:space="0" w:color="000000"/>
              <w:right w:val="single" w:sz="4" w:space="0" w:color="000000"/>
            </w:tcBorders>
          </w:tcPr>
          <w:p w14:paraId="142A4C8F" w14:textId="77777777" w:rsidR="000607EB" w:rsidRPr="007B11C9" w:rsidRDefault="000607EB" w:rsidP="00171B39">
            <w:pPr>
              <w:spacing w:after="0" w:line="271" w:lineRule="auto"/>
              <w:rPr>
                <w:rFonts w:asciiTheme="minorHAnsi" w:hAnsiTheme="minorHAnsi" w:cstheme="minorHAnsi"/>
                <w:sz w:val="18"/>
                <w:szCs w:val="18"/>
              </w:rPr>
            </w:pPr>
            <w:r>
              <w:rPr>
                <w:rFonts w:asciiTheme="minorHAnsi" w:hAnsiTheme="minorHAnsi" w:cstheme="minorHAnsi"/>
                <w:sz w:val="18"/>
                <w:szCs w:val="18"/>
              </w:rPr>
              <w:t>N/A</w:t>
            </w:r>
          </w:p>
        </w:tc>
      </w:tr>
      <w:tr w:rsidR="000607EB" w:rsidRPr="00955B78" w14:paraId="142A4C98" w14:textId="77777777" w:rsidTr="000607EB">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91" w14:textId="77777777" w:rsidR="000607EB" w:rsidRPr="00052A4B" w:rsidRDefault="000607EB" w:rsidP="00171B39">
            <w:pPr>
              <w:spacing w:after="0"/>
              <w:jc w:val="center"/>
              <w:rPr>
                <w:rFonts w:asciiTheme="minorHAnsi" w:hAnsiTheme="minorHAnsi" w:cstheme="minorHAnsi"/>
                <w:sz w:val="20"/>
                <w:szCs w:val="20"/>
              </w:rPr>
            </w:pPr>
            <w:r w:rsidRPr="00052A4B">
              <w:rPr>
                <w:rFonts w:asciiTheme="minorHAnsi" w:hAnsiTheme="minorHAnsi" w:cstheme="minorHAnsi"/>
                <w:sz w:val="20"/>
                <w:szCs w:val="20"/>
                <w:u w:val="single"/>
              </w:rPr>
              <w:t>PERSEC-2</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92" w14:textId="77777777" w:rsidR="000607EB" w:rsidRPr="00052A4B" w:rsidRDefault="000607EB" w:rsidP="00171B39">
            <w:pPr>
              <w:widowControl w:val="0"/>
              <w:spacing w:after="0"/>
              <w:rPr>
                <w:rFonts w:asciiTheme="minorHAnsi" w:hAnsiTheme="minorHAnsi" w:cstheme="minorHAnsi"/>
                <w:sz w:val="20"/>
                <w:szCs w:val="20"/>
              </w:rPr>
            </w:pPr>
            <w:r w:rsidRPr="00052A4B">
              <w:rPr>
                <w:rFonts w:asciiTheme="minorHAnsi" w:hAnsiTheme="minorHAnsi" w:cstheme="minorHAnsi"/>
                <w:sz w:val="20"/>
                <w:szCs w:val="20"/>
              </w:rPr>
              <w:t>Entities must have policies and procedures to assess and manage the ongoing suitability for employment of their personnel.</w:t>
            </w:r>
          </w:p>
        </w:tc>
        <w:tc>
          <w:tcPr>
            <w:tcW w:w="1194" w:type="dxa"/>
            <w:tcBorders>
              <w:top w:val="single" w:sz="4" w:space="0" w:color="000000"/>
              <w:left w:val="single" w:sz="4" w:space="0" w:color="000000"/>
              <w:bottom w:val="single" w:sz="4" w:space="0" w:color="000000"/>
              <w:right w:val="single" w:sz="4" w:space="0" w:color="000000"/>
            </w:tcBorders>
          </w:tcPr>
          <w:p w14:paraId="142A4C93" w14:textId="77777777" w:rsidR="000607EB" w:rsidRPr="003D0A6B"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82</w:t>
            </w:r>
          </w:p>
        </w:tc>
        <w:tc>
          <w:tcPr>
            <w:tcW w:w="956" w:type="dxa"/>
            <w:tcBorders>
              <w:top w:val="single" w:sz="4" w:space="0" w:color="000000"/>
              <w:left w:val="single" w:sz="4" w:space="0" w:color="000000"/>
              <w:bottom w:val="single" w:sz="4" w:space="0" w:color="000000"/>
              <w:right w:val="single" w:sz="4" w:space="0" w:color="000000"/>
            </w:tcBorders>
          </w:tcPr>
          <w:p w14:paraId="142A4C94"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88.2%</w:t>
            </w:r>
          </w:p>
        </w:tc>
        <w:tc>
          <w:tcPr>
            <w:tcW w:w="846" w:type="dxa"/>
            <w:gridSpan w:val="2"/>
            <w:tcBorders>
              <w:top w:val="single" w:sz="4" w:space="0" w:color="000000"/>
              <w:left w:val="single" w:sz="4" w:space="0" w:color="000000"/>
              <w:bottom w:val="single" w:sz="4" w:space="0" w:color="000000"/>
              <w:right w:val="single" w:sz="4" w:space="0" w:color="000000"/>
            </w:tcBorders>
          </w:tcPr>
          <w:p w14:paraId="142A4C95"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82.8%</w:t>
            </w:r>
          </w:p>
        </w:tc>
        <w:tc>
          <w:tcPr>
            <w:tcW w:w="1057" w:type="dxa"/>
            <w:tcBorders>
              <w:top w:val="single" w:sz="4" w:space="0" w:color="000000"/>
              <w:left w:val="single" w:sz="4" w:space="0" w:color="000000"/>
              <w:bottom w:val="single" w:sz="4" w:space="0" w:color="000000"/>
              <w:right w:val="single" w:sz="4" w:space="0" w:color="000000"/>
            </w:tcBorders>
          </w:tcPr>
          <w:p w14:paraId="142A4C96" w14:textId="77777777" w:rsidR="000607EB" w:rsidRPr="0058424A" w:rsidRDefault="000607EB" w:rsidP="00171B39">
            <w:pPr>
              <w:spacing w:after="0" w:line="271" w:lineRule="auto"/>
              <w:jc w:val="center"/>
              <w:rPr>
                <w:rFonts w:asciiTheme="minorHAnsi" w:hAnsiTheme="minorHAnsi" w:cstheme="minorHAnsi"/>
                <w:sz w:val="18"/>
                <w:szCs w:val="18"/>
              </w:rPr>
            </w:pPr>
            <w:r w:rsidRPr="003E35AF">
              <w:rPr>
                <w:rFonts w:asciiTheme="minorHAnsi" w:hAnsiTheme="minorHAnsi" w:cstheme="minorHAnsi"/>
                <w:sz w:val="18"/>
                <w:szCs w:val="18"/>
              </w:rPr>
              <w:t>5.4</w:t>
            </w:r>
          </w:p>
        </w:tc>
        <w:tc>
          <w:tcPr>
            <w:tcW w:w="1695" w:type="dxa"/>
            <w:tcBorders>
              <w:top w:val="single" w:sz="4" w:space="0" w:color="000000"/>
              <w:left w:val="single" w:sz="4" w:space="0" w:color="000000"/>
              <w:bottom w:val="single" w:sz="4" w:space="0" w:color="000000"/>
              <w:right w:val="single" w:sz="4" w:space="0" w:color="000000"/>
            </w:tcBorders>
          </w:tcPr>
          <w:p w14:paraId="142A4C97" w14:textId="77777777" w:rsidR="000607EB" w:rsidRPr="007B11C9" w:rsidRDefault="000607EB" w:rsidP="00052F19">
            <w:pPr>
              <w:spacing w:after="0" w:line="271" w:lineRule="auto"/>
              <w:rPr>
                <w:rFonts w:asciiTheme="minorHAnsi" w:hAnsiTheme="minorHAnsi" w:cstheme="minorHAnsi"/>
                <w:sz w:val="18"/>
                <w:szCs w:val="18"/>
              </w:rPr>
            </w:pPr>
            <w:r w:rsidRPr="00F658E1">
              <w:rPr>
                <w:rFonts w:asciiTheme="minorHAnsi" w:hAnsiTheme="minorHAnsi" w:cstheme="minorHAnsi"/>
                <w:sz w:val="18"/>
                <w:szCs w:val="18"/>
              </w:rPr>
              <w:t>AGD</w:t>
            </w:r>
            <w:r w:rsidR="00052F19">
              <w:rPr>
                <w:rFonts w:asciiTheme="minorHAnsi" w:hAnsiTheme="minorHAnsi" w:cstheme="minorHAnsi"/>
                <w:sz w:val="18"/>
                <w:szCs w:val="18"/>
              </w:rPr>
              <w:t xml:space="preserve"> </w:t>
            </w:r>
            <w:r w:rsidRPr="00F658E1">
              <w:rPr>
                <w:rFonts w:asciiTheme="minorHAnsi" w:hAnsiTheme="minorHAnsi" w:cstheme="minorHAnsi"/>
                <w:sz w:val="18"/>
                <w:szCs w:val="18"/>
              </w:rPr>
              <w:t>led a series of outreach activities with a key focus on security culture and managing the ongoing suitability of personnel.</w:t>
            </w:r>
            <w:r>
              <w:rPr>
                <w:rFonts w:asciiTheme="minorHAnsi" w:hAnsiTheme="minorHAnsi" w:cstheme="minorHAnsi"/>
                <w:sz w:val="18"/>
                <w:szCs w:val="18"/>
              </w:rPr>
              <w:t xml:space="preserve"> </w:t>
            </w:r>
            <w:r w:rsidRPr="00F658E1">
              <w:rPr>
                <w:rFonts w:asciiTheme="minorHAnsi" w:hAnsiTheme="minorHAnsi" w:cstheme="minorHAnsi"/>
                <w:sz w:val="18"/>
                <w:szCs w:val="18"/>
              </w:rPr>
              <w:t>In line with this, there was a significant improvement in entities reporting full compliance.</w:t>
            </w:r>
          </w:p>
        </w:tc>
      </w:tr>
      <w:tr w:rsidR="000607EB" w:rsidRPr="00955B78" w14:paraId="142A4CA0" w14:textId="77777777" w:rsidTr="000607EB">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99" w14:textId="77777777" w:rsidR="000607EB" w:rsidRPr="00052A4B" w:rsidRDefault="000607EB" w:rsidP="00171B39">
            <w:pPr>
              <w:spacing w:after="0"/>
              <w:jc w:val="center"/>
              <w:rPr>
                <w:rFonts w:asciiTheme="minorHAnsi" w:hAnsiTheme="minorHAnsi" w:cstheme="minorHAnsi"/>
                <w:sz w:val="20"/>
                <w:szCs w:val="20"/>
              </w:rPr>
            </w:pPr>
            <w:r w:rsidRPr="00052A4B">
              <w:rPr>
                <w:rFonts w:asciiTheme="minorHAnsi" w:hAnsiTheme="minorHAnsi" w:cstheme="minorHAnsi"/>
                <w:sz w:val="20"/>
                <w:szCs w:val="20"/>
                <w:u w:val="single"/>
              </w:rPr>
              <w:t>PERSEC-3</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9A" w14:textId="77777777" w:rsidR="000607EB" w:rsidRPr="00052A4B" w:rsidRDefault="000607EB" w:rsidP="00171B39">
            <w:pPr>
              <w:spacing w:after="0" w:line="271" w:lineRule="auto"/>
              <w:rPr>
                <w:rFonts w:asciiTheme="minorHAnsi" w:hAnsiTheme="minorHAnsi" w:cstheme="minorHAnsi"/>
                <w:sz w:val="20"/>
                <w:szCs w:val="20"/>
              </w:rPr>
            </w:pPr>
            <w:r w:rsidRPr="00052A4B">
              <w:rPr>
                <w:rFonts w:asciiTheme="minorHAnsi" w:hAnsiTheme="minorHAnsi" w:cstheme="minorHAnsi"/>
                <w:sz w:val="20"/>
                <w:szCs w:val="20"/>
              </w:rPr>
              <w:t>Entities must identify, record and review positions that require a security clearance and the level of clearance required.</w:t>
            </w:r>
          </w:p>
        </w:tc>
        <w:tc>
          <w:tcPr>
            <w:tcW w:w="1194" w:type="dxa"/>
            <w:tcBorders>
              <w:top w:val="single" w:sz="4" w:space="0" w:color="000000"/>
              <w:left w:val="single" w:sz="4" w:space="0" w:color="000000"/>
              <w:bottom w:val="single" w:sz="4" w:space="0" w:color="000000"/>
              <w:right w:val="single" w:sz="4" w:space="0" w:color="000000"/>
            </w:tcBorders>
          </w:tcPr>
          <w:p w14:paraId="142A4C9B" w14:textId="77777777" w:rsidR="000607EB" w:rsidRPr="003D0A6B"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88</w:t>
            </w:r>
          </w:p>
        </w:tc>
        <w:tc>
          <w:tcPr>
            <w:tcW w:w="956" w:type="dxa"/>
            <w:tcBorders>
              <w:top w:val="single" w:sz="4" w:space="0" w:color="000000"/>
              <w:left w:val="single" w:sz="4" w:space="0" w:color="000000"/>
              <w:bottom w:val="single" w:sz="4" w:space="0" w:color="000000"/>
              <w:right w:val="single" w:sz="4" w:space="0" w:color="000000"/>
            </w:tcBorders>
          </w:tcPr>
          <w:p w14:paraId="142A4C9C"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94.6%</w:t>
            </w:r>
          </w:p>
        </w:tc>
        <w:tc>
          <w:tcPr>
            <w:tcW w:w="846" w:type="dxa"/>
            <w:gridSpan w:val="2"/>
            <w:tcBorders>
              <w:top w:val="single" w:sz="4" w:space="0" w:color="000000"/>
              <w:left w:val="single" w:sz="4" w:space="0" w:color="000000"/>
              <w:bottom w:val="single" w:sz="4" w:space="0" w:color="000000"/>
              <w:right w:val="single" w:sz="4" w:space="0" w:color="000000"/>
            </w:tcBorders>
          </w:tcPr>
          <w:p w14:paraId="142A4C9D"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91.4%</w:t>
            </w:r>
          </w:p>
        </w:tc>
        <w:tc>
          <w:tcPr>
            <w:tcW w:w="1057" w:type="dxa"/>
            <w:tcBorders>
              <w:top w:val="single" w:sz="4" w:space="0" w:color="000000"/>
              <w:left w:val="single" w:sz="4" w:space="0" w:color="000000"/>
              <w:bottom w:val="single" w:sz="4" w:space="0" w:color="000000"/>
              <w:right w:val="single" w:sz="4" w:space="0" w:color="000000"/>
            </w:tcBorders>
          </w:tcPr>
          <w:p w14:paraId="142A4C9E" w14:textId="77777777" w:rsidR="000607EB" w:rsidRPr="0058424A"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3.2</w:t>
            </w:r>
          </w:p>
        </w:tc>
        <w:tc>
          <w:tcPr>
            <w:tcW w:w="1695" w:type="dxa"/>
            <w:tcBorders>
              <w:top w:val="single" w:sz="4" w:space="0" w:color="000000"/>
              <w:left w:val="single" w:sz="4" w:space="0" w:color="000000"/>
              <w:bottom w:val="single" w:sz="4" w:space="0" w:color="000000"/>
              <w:right w:val="single" w:sz="4" w:space="0" w:color="000000"/>
            </w:tcBorders>
          </w:tcPr>
          <w:p w14:paraId="142A4C9F" w14:textId="77777777" w:rsidR="000607EB" w:rsidRPr="007B11C9" w:rsidRDefault="000607EB" w:rsidP="00171B39">
            <w:pPr>
              <w:spacing w:after="0" w:line="271" w:lineRule="auto"/>
              <w:rPr>
                <w:rFonts w:asciiTheme="minorHAnsi" w:hAnsiTheme="minorHAnsi" w:cstheme="minorHAnsi"/>
                <w:sz w:val="18"/>
                <w:szCs w:val="18"/>
              </w:rPr>
            </w:pPr>
            <w:r>
              <w:rPr>
                <w:rFonts w:asciiTheme="minorHAnsi" w:hAnsiTheme="minorHAnsi" w:cstheme="minorHAnsi"/>
                <w:sz w:val="18"/>
                <w:szCs w:val="18"/>
              </w:rPr>
              <w:t>N/A</w:t>
            </w:r>
          </w:p>
        </w:tc>
      </w:tr>
      <w:tr w:rsidR="000607EB" w:rsidRPr="00955B78" w14:paraId="142A4CA8" w14:textId="77777777" w:rsidTr="000607EB">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A1" w14:textId="77777777" w:rsidR="000607EB" w:rsidRPr="00052A4B" w:rsidRDefault="000607EB" w:rsidP="00171B39">
            <w:pPr>
              <w:spacing w:after="0"/>
              <w:jc w:val="center"/>
              <w:rPr>
                <w:rFonts w:asciiTheme="minorHAnsi" w:hAnsiTheme="minorHAnsi" w:cstheme="minorHAnsi"/>
                <w:sz w:val="20"/>
                <w:szCs w:val="20"/>
              </w:rPr>
            </w:pPr>
            <w:r w:rsidRPr="00052A4B">
              <w:rPr>
                <w:rFonts w:asciiTheme="minorHAnsi" w:hAnsiTheme="minorHAnsi" w:cstheme="minorHAnsi"/>
                <w:sz w:val="20"/>
                <w:szCs w:val="20"/>
                <w:u w:val="single"/>
              </w:rPr>
              <w:t>PERSEC-4</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A2" w14:textId="77777777" w:rsidR="000607EB" w:rsidRPr="00052A4B" w:rsidRDefault="000607EB" w:rsidP="00171B39">
            <w:pPr>
              <w:spacing w:after="0" w:line="271" w:lineRule="auto"/>
              <w:rPr>
                <w:rFonts w:asciiTheme="minorHAnsi" w:hAnsiTheme="minorHAnsi" w:cstheme="minorHAnsi"/>
                <w:sz w:val="20"/>
                <w:szCs w:val="20"/>
              </w:rPr>
            </w:pPr>
            <w:r w:rsidRPr="00052A4B">
              <w:rPr>
                <w:rFonts w:asciiTheme="minorHAnsi" w:hAnsiTheme="minorHAnsi" w:cstheme="minorHAnsi"/>
                <w:sz w:val="20"/>
                <w:szCs w:val="20"/>
              </w:rPr>
              <w:t>Entities must ensure their personnel with ongoing access to Australian Government security classified resources hold a security clearance at the appropriate level, sponsored by an Australian Government entity.</w:t>
            </w:r>
          </w:p>
        </w:tc>
        <w:tc>
          <w:tcPr>
            <w:tcW w:w="1194" w:type="dxa"/>
            <w:tcBorders>
              <w:top w:val="single" w:sz="4" w:space="0" w:color="000000"/>
              <w:left w:val="single" w:sz="4" w:space="0" w:color="000000"/>
              <w:bottom w:val="single" w:sz="4" w:space="0" w:color="000000"/>
              <w:right w:val="single" w:sz="4" w:space="0" w:color="000000"/>
            </w:tcBorders>
          </w:tcPr>
          <w:p w14:paraId="142A4CA3" w14:textId="77777777" w:rsidR="000607EB" w:rsidRPr="003D0A6B"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87</w:t>
            </w:r>
          </w:p>
        </w:tc>
        <w:tc>
          <w:tcPr>
            <w:tcW w:w="956" w:type="dxa"/>
            <w:tcBorders>
              <w:top w:val="single" w:sz="4" w:space="0" w:color="000000"/>
              <w:left w:val="single" w:sz="4" w:space="0" w:color="000000"/>
              <w:bottom w:val="single" w:sz="4" w:space="0" w:color="000000"/>
              <w:right w:val="single" w:sz="4" w:space="0" w:color="000000"/>
            </w:tcBorders>
          </w:tcPr>
          <w:p w14:paraId="142A4CA4"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93.5%</w:t>
            </w:r>
          </w:p>
        </w:tc>
        <w:tc>
          <w:tcPr>
            <w:tcW w:w="846" w:type="dxa"/>
            <w:gridSpan w:val="2"/>
            <w:tcBorders>
              <w:top w:val="single" w:sz="4" w:space="0" w:color="000000"/>
              <w:left w:val="single" w:sz="4" w:space="0" w:color="000000"/>
              <w:bottom w:val="single" w:sz="4" w:space="0" w:color="000000"/>
              <w:right w:val="single" w:sz="4" w:space="0" w:color="000000"/>
            </w:tcBorders>
          </w:tcPr>
          <w:p w14:paraId="142A4CA5"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93.5%</w:t>
            </w:r>
          </w:p>
        </w:tc>
        <w:tc>
          <w:tcPr>
            <w:tcW w:w="1057" w:type="dxa"/>
            <w:tcBorders>
              <w:top w:val="single" w:sz="4" w:space="0" w:color="000000"/>
              <w:left w:val="single" w:sz="4" w:space="0" w:color="000000"/>
              <w:bottom w:val="single" w:sz="4" w:space="0" w:color="000000"/>
              <w:right w:val="single" w:sz="4" w:space="0" w:color="000000"/>
            </w:tcBorders>
          </w:tcPr>
          <w:p w14:paraId="142A4CA6" w14:textId="77777777" w:rsidR="000607EB" w:rsidRPr="0058424A"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0.0</w:t>
            </w:r>
          </w:p>
        </w:tc>
        <w:tc>
          <w:tcPr>
            <w:tcW w:w="1695" w:type="dxa"/>
            <w:tcBorders>
              <w:top w:val="single" w:sz="4" w:space="0" w:color="000000"/>
              <w:left w:val="single" w:sz="4" w:space="0" w:color="000000"/>
              <w:bottom w:val="single" w:sz="4" w:space="0" w:color="000000"/>
              <w:right w:val="single" w:sz="4" w:space="0" w:color="000000"/>
            </w:tcBorders>
          </w:tcPr>
          <w:p w14:paraId="142A4CA7" w14:textId="77777777" w:rsidR="000607EB" w:rsidRPr="007B11C9" w:rsidRDefault="000607EB" w:rsidP="00171B39">
            <w:pPr>
              <w:spacing w:after="0" w:line="271" w:lineRule="auto"/>
              <w:rPr>
                <w:rFonts w:asciiTheme="minorHAnsi" w:hAnsiTheme="minorHAnsi" w:cstheme="minorHAnsi"/>
                <w:sz w:val="18"/>
                <w:szCs w:val="18"/>
              </w:rPr>
            </w:pPr>
            <w:r>
              <w:rPr>
                <w:rFonts w:asciiTheme="minorHAnsi" w:hAnsiTheme="minorHAnsi" w:cstheme="minorHAnsi"/>
                <w:sz w:val="18"/>
                <w:szCs w:val="18"/>
              </w:rPr>
              <w:t>No change in compliance</w:t>
            </w:r>
          </w:p>
        </w:tc>
      </w:tr>
      <w:tr w:rsidR="000607EB" w:rsidRPr="00955B78" w14:paraId="142A4CB5" w14:textId="77777777" w:rsidTr="000607EB">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A9" w14:textId="77777777" w:rsidR="000607EB" w:rsidRPr="00052A4B" w:rsidRDefault="000607EB" w:rsidP="00171B39">
            <w:pPr>
              <w:spacing w:after="0"/>
              <w:jc w:val="center"/>
              <w:rPr>
                <w:rFonts w:asciiTheme="minorHAnsi" w:hAnsiTheme="minorHAnsi" w:cstheme="minorHAnsi"/>
                <w:sz w:val="20"/>
                <w:szCs w:val="20"/>
              </w:rPr>
            </w:pPr>
            <w:r w:rsidRPr="00052A4B">
              <w:rPr>
                <w:rFonts w:asciiTheme="minorHAnsi" w:hAnsiTheme="minorHAnsi" w:cstheme="minorHAnsi"/>
                <w:sz w:val="20"/>
                <w:szCs w:val="20"/>
                <w:u w:val="single"/>
              </w:rPr>
              <w:t>PERSEC-5</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AA" w14:textId="77777777" w:rsidR="000607EB" w:rsidRPr="00052A4B" w:rsidRDefault="000607EB" w:rsidP="00171B39">
            <w:pPr>
              <w:spacing w:after="0" w:line="271" w:lineRule="auto"/>
              <w:rPr>
                <w:rFonts w:asciiTheme="minorHAnsi" w:hAnsiTheme="minorHAnsi"/>
                <w:sz w:val="20"/>
                <w:szCs w:val="20"/>
              </w:rPr>
            </w:pPr>
            <w:r w:rsidRPr="00052A4B">
              <w:rPr>
                <w:rFonts w:asciiTheme="minorHAnsi" w:hAnsiTheme="minorHAnsi"/>
                <w:bCs/>
                <w:sz w:val="20"/>
                <w:szCs w:val="20"/>
              </w:rPr>
              <w:t>Before issuing an eligibility waiver (citizenship or checkable background) and prior to requesting an Australian Government security clearance an entity must:</w:t>
            </w:r>
          </w:p>
          <w:p w14:paraId="142A4CAB" w14:textId="77777777" w:rsidR="000607EB" w:rsidRPr="00052A4B" w:rsidRDefault="000607EB" w:rsidP="00171B39">
            <w:pPr>
              <w:pStyle w:val="ListParagraph"/>
              <w:widowControl w:val="0"/>
              <w:numPr>
                <w:ilvl w:val="0"/>
                <w:numId w:val="8"/>
              </w:numPr>
              <w:spacing w:after="0" w:line="240" w:lineRule="auto"/>
              <w:contextualSpacing w:val="0"/>
              <w:rPr>
                <w:rFonts w:asciiTheme="minorHAnsi" w:hAnsiTheme="minorHAnsi" w:cstheme="minorHAnsi"/>
                <w:sz w:val="20"/>
                <w:szCs w:val="20"/>
              </w:rPr>
            </w:pPr>
            <w:r w:rsidRPr="00052A4B">
              <w:rPr>
                <w:rFonts w:asciiTheme="minorHAnsi" w:hAnsiTheme="minorHAnsi" w:cstheme="minorHAnsi"/>
                <w:sz w:val="20"/>
                <w:szCs w:val="20"/>
              </w:rPr>
              <w:t>justify an exceptional business requirement</w:t>
            </w:r>
          </w:p>
          <w:p w14:paraId="142A4CAC" w14:textId="77777777" w:rsidR="000607EB" w:rsidRPr="00052A4B" w:rsidRDefault="000607EB" w:rsidP="00171B39">
            <w:pPr>
              <w:pStyle w:val="ListParagraph"/>
              <w:widowControl w:val="0"/>
              <w:numPr>
                <w:ilvl w:val="0"/>
                <w:numId w:val="8"/>
              </w:numPr>
              <w:spacing w:after="0" w:line="240" w:lineRule="auto"/>
              <w:contextualSpacing w:val="0"/>
              <w:rPr>
                <w:rFonts w:asciiTheme="minorHAnsi" w:hAnsiTheme="minorHAnsi" w:cstheme="minorHAnsi"/>
                <w:sz w:val="20"/>
                <w:szCs w:val="20"/>
              </w:rPr>
            </w:pPr>
            <w:r w:rsidRPr="00052A4B">
              <w:rPr>
                <w:rFonts w:asciiTheme="minorHAnsi" w:hAnsiTheme="minorHAnsi" w:cstheme="minorHAnsi"/>
                <w:sz w:val="20"/>
                <w:szCs w:val="20"/>
              </w:rPr>
              <w:t>conduct and document a risk assessment</w:t>
            </w:r>
          </w:p>
          <w:p w14:paraId="142A4CAD" w14:textId="77777777" w:rsidR="000607EB" w:rsidRPr="00052A4B" w:rsidRDefault="000607EB" w:rsidP="00171B39">
            <w:pPr>
              <w:pStyle w:val="ListParagraph"/>
              <w:widowControl w:val="0"/>
              <w:numPr>
                <w:ilvl w:val="0"/>
                <w:numId w:val="8"/>
              </w:numPr>
              <w:spacing w:after="0" w:line="240" w:lineRule="auto"/>
              <w:contextualSpacing w:val="0"/>
              <w:rPr>
                <w:rFonts w:asciiTheme="minorHAnsi" w:hAnsiTheme="minorHAnsi" w:cstheme="minorHAnsi"/>
                <w:sz w:val="20"/>
                <w:szCs w:val="20"/>
              </w:rPr>
            </w:pPr>
            <w:r w:rsidRPr="00052A4B">
              <w:rPr>
                <w:rFonts w:asciiTheme="minorHAnsi" w:hAnsiTheme="minorHAnsi" w:cstheme="minorHAnsi"/>
                <w:sz w:val="20"/>
                <w:szCs w:val="20"/>
              </w:rPr>
              <w:t>define the period covered by the waiver (which cannot be open-ended)</w:t>
            </w:r>
          </w:p>
          <w:p w14:paraId="142A4CAE" w14:textId="77777777" w:rsidR="000607EB" w:rsidRPr="00052A4B" w:rsidRDefault="000607EB" w:rsidP="00171B39">
            <w:pPr>
              <w:pStyle w:val="ListParagraph"/>
              <w:widowControl w:val="0"/>
              <w:numPr>
                <w:ilvl w:val="0"/>
                <w:numId w:val="8"/>
              </w:numPr>
              <w:spacing w:after="0" w:line="240" w:lineRule="auto"/>
              <w:contextualSpacing w:val="0"/>
              <w:rPr>
                <w:rFonts w:asciiTheme="minorHAnsi" w:hAnsiTheme="minorHAnsi" w:cstheme="minorHAnsi"/>
                <w:sz w:val="20"/>
                <w:szCs w:val="20"/>
              </w:rPr>
            </w:pPr>
            <w:r w:rsidRPr="00052A4B">
              <w:rPr>
                <w:rFonts w:asciiTheme="minorHAnsi" w:hAnsiTheme="minorHAnsi" w:cstheme="minorHAnsi"/>
                <w:sz w:val="20"/>
                <w:szCs w:val="20"/>
              </w:rPr>
              <w:t xml:space="preserve">gain agreement from the clearance applicant to meet the conditions of the waiver </w:t>
            </w:r>
          </w:p>
          <w:p w14:paraId="142A4CAF" w14:textId="77777777" w:rsidR="00DB6203" w:rsidRPr="00DB6203" w:rsidRDefault="000607EB" w:rsidP="00F17D4F">
            <w:pPr>
              <w:pStyle w:val="ListParagraph"/>
              <w:widowControl w:val="0"/>
              <w:numPr>
                <w:ilvl w:val="0"/>
                <w:numId w:val="8"/>
              </w:numPr>
              <w:spacing w:after="0" w:line="240" w:lineRule="auto"/>
              <w:contextualSpacing w:val="0"/>
              <w:rPr>
                <w:rFonts w:asciiTheme="minorHAnsi" w:hAnsiTheme="minorHAnsi" w:cstheme="minorHAnsi"/>
                <w:sz w:val="20"/>
                <w:szCs w:val="20"/>
              </w:rPr>
            </w:pPr>
            <w:r w:rsidRPr="00F17D4F">
              <w:rPr>
                <w:rFonts w:asciiTheme="minorHAnsi" w:hAnsiTheme="minorHAnsi" w:cstheme="minorHAnsi"/>
                <w:sz w:val="20"/>
                <w:szCs w:val="20"/>
              </w:rPr>
              <w:t>consult with the vetting entity</w:t>
            </w:r>
            <w:r w:rsidR="00DB6203" w:rsidRPr="00F17D4F">
              <w:rPr>
                <w:rFonts w:asciiTheme="minorHAnsi" w:hAnsiTheme="minorHAnsi" w:cstheme="minorHAnsi"/>
                <w:sz w:val="20"/>
                <w:szCs w:val="20"/>
              </w:rPr>
              <w:t>.</w:t>
            </w:r>
          </w:p>
        </w:tc>
        <w:tc>
          <w:tcPr>
            <w:tcW w:w="1194" w:type="dxa"/>
            <w:tcBorders>
              <w:top w:val="single" w:sz="4" w:space="0" w:color="000000"/>
              <w:left w:val="single" w:sz="4" w:space="0" w:color="000000"/>
              <w:bottom w:val="single" w:sz="4" w:space="0" w:color="000000"/>
              <w:right w:val="single" w:sz="4" w:space="0" w:color="000000"/>
            </w:tcBorders>
          </w:tcPr>
          <w:p w14:paraId="142A4CB0" w14:textId="77777777" w:rsidR="000607EB" w:rsidRPr="003D0A6B"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84</w:t>
            </w:r>
          </w:p>
        </w:tc>
        <w:tc>
          <w:tcPr>
            <w:tcW w:w="956" w:type="dxa"/>
            <w:tcBorders>
              <w:top w:val="single" w:sz="4" w:space="0" w:color="000000"/>
              <w:left w:val="single" w:sz="4" w:space="0" w:color="000000"/>
              <w:bottom w:val="single" w:sz="4" w:space="0" w:color="000000"/>
              <w:right w:val="single" w:sz="4" w:space="0" w:color="000000"/>
            </w:tcBorders>
          </w:tcPr>
          <w:p w14:paraId="142A4CB1"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90.3%</w:t>
            </w:r>
          </w:p>
        </w:tc>
        <w:tc>
          <w:tcPr>
            <w:tcW w:w="846" w:type="dxa"/>
            <w:gridSpan w:val="2"/>
            <w:tcBorders>
              <w:top w:val="single" w:sz="4" w:space="0" w:color="000000"/>
              <w:left w:val="single" w:sz="4" w:space="0" w:color="000000"/>
              <w:bottom w:val="single" w:sz="4" w:space="0" w:color="000000"/>
              <w:right w:val="single" w:sz="4" w:space="0" w:color="000000"/>
            </w:tcBorders>
          </w:tcPr>
          <w:p w14:paraId="142A4CB2"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94.6%</w:t>
            </w:r>
          </w:p>
        </w:tc>
        <w:tc>
          <w:tcPr>
            <w:tcW w:w="1057" w:type="dxa"/>
            <w:tcBorders>
              <w:top w:val="single" w:sz="4" w:space="0" w:color="000000"/>
              <w:left w:val="single" w:sz="4" w:space="0" w:color="000000"/>
              <w:bottom w:val="single" w:sz="4" w:space="0" w:color="000000"/>
              <w:right w:val="single" w:sz="4" w:space="0" w:color="000000"/>
            </w:tcBorders>
          </w:tcPr>
          <w:p w14:paraId="142A4CB3" w14:textId="77777777" w:rsidR="000607EB" w:rsidRPr="0058424A"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-4.3</w:t>
            </w:r>
          </w:p>
        </w:tc>
        <w:tc>
          <w:tcPr>
            <w:tcW w:w="1695" w:type="dxa"/>
            <w:tcBorders>
              <w:top w:val="single" w:sz="4" w:space="0" w:color="000000"/>
              <w:left w:val="single" w:sz="4" w:space="0" w:color="000000"/>
              <w:bottom w:val="single" w:sz="4" w:space="0" w:color="000000"/>
              <w:right w:val="single" w:sz="4" w:space="0" w:color="000000"/>
            </w:tcBorders>
          </w:tcPr>
          <w:p w14:paraId="142A4CB4" w14:textId="77777777" w:rsidR="000607EB" w:rsidRPr="007B11C9" w:rsidRDefault="000607EB" w:rsidP="00171B39">
            <w:pPr>
              <w:spacing w:after="0" w:line="271" w:lineRule="auto"/>
              <w:rPr>
                <w:rFonts w:asciiTheme="minorHAnsi" w:hAnsiTheme="minorHAnsi" w:cstheme="minorHAnsi"/>
                <w:sz w:val="18"/>
                <w:szCs w:val="18"/>
              </w:rPr>
            </w:pPr>
            <w:r>
              <w:rPr>
                <w:rFonts w:asciiTheme="minorHAnsi" w:hAnsiTheme="minorHAnsi" w:cstheme="minorHAnsi"/>
                <w:sz w:val="18"/>
                <w:szCs w:val="18"/>
              </w:rPr>
              <w:t>N/A</w:t>
            </w:r>
          </w:p>
        </w:tc>
      </w:tr>
      <w:tr w:rsidR="000607EB" w:rsidRPr="00955B78" w14:paraId="142A4CBD" w14:textId="77777777" w:rsidTr="000607EB">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B6" w14:textId="77777777" w:rsidR="000607EB" w:rsidRPr="00052A4B" w:rsidRDefault="000607EB" w:rsidP="00171B39">
            <w:pPr>
              <w:spacing w:after="0"/>
              <w:jc w:val="center"/>
              <w:rPr>
                <w:rFonts w:asciiTheme="minorHAnsi" w:hAnsiTheme="minorHAnsi" w:cstheme="minorHAnsi"/>
                <w:sz w:val="20"/>
                <w:szCs w:val="20"/>
              </w:rPr>
            </w:pPr>
            <w:r w:rsidRPr="00052A4B">
              <w:rPr>
                <w:rFonts w:asciiTheme="minorHAnsi" w:hAnsiTheme="minorHAnsi" w:cstheme="minorHAnsi"/>
                <w:sz w:val="20"/>
                <w:szCs w:val="20"/>
                <w:u w:val="single"/>
              </w:rPr>
              <w:t>PERSEC-6</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B7" w14:textId="77777777" w:rsidR="000607EB" w:rsidRPr="00052A4B" w:rsidRDefault="000607EB" w:rsidP="00171B39">
            <w:pPr>
              <w:spacing w:after="0" w:line="271" w:lineRule="auto"/>
              <w:rPr>
                <w:rFonts w:asciiTheme="minorHAnsi" w:hAnsiTheme="minorHAnsi" w:cstheme="minorHAnsi"/>
                <w:sz w:val="20"/>
                <w:szCs w:val="20"/>
              </w:rPr>
            </w:pPr>
            <w:r w:rsidRPr="00052A4B">
              <w:rPr>
                <w:rStyle w:val="Strong"/>
                <w:rFonts w:asciiTheme="minorHAnsi" w:hAnsiTheme="minorHAnsi" w:cs="Calibri"/>
                <w:b w:val="0"/>
                <w:sz w:val="20"/>
                <w:szCs w:val="20"/>
              </w:rPr>
              <w:t>Entities, other than authorised vetting entities, must use the Australian Government Security Vetting Entity (AGSVA) to conduct initial vetting and reviews.</w:t>
            </w:r>
          </w:p>
        </w:tc>
        <w:tc>
          <w:tcPr>
            <w:tcW w:w="1194" w:type="dxa"/>
            <w:tcBorders>
              <w:top w:val="single" w:sz="4" w:space="0" w:color="000000"/>
              <w:left w:val="single" w:sz="4" w:space="0" w:color="000000"/>
              <w:bottom w:val="single" w:sz="4" w:space="0" w:color="000000"/>
              <w:right w:val="single" w:sz="4" w:space="0" w:color="000000"/>
            </w:tcBorders>
          </w:tcPr>
          <w:p w14:paraId="142A4CB8" w14:textId="77777777" w:rsidR="000607EB" w:rsidRPr="003D0A6B"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91</w:t>
            </w:r>
          </w:p>
        </w:tc>
        <w:tc>
          <w:tcPr>
            <w:tcW w:w="956" w:type="dxa"/>
            <w:tcBorders>
              <w:top w:val="single" w:sz="4" w:space="0" w:color="000000"/>
              <w:left w:val="single" w:sz="4" w:space="0" w:color="000000"/>
              <w:bottom w:val="single" w:sz="4" w:space="0" w:color="000000"/>
              <w:right w:val="single" w:sz="4" w:space="0" w:color="000000"/>
            </w:tcBorders>
          </w:tcPr>
          <w:p w14:paraId="142A4CB9"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97.8%</w:t>
            </w:r>
          </w:p>
        </w:tc>
        <w:tc>
          <w:tcPr>
            <w:tcW w:w="846" w:type="dxa"/>
            <w:gridSpan w:val="2"/>
            <w:tcBorders>
              <w:top w:val="single" w:sz="4" w:space="0" w:color="000000"/>
              <w:left w:val="single" w:sz="4" w:space="0" w:color="000000"/>
              <w:bottom w:val="single" w:sz="4" w:space="0" w:color="000000"/>
              <w:right w:val="single" w:sz="4" w:space="0" w:color="000000"/>
            </w:tcBorders>
          </w:tcPr>
          <w:p w14:paraId="142A4CBA"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97.8%</w:t>
            </w:r>
          </w:p>
        </w:tc>
        <w:tc>
          <w:tcPr>
            <w:tcW w:w="1057" w:type="dxa"/>
            <w:tcBorders>
              <w:top w:val="single" w:sz="4" w:space="0" w:color="000000"/>
              <w:left w:val="single" w:sz="4" w:space="0" w:color="000000"/>
              <w:bottom w:val="single" w:sz="4" w:space="0" w:color="000000"/>
              <w:right w:val="single" w:sz="4" w:space="0" w:color="000000"/>
            </w:tcBorders>
          </w:tcPr>
          <w:p w14:paraId="142A4CBB" w14:textId="77777777" w:rsidR="000607EB" w:rsidRPr="0058424A"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0.0</w:t>
            </w:r>
          </w:p>
        </w:tc>
        <w:tc>
          <w:tcPr>
            <w:tcW w:w="1695" w:type="dxa"/>
            <w:tcBorders>
              <w:top w:val="single" w:sz="4" w:space="0" w:color="000000"/>
              <w:left w:val="single" w:sz="4" w:space="0" w:color="000000"/>
              <w:bottom w:val="single" w:sz="4" w:space="0" w:color="000000"/>
              <w:right w:val="single" w:sz="4" w:space="0" w:color="000000"/>
            </w:tcBorders>
          </w:tcPr>
          <w:p w14:paraId="142A4CBC" w14:textId="77777777" w:rsidR="000607EB" w:rsidRPr="007B11C9" w:rsidRDefault="000607EB" w:rsidP="00171B39">
            <w:pPr>
              <w:spacing w:after="0" w:line="271" w:lineRule="auto"/>
              <w:rPr>
                <w:rFonts w:cstheme="minorHAnsi"/>
                <w:bCs/>
                <w:sz w:val="18"/>
                <w:szCs w:val="18"/>
              </w:rPr>
            </w:pPr>
            <w:r>
              <w:rPr>
                <w:rFonts w:asciiTheme="minorHAnsi" w:hAnsiTheme="minorHAnsi" w:cstheme="minorHAnsi"/>
                <w:sz w:val="18"/>
                <w:szCs w:val="18"/>
              </w:rPr>
              <w:t>No change in compliance</w:t>
            </w:r>
          </w:p>
        </w:tc>
      </w:tr>
      <w:tr w:rsidR="000607EB" w:rsidRPr="00955B78" w14:paraId="142A4CC5" w14:textId="77777777" w:rsidTr="000607EB">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BE" w14:textId="77777777" w:rsidR="000607EB" w:rsidRPr="00052A4B" w:rsidRDefault="000607EB" w:rsidP="00171B39">
            <w:pPr>
              <w:spacing w:after="0"/>
              <w:jc w:val="center"/>
              <w:rPr>
                <w:rFonts w:asciiTheme="minorHAnsi" w:hAnsiTheme="minorHAnsi" w:cstheme="minorHAnsi"/>
                <w:sz w:val="20"/>
                <w:szCs w:val="20"/>
                <w:u w:val="single"/>
              </w:rPr>
            </w:pPr>
            <w:r w:rsidRPr="00052A4B">
              <w:rPr>
                <w:rFonts w:asciiTheme="minorHAnsi" w:hAnsiTheme="minorHAnsi" w:cstheme="minorHAnsi"/>
                <w:sz w:val="20"/>
                <w:szCs w:val="20"/>
                <w:u w:val="single"/>
              </w:rPr>
              <w:lastRenderedPageBreak/>
              <w:t>PERSEC-7</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BF" w14:textId="77777777" w:rsidR="000607EB" w:rsidRPr="00052A4B" w:rsidRDefault="000607EB" w:rsidP="00171B39">
            <w:pPr>
              <w:spacing w:after="0" w:line="271" w:lineRule="auto"/>
              <w:rPr>
                <w:rStyle w:val="Strong"/>
                <w:rFonts w:asciiTheme="minorHAnsi" w:hAnsiTheme="minorHAnsi" w:cs="Calibri"/>
                <w:b w:val="0"/>
                <w:sz w:val="20"/>
                <w:szCs w:val="20"/>
              </w:rPr>
            </w:pPr>
            <w:r w:rsidRPr="00052A4B">
              <w:rPr>
                <w:rFonts w:asciiTheme="minorHAnsi" w:hAnsiTheme="minorHAnsi" w:cs="Calibri"/>
                <w:color w:val="000000"/>
                <w:sz w:val="20"/>
                <w:szCs w:val="20"/>
                <w:lang w:val="en-US"/>
              </w:rPr>
              <w:t>Entities must establish, implement and maintain security clearance policies and procedures for clearance maintenance in their entities.</w:t>
            </w:r>
          </w:p>
        </w:tc>
        <w:tc>
          <w:tcPr>
            <w:tcW w:w="1194" w:type="dxa"/>
            <w:tcBorders>
              <w:top w:val="single" w:sz="4" w:space="0" w:color="000000"/>
              <w:left w:val="single" w:sz="4" w:space="0" w:color="000000"/>
              <w:bottom w:val="single" w:sz="4" w:space="0" w:color="000000"/>
              <w:right w:val="single" w:sz="4" w:space="0" w:color="000000"/>
            </w:tcBorders>
          </w:tcPr>
          <w:p w14:paraId="142A4CC0" w14:textId="77777777" w:rsidR="000607EB" w:rsidRPr="003D0A6B"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82</w:t>
            </w:r>
          </w:p>
        </w:tc>
        <w:tc>
          <w:tcPr>
            <w:tcW w:w="956" w:type="dxa"/>
            <w:tcBorders>
              <w:top w:val="single" w:sz="4" w:space="0" w:color="000000"/>
              <w:left w:val="single" w:sz="4" w:space="0" w:color="000000"/>
              <w:bottom w:val="single" w:sz="4" w:space="0" w:color="000000"/>
              <w:right w:val="single" w:sz="4" w:space="0" w:color="000000"/>
            </w:tcBorders>
          </w:tcPr>
          <w:p w14:paraId="142A4CC1"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88.2%</w:t>
            </w:r>
          </w:p>
        </w:tc>
        <w:tc>
          <w:tcPr>
            <w:tcW w:w="846" w:type="dxa"/>
            <w:gridSpan w:val="2"/>
            <w:tcBorders>
              <w:top w:val="single" w:sz="4" w:space="0" w:color="000000"/>
              <w:left w:val="single" w:sz="4" w:space="0" w:color="000000"/>
              <w:bottom w:val="single" w:sz="4" w:space="0" w:color="000000"/>
              <w:right w:val="single" w:sz="4" w:space="0" w:color="000000"/>
            </w:tcBorders>
          </w:tcPr>
          <w:p w14:paraId="142A4CC2"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87.1%</w:t>
            </w:r>
          </w:p>
        </w:tc>
        <w:tc>
          <w:tcPr>
            <w:tcW w:w="1057" w:type="dxa"/>
            <w:tcBorders>
              <w:top w:val="single" w:sz="4" w:space="0" w:color="000000"/>
              <w:left w:val="single" w:sz="4" w:space="0" w:color="000000"/>
              <w:bottom w:val="single" w:sz="4" w:space="0" w:color="000000"/>
              <w:right w:val="single" w:sz="4" w:space="0" w:color="000000"/>
            </w:tcBorders>
          </w:tcPr>
          <w:p w14:paraId="142A4CC3" w14:textId="77777777" w:rsidR="000607EB" w:rsidRPr="0058424A"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1.1</w:t>
            </w:r>
          </w:p>
        </w:tc>
        <w:tc>
          <w:tcPr>
            <w:tcW w:w="1695" w:type="dxa"/>
            <w:tcBorders>
              <w:top w:val="single" w:sz="4" w:space="0" w:color="000000"/>
              <w:left w:val="single" w:sz="4" w:space="0" w:color="000000"/>
              <w:bottom w:val="single" w:sz="4" w:space="0" w:color="000000"/>
              <w:right w:val="single" w:sz="4" w:space="0" w:color="000000"/>
            </w:tcBorders>
          </w:tcPr>
          <w:p w14:paraId="142A4CC4" w14:textId="77777777" w:rsidR="000607EB" w:rsidRPr="007B11C9" w:rsidRDefault="000607EB" w:rsidP="00171B39">
            <w:pPr>
              <w:spacing w:after="0" w:line="271" w:lineRule="auto"/>
              <w:rPr>
                <w:rFonts w:asciiTheme="minorHAnsi" w:hAnsiTheme="minorHAnsi" w:cstheme="minorHAnsi"/>
                <w:sz w:val="18"/>
                <w:szCs w:val="18"/>
              </w:rPr>
            </w:pPr>
            <w:r>
              <w:rPr>
                <w:rFonts w:asciiTheme="minorHAnsi" w:hAnsiTheme="minorHAnsi" w:cstheme="minorHAnsi"/>
                <w:sz w:val="18"/>
                <w:szCs w:val="18"/>
              </w:rPr>
              <w:t>N/A</w:t>
            </w:r>
          </w:p>
        </w:tc>
      </w:tr>
      <w:tr w:rsidR="000607EB" w:rsidRPr="00955B78" w14:paraId="142A4CCD" w14:textId="77777777" w:rsidTr="000607EB">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C6" w14:textId="77777777" w:rsidR="000607EB" w:rsidRPr="00052A4B" w:rsidRDefault="000607EB" w:rsidP="00171B39">
            <w:pPr>
              <w:spacing w:after="0"/>
              <w:jc w:val="center"/>
              <w:rPr>
                <w:rFonts w:asciiTheme="minorHAnsi" w:hAnsiTheme="minorHAnsi" w:cstheme="minorHAnsi"/>
                <w:sz w:val="20"/>
                <w:szCs w:val="20"/>
                <w:u w:val="single"/>
              </w:rPr>
            </w:pPr>
            <w:r w:rsidRPr="00052A4B">
              <w:rPr>
                <w:rFonts w:asciiTheme="minorHAnsi" w:hAnsiTheme="minorHAnsi" w:cstheme="minorHAnsi"/>
                <w:sz w:val="20"/>
                <w:szCs w:val="20"/>
                <w:u w:val="single"/>
              </w:rPr>
              <w:t>PERSEC-8</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C7" w14:textId="77777777" w:rsidR="000607EB" w:rsidRPr="00052A4B" w:rsidRDefault="000607EB" w:rsidP="00171B39">
            <w:pPr>
              <w:spacing w:after="0" w:line="271" w:lineRule="auto"/>
              <w:rPr>
                <w:rStyle w:val="Strong"/>
                <w:rFonts w:asciiTheme="minorHAnsi" w:hAnsiTheme="minorHAnsi" w:cs="Calibri"/>
                <w:b w:val="0"/>
                <w:sz w:val="20"/>
                <w:szCs w:val="20"/>
              </w:rPr>
            </w:pPr>
            <w:r w:rsidRPr="00052A4B">
              <w:rPr>
                <w:rFonts w:asciiTheme="minorHAnsi" w:hAnsiTheme="minorHAnsi" w:cs="Calibri"/>
                <w:color w:val="000000"/>
                <w:sz w:val="20"/>
                <w:szCs w:val="20"/>
                <w:lang w:val="en-US"/>
              </w:rPr>
              <w:t>Entities and vetting entities must share information that may impact on an individual’s ongoing suitability to hold an Australian Government security clearance.</w:t>
            </w:r>
          </w:p>
        </w:tc>
        <w:tc>
          <w:tcPr>
            <w:tcW w:w="1194" w:type="dxa"/>
            <w:tcBorders>
              <w:top w:val="single" w:sz="4" w:space="0" w:color="000000"/>
              <w:left w:val="single" w:sz="4" w:space="0" w:color="000000"/>
              <w:bottom w:val="single" w:sz="4" w:space="0" w:color="000000"/>
              <w:right w:val="single" w:sz="4" w:space="0" w:color="000000"/>
            </w:tcBorders>
          </w:tcPr>
          <w:p w14:paraId="142A4CC8" w14:textId="77777777" w:rsidR="000607EB" w:rsidRPr="003D0A6B"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89</w:t>
            </w:r>
          </w:p>
        </w:tc>
        <w:tc>
          <w:tcPr>
            <w:tcW w:w="956" w:type="dxa"/>
            <w:tcBorders>
              <w:top w:val="single" w:sz="4" w:space="0" w:color="000000"/>
              <w:left w:val="single" w:sz="4" w:space="0" w:color="000000"/>
              <w:bottom w:val="single" w:sz="4" w:space="0" w:color="000000"/>
              <w:right w:val="single" w:sz="4" w:space="0" w:color="000000"/>
            </w:tcBorders>
          </w:tcPr>
          <w:p w14:paraId="142A4CC9"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95.7%</w:t>
            </w:r>
          </w:p>
        </w:tc>
        <w:tc>
          <w:tcPr>
            <w:tcW w:w="846" w:type="dxa"/>
            <w:gridSpan w:val="2"/>
            <w:tcBorders>
              <w:top w:val="single" w:sz="4" w:space="0" w:color="000000"/>
              <w:left w:val="single" w:sz="4" w:space="0" w:color="000000"/>
              <w:bottom w:val="single" w:sz="4" w:space="0" w:color="000000"/>
              <w:right w:val="single" w:sz="4" w:space="0" w:color="000000"/>
            </w:tcBorders>
          </w:tcPr>
          <w:p w14:paraId="142A4CCA"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95.7%</w:t>
            </w:r>
          </w:p>
        </w:tc>
        <w:tc>
          <w:tcPr>
            <w:tcW w:w="1057" w:type="dxa"/>
            <w:tcBorders>
              <w:top w:val="single" w:sz="4" w:space="0" w:color="000000"/>
              <w:left w:val="single" w:sz="4" w:space="0" w:color="000000"/>
              <w:bottom w:val="single" w:sz="4" w:space="0" w:color="000000"/>
              <w:right w:val="single" w:sz="4" w:space="0" w:color="000000"/>
            </w:tcBorders>
          </w:tcPr>
          <w:p w14:paraId="142A4CCB" w14:textId="77777777" w:rsidR="000607EB" w:rsidRPr="0058424A"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0.0</w:t>
            </w:r>
          </w:p>
        </w:tc>
        <w:tc>
          <w:tcPr>
            <w:tcW w:w="1695" w:type="dxa"/>
            <w:tcBorders>
              <w:top w:val="single" w:sz="4" w:space="0" w:color="000000"/>
              <w:left w:val="single" w:sz="4" w:space="0" w:color="000000"/>
              <w:bottom w:val="single" w:sz="4" w:space="0" w:color="000000"/>
              <w:right w:val="single" w:sz="4" w:space="0" w:color="000000"/>
            </w:tcBorders>
          </w:tcPr>
          <w:p w14:paraId="142A4CCC" w14:textId="77777777" w:rsidR="000607EB" w:rsidRPr="007B11C9" w:rsidRDefault="000607EB" w:rsidP="00171B39">
            <w:pPr>
              <w:spacing w:after="0" w:line="271" w:lineRule="auto"/>
              <w:rPr>
                <w:rFonts w:asciiTheme="minorHAnsi" w:hAnsiTheme="minorHAnsi" w:cstheme="minorHAnsi"/>
                <w:sz w:val="18"/>
                <w:szCs w:val="18"/>
              </w:rPr>
            </w:pPr>
            <w:r>
              <w:rPr>
                <w:rFonts w:asciiTheme="minorHAnsi" w:hAnsiTheme="minorHAnsi" w:cstheme="minorHAnsi"/>
                <w:sz w:val="18"/>
                <w:szCs w:val="18"/>
              </w:rPr>
              <w:t>No change in compliance</w:t>
            </w:r>
          </w:p>
        </w:tc>
      </w:tr>
      <w:tr w:rsidR="000607EB" w:rsidRPr="00955B78" w14:paraId="142A4CD7" w14:textId="77777777" w:rsidTr="000607EB">
        <w:tc>
          <w:tcPr>
            <w:tcW w:w="1101" w:type="dxa"/>
            <w:tcBorders>
              <w:top w:val="single" w:sz="4" w:space="0" w:color="000000"/>
              <w:left w:val="single" w:sz="4" w:space="0" w:color="000000"/>
              <w:bottom w:val="single" w:sz="4" w:space="0" w:color="000000"/>
              <w:right w:val="single" w:sz="4" w:space="0" w:color="000000"/>
            </w:tcBorders>
            <w:shd w:val="clear" w:color="auto" w:fill="auto"/>
          </w:tcPr>
          <w:p w14:paraId="142A4CCE" w14:textId="77777777" w:rsidR="000607EB" w:rsidRPr="00052A4B" w:rsidRDefault="000607EB" w:rsidP="00171B39">
            <w:pPr>
              <w:spacing w:after="0"/>
              <w:jc w:val="center"/>
              <w:rPr>
                <w:rFonts w:asciiTheme="minorHAnsi" w:hAnsiTheme="minorHAnsi" w:cstheme="minorHAnsi"/>
                <w:sz w:val="20"/>
                <w:szCs w:val="20"/>
                <w:u w:val="single"/>
              </w:rPr>
            </w:pPr>
            <w:r w:rsidRPr="00052A4B">
              <w:rPr>
                <w:rFonts w:asciiTheme="minorHAnsi" w:hAnsiTheme="minorHAnsi" w:cstheme="minorHAnsi"/>
                <w:sz w:val="20"/>
                <w:szCs w:val="20"/>
                <w:u w:val="single"/>
              </w:rPr>
              <w:t>PERSEC-9</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14:paraId="142A4CCF" w14:textId="77777777" w:rsidR="000607EB" w:rsidRPr="00052A4B" w:rsidRDefault="000607EB" w:rsidP="00171B39">
            <w:pPr>
              <w:spacing w:after="0" w:line="271" w:lineRule="auto"/>
              <w:rPr>
                <w:rFonts w:asciiTheme="minorHAnsi" w:hAnsiTheme="minorHAnsi" w:cs="Calibri"/>
                <w:sz w:val="20"/>
                <w:szCs w:val="20"/>
              </w:rPr>
            </w:pPr>
            <w:r w:rsidRPr="00052A4B">
              <w:rPr>
                <w:rFonts w:asciiTheme="minorHAnsi" w:hAnsiTheme="minorHAnsi" w:cs="Calibri"/>
                <w:sz w:val="20"/>
                <w:szCs w:val="20"/>
              </w:rPr>
              <w:t xml:space="preserve">Entities must have separation policies and procedures for departing clearance holders, which includes </w:t>
            </w:r>
            <w:r w:rsidRPr="00052A4B">
              <w:rPr>
                <w:rFonts w:asciiTheme="minorHAnsi" w:hAnsiTheme="minorHAnsi" w:cs="Calibri"/>
                <w:bCs/>
                <w:sz w:val="20"/>
                <w:szCs w:val="20"/>
              </w:rPr>
              <w:t>a requirement to</w:t>
            </w:r>
            <w:r w:rsidRPr="00052A4B">
              <w:rPr>
                <w:rFonts w:asciiTheme="minorHAnsi" w:hAnsiTheme="minorHAnsi" w:cs="Calibri"/>
                <w:sz w:val="20"/>
                <w:szCs w:val="20"/>
              </w:rPr>
              <w:t>:</w:t>
            </w:r>
          </w:p>
          <w:p w14:paraId="142A4CD0" w14:textId="77777777" w:rsidR="000607EB" w:rsidRPr="00052A4B" w:rsidRDefault="000607EB" w:rsidP="00171B39">
            <w:pPr>
              <w:pStyle w:val="ListParagraph"/>
              <w:widowControl w:val="0"/>
              <w:numPr>
                <w:ilvl w:val="0"/>
                <w:numId w:val="8"/>
              </w:numPr>
              <w:spacing w:after="0" w:line="240" w:lineRule="auto"/>
              <w:contextualSpacing w:val="0"/>
              <w:rPr>
                <w:rFonts w:asciiTheme="minorHAnsi" w:hAnsiTheme="minorHAnsi" w:cstheme="minorHAnsi"/>
                <w:sz w:val="20"/>
                <w:szCs w:val="20"/>
              </w:rPr>
            </w:pPr>
            <w:r w:rsidRPr="00052A4B">
              <w:rPr>
                <w:rFonts w:asciiTheme="minorHAnsi" w:hAnsiTheme="minorHAnsi" w:cstheme="minorHAnsi"/>
                <w:sz w:val="20"/>
                <w:szCs w:val="20"/>
              </w:rPr>
              <w:t>inform vetting entities when a clearance holder leaves entity employment or contract engagement</w:t>
            </w:r>
          </w:p>
          <w:p w14:paraId="142A4CD1" w14:textId="77777777" w:rsidR="000607EB" w:rsidRPr="00052A4B" w:rsidRDefault="000607EB" w:rsidP="00171B39">
            <w:pPr>
              <w:pStyle w:val="ListParagraph"/>
              <w:widowControl w:val="0"/>
              <w:numPr>
                <w:ilvl w:val="0"/>
                <w:numId w:val="8"/>
              </w:numPr>
              <w:spacing w:after="0" w:line="240" w:lineRule="auto"/>
              <w:contextualSpacing w:val="0"/>
              <w:rPr>
                <w:rStyle w:val="Strong"/>
                <w:rFonts w:asciiTheme="minorHAnsi" w:hAnsiTheme="minorHAnsi" w:cs="Calibri"/>
                <w:b w:val="0"/>
                <w:sz w:val="20"/>
                <w:szCs w:val="20"/>
              </w:rPr>
            </w:pPr>
            <w:r w:rsidRPr="00052A4B">
              <w:rPr>
                <w:rFonts w:asciiTheme="minorHAnsi" w:hAnsiTheme="minorHAnsi" w:cstheme="minorHAnsi"/>
                <w:sz w:val="20"/>
                <w:szCs w:val="20"/>
              </w:rPr>
              <w:t>advise vetting entities of any security concerns</w:t>
            </w:r>
          </w:p>
        </w:tc>
        <w:tc>
          <w:tcPr>
            <w:tcW w:w="1194" w:type="dxa"/>
            <w:tcBorders>
              <w:top w:val="single" w:sz="4" w:space="0" w:color="000000"/>
              <w:left w:val="single" w:sz="4" w:space="0" w:color="000000"/>
              <w:bottom w:val="single" w:sz="4" w:space="0" w:color="000000"/>
              <w:right w:val="single" w:sz="4" w:space="0" w:color="000000"/>
            </w:tcBorders>
          </w:tcPr>
          <w:p w14:paraId="142A4CD2" w14:textId="77777777" w:rsidR="000607EB" w:rsidRPr="003D0A6B"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86</w:t>
            </w:r>
          </w:p>
        </w:tc>
        <w:tc>
          <w:tcPr>
            <w:tcW w:w="956" w:type="dxa"/>
            <w:tcBorders>
              <w:top w:val="single" w:sz="4" w:space="0" w:color="000000"/>
              <w:left w:val="single" w:sz="4" w:space="0" w:color="000000"/>
              <w:bottom w:val="single" w:sz="4" w:space="0" w:color="000000"/>
              <w:right w:val="single" w:sz="4" w:space="0" w:color="000000"/>
            </w:tcBorders>
          </w:tcPr>
          <w:p w14:paraId="142A4CD3"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92.5%</w:t>
            </w:r>
          </w:p>
        </w:tc>
        <w:tc>
          <w:tcPr>
            <w:tcW w:w="846" w:type="dxa"/>
            <w:gridSpan w:val="2"/>
            <w:tcBorders>
              <w:top w:val="single" w:sz="4" w:space="0" w:color="000000"/>
              <w:left w:val="single" w:sz="4" w:space="0" w:color="000000"/>
              <w:bottom w:val="single" w:sz="4" w:space="0" w:color="000000"/>
              <w:right w:val="single" w:sz="4" w:space="0" w:color="000000"/>
            </w:tcBorders>
          </w:tcPr>
          <w:p w14:paraId="142A4CD4" w14:textId="77777777" w:rsidR="000607EB" w:rsidRPr="003D0A6B" w:rsidRDefault="000607EB" w:rsidP="00171B39">
            <w:pPr>
              <w:spacing w:after="0" w:line="271" w:lineRule="auto"/>
              <w:jc w:val="center"/>
              <w:rPr>
                <w:rFonts w:asciiTheme="minorHAnsi" w:hAnsiTheme="minorHAnsi" w:cstheme="minorHAnsi"/>
                <w:sz w:val="18"/>
                <w:szCs w:val="18"/>
              </w:rPr>
            </w:pPr>
            <w:r w:rsidRPr="003D0A6B">
              <w:rPr>
                <w:rFonts w:asciiTheme="minorHAnsi" w:hAnsiTheme="minorHAnsi" w:cstheme="minorHAnsi"/>
                <w:sz w:val="18"/>
                <w:szCs w:val="18"/>
              </w:rPr>
              <w:t>95.7%</w:t>
            </w:r>
          </w:p>
        </w:tc>
        <w:tc>
          <w:tcPr>
            <w:tcW w:w="1057" w:type="dxa"/>
            <w:tcBorders>
              <w:top w:val="single" w:sz="4" w:space="0" w:color="000000"/>
              <w:left w:val="single" w:sz="4" w:space="0" w:color="000000"/>
              <w:bottom w:val="single" w:sz="4" w:space="0" w:color="000000"/>
              <w:right w:val="single" w:sz="4" w:space="0" w:color="000000"/>
            </w:tcBorders>
          </w:tcPr>
          <w:p w14:paraId="142A4CD5" w14:textId="77777777" w:rsidR="000607EB" w:rsidRPr="0058424A" w:rsidRDefault="000607EB" w:rsidP="00171B39">
            <w:pPr>
              <w:spacing w:after="0" w:line="271" w:lineRule="auto"/>
              <w:jc w:val="center"/>
              <w:rPr>
                <w:rFonts w:asciiTheme="minorHAnsi" w:hAnsiTheme="minorHAnsi" w:cstheme="minorHAnsi"/>
                <w:sz w:val="18"/>
                <w:szCs w:val="18"/>
              </w:rPr>
            </w:pPr>
            <w:r>
              <w:rPr>
                <w:rFonts w:asciiTheme="minorHAnsi" w:hAnsiTheme="minorHAnsi" w:cstheme="minorHAnsi"/>
                <w:sz w:val="18"/>
                <w:szCs w:val="18"/>
              </w:rPr>
              <w:t>-3.2</w:t>
            </w:r>
          </w:p>
        </w:tc>
        <w:tc>
          <w:tcPr>
            <w:tcW w:w="1695" w:type="dxa"/>
            <w:tcBorders>
              <w:top w:val="single" w:sz="4" w:space="0" w:color="000000"/>
              <w:left w:val="single" w:sz="4" w:space="0" w:color="000000"/>
              <w:bottom w:val="single" w:sz="4" w:space="0" w:color="000000"/>
              <w:right w:val="single" w:sz="4" w:space="0" w:color="000000"/>
            </w:tcBorders>
          </w:tcPr>
          <w:p w14:paraId="142A4CD6" w14:textId="77777777" w:rsidR="000607EB" w:rsidRPr="007B11C9" w:rsidRDefault="000607EB" w:rsidP="00171B39">
            <w:pPr>
              <w:spacing w:after="0" w:line="271" w:lineRule="auto"/>
              <w:rPr>
                <w:rFonts w:asciiTheme="minorHAnsi" w:hAnsiTheme="minorHAnsi" w:cstheme="minorHAnsi"/>
                <w:sz w:val="18"/>
                <w:szCs w:val="18"/>
              </w:rPr>
            </w:pPr>
            <w:r>
              <w:rPr>
                <w:rFonts w:asciiTheme="minorHAnsi" w:hAnsiTheme="minorHAnsi" w:cstheme="minorHAnsi"/>
                <w:sz w:val="18"/>
                <w:szCs w:val="18"/>
              </w:rPr>
              <w:t>N/A</w:t>
            </w:r>
          </w:p>
        </w:tc>
      </w:tr>
    </w:tbl>
    <w:p w14:paraId="142A4CD8" w14:textId="77777777" w:rsidR="00E32BAB" w:rsidRPr="00A97397" w:rsidRDefault="00E32BAB" w:rsidP="00BA4361">
      <w:pPr>
        <w:rPr>
          <w:sz w:val="2"/>
          <w:szCs w:val="2"/>
        </w:rPr>
      </w:pPr>
    </w:p>
    <w:sectPr w:rsidR="00E32BAB" w:rsidRPr="00A97397" w:rsidSect="007F42A0">
      <w:footerReference w:type="default" r:id="rId22"/>
      <w:footerReference w:type="first" r:id="rId23"/>
      <w:pgSz w:w="11906" w:h="16838"/>
      <w:pgMar w:top="678" w:right="851" w:bottom="568" w:left="737" w:header="709" w:footer="232"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2A4CEC" w14:textId="77777777" w:rsidR="00894486" w:rsidRDefault="00894486" w:rsidP="00E32BAB">
      <w:pPr>
        <w:spacing w:after="0" w:line="240" w:lineRule="auto"/>
      </w:pPr>
      <w:r>
        <w:separator/>
      </w:r>
    </w:p>
  </w:endnote>
  <w:endnote w:type="continuationSeparator" w:id="0">
    <w:p w14:paraId="142A4CED" w14:textId="77777777" w:rsidR="00894486" w:rsidRDefault="00894486" w:rsidP="00E32B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17410847"/>
      <w:docPartObj>
        <w:docPartGallery w:val="Page Numbers (Bottom of Page)"/>
        <w:docPartUnique/>
      </w:docPartObj>
    </w:sdtPr>
    <w:sdtEndPr>
      <w:rPr>
        <w:noProof/>
      </w:rPr>
    </w:sdtEndPr>
    <w:sdtContent>
      <w:p w14:paraId="142A4CEE" w14:textId="3D739193" w:rsidR="00171B39" w:rsidRDefault="00171B39">
        <w:pPr>
          <w:pStyle w:val="Footer"/>
          <w:jc w:val="right"/>
        </w:pPr>
        <w:r>
          <w:fldChar w:fldCharType="begin"/>
        </w:r>
        <w:r>
          <w:instrText xml:space="preserve"> PAGE   \* MERGEFORMAT </w:instrText>
        </w:r>
        <w:r>
          <w:fldChar w:fldCharType="separate"/>
        </w:r>
        <w:r w:rsidR="007549B6">
          <w:rPr>
            <w:noProof/>
          </w:rPr>
          <w:t>1</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60993381"/>
      <w:docPartObj>
        <w:docPartGallery w:val="Page Numbers (Bottom of Page)"/>
        <w:docPartUnique/>
      </w:docPartObj>
    </w:sdtPr>
    <w:sdtEndPr>
      <w:rPr>
        <w:noProof/>
      </w:rPr>
    </w:sdtEndPr>
    <w:sdtContent>
      <w:p w14:paraId="142A4CEF" w14:textId="6DF9F204" w:rsidR="00171B39" w:rsidRDefault="00171B39">
        <w:pPr>
          <w:pStyle w:val="Footer"/>
          <w:jc w:val="right"/>
        </w:pPr>
        <w:r>
          <w:fldChar w:fldCharType="begin"/>
        </w:r>
        <w:r>
          <w:instrText xml:space="preserve"> PAGE   \* MERGEFORMAT </w:instrText>
        </w:r>
        <w:r>
          <w:fldChar w:fldCharType="separate"/>
        </w:r>
        <w:r w:rsidR="007549B6">
          <w:rPr>
            <w:noProof/>
          </w:rPr>
          <w:t>1</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2A4CF0" w14:textId="7833A264" w:rsidR="00171B39" w:rsidRPr="00A516D3" w:rsidRDefault="00171B39" w:rsidP="00A516D3">
    <w:pPr>
      <w:pStyle w:val="Header"/>
      <w:spacing w:after="0"/>
      <w:jc w:val="right"/>
      <w:rPr>
        <w:b/>
        <w:szCs w:val="32"/>
      </w:rPr>
    </w:pPr>
    <w:r>
      <w:t>A</w:t>
    </w:r>
    <w:sdt>
      <w:sdtPr>
        <w:id w:val="-1208881691"/>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7549B6">
          <w:rPr>
            <w:noProof/>
          </w:rPr>
          <w:t>6</w:t>
        </w:r>
        <w:r>
          <w:rPr>
            <w:noProof/>
          </w:rPr>
          <w:fldChar w:fldCharType="end"/>
        </w:r>
      </w:sdtContent>
    </w:sdt>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2A4CF1" w14:textId="19B89DB2" w:rsidR="00171B39" w:rsidRPr="00676DD0" w:rsidRDefault="007549B6" w:rsidP="00676DD0">
    <w:pPr>
      <w:pStyle w:val="Header"/>
      <w:spacing w:after="0"/>
      <w:jc w:val="right"/>
      <w:rPr>
        <w:b/>
        <w:szCs w:val="32"/>
      </w:rPr>
    </w:pPr>
    <w:sdt>
      <w:sdtPr>
        <w:id w:val="1621801109"/>
        <w:docPartObj>
          <w:docPartGallery w:val="Page Numbers (Bottom of Page)"/>
          <w:docPartUnique/>
        </w:docPartObj>
      </w:sdtPr>
      <w:sdtEndPr>
        <w:rPr>
          <w:noProof/>
        </w:rPr>
      </w:sdtEndPr>
      <w:sdtContent>
        <w:r w:rsidR="00171B39">
          <w:t>A</w:t>
        </w:r>
        <w:r w:rsidR="00171B39">
          <w:fldChar w:fldCharType="begin"/>
        </w:r>
        <w:r w:rsidR="00171B39">
          <w:instrText xml:space="preserve"> PAGE   \* MERGEFORMAT </w:instrText>
        </w:r>
        <w:r w:rsidR="00171B39">
          <w:fldChar w:fldCharType="separate"/>
        </w:r>
        <w:r>
          <w:rPr>
            <w:noProof/>
          </w:rPr>
          <w:t>1</w:t>
        </w:r>
        <w:r w:rsidR="00171B39">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2A4CEA" w14:textId="77777777" w:rsidR="00894486" w:rsidRDefault="00894486" w:rsidP="00E32BAB">
      <w:pPr>
        <w:spacing w:after="0" w:line="240" w:lineRule="auto"/>
      </w:pPr>
      <w:r>
        <w:separator/>
      </w:r>
    </w:p>
  </w:footnote>
  <w:footnote w:type="continuationSeparator" w:id="0">
    <w:p w14:paraId="142A4CEB" w14:textId="77777777" w:rsidR="00894486" w:rsidRDefault="00894486" w:rsidP="00E32BAB">
      <w:pPr>
        <w:spacing w:after="0" w:line="240" w:lineRule="auto"/>
      </w:pPr>
      <w:r>
        <w:continuationSeparator/>
      </w:r>
    </w:p>
  </w:footnote>
  <w:footnote w:id="1">
    <w:p w14:paraId="142A4CF2" w14:textId="77777777" w:rsidR="00171B39" w:rsidRPr="00882D8B" w:rsidRDefault="00171B39" w:rsidP="00466926">
      <w:pPr>
        <w:pStyle w:val="FootnoteText"/>
        <w:rPr>
          <w:sz w:val="16"/>
          <w:szCs w:val="16"/>
        </w:rPr>
      </w:pPr>
      <w:r w:rsidRPr="00882D8B">
        <w:rPr>
          <w:rStyle w:val="FootnoteReference"/>
          <w:sz w:val="16"/>
          <w:szCs w:val="16"/>
        </w:rPr>
        <w:footnoteRef/>
      </w:r>
      <w:r w:rsidRPr="00882D8B">
        <w:rPr>
          <w:sz w:val="16"/>
          <w:szCs w:val="16"/>
        </w:rPr>
        <w:t xml:space="preserve"> </w:t>
      </w:r>
      <w:r>
        <w:rPr>
          <w:sz w:val="16"/>
          <w:szCs w:val="16"/>
        </w:rPr>
        <w:t xml:space="preserve">For example, the February 2017 launch of </w:t>
      </w:r>
      <w:r w:rsidRPr="00882D8B">
        <w:rPr>
          <w:sz w:val="16"/>
          <w:szCs w:val="16"/>
        </w:rPr>
        <w:t>ASD’s Essential Eight strategies to mitigate cyber security incidents</w:t>
      </w:r>
      <w:r>
        <w:rPr>
          <w:sz w:val="16"/>
          <w:szCs w:val="16"/>
        </w:rPr>
        <w:t xml:space="preserve"> and the Prime Minister and Cabinet Office of the Cyber Security Special Adviser’s ongoing Cyber Security Strategy work.</w:t>
      </w:r>
    </w:p>
  </w:footnote>
  <w:footnote w:id="2">
    <w:p w14:paraId="142A4CF3" w14:textId="77777777" w:rsidR="00171B39" w:rsidRDefault="00171B39" w:rsidP="006549A7">
      <w:pPr>
        <w:pStyle w:val="FootnoteText"/>
        <w:spacing w:after="0"/>
      </w:pPr>
      <w:r w:rsidRPr="00725A83">
        <w:rPr>
          <w:rStyle w:val="FootnoteReference"/>
          <w:sz w:val="16"/>
          <w:szCs w:val="16"/>
        </w:rPr>
        <w:footnoteRef/>
      </w:r>
      <w:r w:rsidRPr="00725A83">
        <w:rPr>
          <w:sz w:val="16"/>
          <w:szCs w:val="16"/>
        </w:rPr>
        <w:t xml:space="preserve"> </w:t>
      </w:r>
      <w:r>
        <w:rPr>
          <w:sz w:val="16"/>
          <w:szCs w:val="16"/>
        </w:rPr>
        <w:t>T</w:t>
      </w:r>
      <w:r w:rsidRPr="00725A83">
        <w:rPr>
          <w:rFonts w:eastAsia="Times New Roman"/>
          <w:color w:val="000000"/>
          <w:sz w:val="16"/>
          <w:szCs w:val="16"/>
          <w:lang w:eastAsia="en-AU"/>
        </w:rPr>
        <w:t xml:space="preserve">he 12 month threshold means no more than 10% of </w:t>
      </w:r>
      <w:r>
        <w:rPr>
          <w:rFonts w:eastAsia="Times New Roman"/>
          <w:color w:val="000000"/>
          <w:sz w:val="16"/>
          <w:szCs w:val="16"/>
          <w:lang w:eastAsia="en-AU"/>
        </w:rPr>
        <w:t>a</w:t>
      </w:r>
      <w:r w:rsidRPr="00725A83">
        <w:rPr>
          <w:rFonts w:eastAsia="Times New Roman"/>
          <w:color w:val="000000"/>
          <w:sz w:val="16"/>
          <w:szCs w:val="16"/>
          <w:lang w:eastAsia="en-AU"/>
        </w:rPr>
        <w:t xml:space="preserve"> person’s background can be uncheckable at the </w:t>
      </w:r>
      <w:r>
        <w:rPr>
          <w:rFonts w:eastAsia="Times New Roman"/>
          <w:color w:val="000000"/>
          <w:sz w:val="16"/>
          <w:szCs w:val="16"/>
          <w:lang w:eastAsia="en-AU"/>
        </w:rPr>
        <w:t>NV2</w:t>
      </w:r>
      <w:r w:rsidRPr="00725A83">
        <w:rPr>
          <w:rFonts w:eastAsia="Times New Roman"/>
          <w:color w:val="000000"/>
          <w:sz w:val="16"/>
          <w:szCs w:val="16"/>
          <w:lang w:eastAsia="en-AU"/>
        </w:rPr>
        <w:t xml:space="preserve"> level without a waiver</w:t>
      </w:r>
      <w:r>
        <w:rPr>
          <w:rFonts w:eastAsia="Times New Roman"/>
          <w:color w:val="000000"/>
          <w:sz w:val="16"/>
          <w:szCs w:val="16"/>
          <w:lang w:eastAsia="en-AU"/>
        </w:rPr>
        <w:t xml:space="preserve"> and the threshold for PV level could be significantly higher</w:t>
      </w:r>
      <w:r w:rsidRPr="00725A83">
        <w:rPr>
          <w:rFonts w:eastAsia="Times New Roman"/>
          <w:color w:val="000000"/>
          <w:sz w:val="16"/>
          <w:szCs w:val="16"/>
          <w:lang w:eastAsia="en-AU"/>
        </w:rPr>
        <w:t>, compared to 20% of a person’s background at the Baseline level</w:t>
      </w:r>
      <w:r>
        <w:rPr>
          <w:rFonts w:eastAsia="Times New Roman"/>
          <w:color w:val="000000"/>
          <w:sz w:val="16"/>
          <w:szCs w:val="16"/>
          <w:lang w:eastAsia="en-AU"/>
        </w:rPr>
        <w:t>.</w:t>
      </w:r>
    </w:p>
  </w:footnote>
  <w:footnote w:id="3">
    <w:p w14:paraId="142A4CF4" w14:textId="77777777" w:rsidR="00171B39" w:rsidRPr="003C560A" w:rsidRDefault="00171B39" w:rsidP="003C560A">
      <w:pPr>
        <w:pStyle w:val="FootnoteText"/>
        <w:spacing w:after="0"/>
        <w:rPr>
          <w:sz w:val="16"/>
          <w:szCs w:val="16"/>
        </w:rPr>
      </w:pPr>
      <w:r w:rsidRPr="003C560A">
        <w:rPr>
          <w:rStyle w:val="FootnoteReference"/>
          <w:sz w:val="16"/>
          <w:szCs w:val="16"/>
        </w:rPr>
        <w:footnoteRef/>
      </w:r>
      <w:r w:rsidRPr="003C560A">
        <w:rPr>
          <w:sz w:val="16"/>
          <w:szCs w:val="16"/>
        </w:rPr>
        <w:t xml:space="preserve"> </w:t>
      </w:r>
      <w:r w:rsidRPr="00274DCA">
        <w:rPr>
          <w:sz w:val="16"/>
          <w:szCs w:val="16"/>
        </w:rPr>
        <w:t>During the year, the Joint Committee of Public Accounts and Audit question</w:t>
      </w:r>
      <w:r>
        <w:rPr>
          <w:sz w:val="16"/>
          <w:szCs w:val="16"/>
        </w:rPr>
        <w:t>ed</w:t>
      </w:r>
      <w:r w:rsidRPr="00274DCA">
        <w:rPr>
          <w:sz w:val="16"/>
          <w:szCs w:val="16"/>
        </w:rPr>
        <w:t xml:space="preserve"> the accuracy of </w:t>
      </w:r>
      <w:r>
        <w:rPr>
          <w:sz w:val="16"/>
          <w:szCs w:val="16"/>
        </w:rPr>
        <w:t xml:space="preserve">the PSPF’s </w:t>
      </w:r>
      <w:r w:rsidRPr="00274DCA">
        <w:rPr>
          <w:sz w:val="16"/>
          <w:szCs w:val="16"/>
        </w:rPr>
        <w:t>self-assessed compliance reporti</w:t>
      </w:r>
      <w:r>
        <w:rPr>
          <w:sz w:val="16"/>
          <w:szCs w:val="16"/>
        </w:rPr>
        <w:t>ng,</w:t>
      </w:r>
      <w:r w:rsidRPr="00274DCA">
        <w:rPr>
          <w:sz w:val="16"/>
          <w:szCs w:val="16"/>
        </w:rPr>
        <w:t xml:space="preserve"> AGD notes </w:t>
      </w:r>
      <w:r>
        <w:rPr>
          <w:sz w:val="16"/>
          <w:szCs w:val="16"/>
        </w:rPr>
        <w:t>a number of</w:t>
      </w:r>
      <w:r w:rsidRPr="00274DCA">
        <w:rPr>
          <w:sz w:val="16"/>
          <w:szCs w:val="16"/>
        </w:rPr>
        <w:t xml:space="preserve"> </w:t>
      </w:r>
      <w:r>
        <w:rPr>
          <w:sz w:val="16"/>
          <w:szCs w:val="16"/>
        </w:rPr>
        <w:t>these at risk entities had independent reviews to inform their 2016</w:t>
      </w:r>
      <w:r>
        <w:t>–</w:t>
      </w:r>
      <w:r>
        <w:rPr>
          <w:sz w:val="16"/>
          <w:szCs w:val="16"/>
        </w:rPr>
        <w:t>17 PSPF compliance reports.</w:t>
      </w:r>
    </w:p>
  </w:footnote>
  <w:footnote w:id="4">
    <w:p w14:paraId="142A4CF5" w14:textId="77777777" w:rsidR="00171B39" w:rsidRPr="00C21790" w:rsidRDefault="00171B39" w:rsidP="0087423B">
      <w:pPr>
        <w:pStyle w:val="FootnoteText"/>
        <w:spacing w:after="0"/>
        <w:rPr>
          <w:sz w:val="16"/>
          <w:szCs w:val="16"/>
        </w:rPr>
      </w:pPr>
      <w:r w:rsidRPr="00C21790">
        <w:rPr>
          <w:rStyle w:val="FootnoteReference"/>
          <w:sz w:val="16"/>
          <w:szCs w:val="16"/>
        </w:rPr>
        <w:footnoteRef/>
      </w:r>
      <w:r w:rsidRPr="00C21790">
        <w:rPr>
          <w:sz w:val="16"/>
          <w:szCs w:val="16"/>
        </w:rPr>
        <w:t xml:space="preserve"> Policy, Specialist, Regulatory, Operational</w:t>
      </w:r>
      <w:r>
        <w:rPr>
          <w:sz w:val="16"/>
          <w:szCs w:val="16"/>
        </w:rPr>
        <w:t xml:space="preserve"> (larger and smaller)</w:t>
      </w:r>
      <w:r w:rsidRPr="00C21790">
        <w:rPr>
          <w:sz w:val="16"/>
          <w:szCs w:val="16"/>
        </w:rPr>
        <w:t>.</w:t>
      </w:r>
    </w:p>
  </w:footnote>
  <w:footnote w:id="5">
    <w:p w14:paraId="142A4CF6" w14:textId="77777777" w:rsidR="005637E7" w:rsidRPr="005637E7" w:rsidRDefault="005637E7" w:rsidP="005637E7">
      <w:pPr>
        <w:pStyle w:val="FootnoteText"/>
        <w:rPr>
          <w:rFonts w:eastAsia="Times New Roman"/>
          <w:color w:val="000000"/>
          <w:sz w:val="16"/>
          <w:szCs w:val="16"/>
          <w:lang w:eastAsia="en-AU"/>
        </w:rPr>
      </w:pPr>
      <w:r w:rsidRPr="005637E7">
        <w:rPr>
          <w:rStyle w:val="FootnoteReference"/>
          <w:sz w:val="16"/>
          <w:szCs w:val="16"/>
        </w:rPr>
        <w:footnoteRef/>
      </w:r>
      <w:r w:rsidRPr="005637E7">
        <w:rPr>
          <w:sz w:val="16"/>
          <w:szCs w:val="16"/>
        </w:rPr>
        <w:t xml:space="preserve"> For example, </w:t>
      </w:r>
      <w:r w:rsidRPr="005637E7">
        <w:rPr>
          <w:rFonts w:eastAsia="Times New Roman"/>
          <w:color w:val="000000"/>
          <w:sz w:val="16"/>
          <w:szCs w:val="16"/>
          <w:lang w:eastAsia="en-AU"/>
        </w:rPr>
        <w:t>low maturity – where implementation of the PSPF is ad hoc –through to high maturity where security is proactively managed and embedded into entity’s business practices in response to the risk environment.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3128A"/>
    <w:multiLevelType w:val="hybridMultilevel"/>
    <w:tmpl w:val="B1521442"/>
    <w:lvl w:ilvl="0" w:tplc="3C4EE4FE">
      <w:start w:val="1"/>
      <w:numFmt w:val="lowerLetter"/>
      <w:lvlText w:val="%1)"/>
      <w:lvlJc w:val="left"/>
      <w:pPr>
        <w:tabs>
          <w:tab w:val="num" w:pos="596"/>
        </w:tabs>
        <w:ind w:left="596" w:hanging="170"/>
      </w:pPr>
      <w:rPr>
        <w:rFonts w:hint="default"/>
        <w:color w:val="auto"/>
        <w:sz w:val="20"/>
        <w:szCs w:val="20"/>
      </w:rPr>
    </w:lvl>
    <w:lvl w:ilvl="1" w:tplc="0C090017">
      <w:start w:val="1"/>
      <w:numFmt w:val="lowerLetter"/>
      <w:lvlText w:val="%2)"/>
      <w:lvlJc w:val="left"/>
      <w:pPr>
        <w:tabs>
          <w:tab w:val="num" w:pos="1866"/>
        </w:tabs>
        <w:ind w:left="1866" w:hanging="360"/>
      </w:pPr>
      <w:rPr>
        <w:rFonts w:hint="default"/>
      </w:rPr>
    </w:lvl>
    <w:lvl w:ilvl="2" w:tplc="0C090005">
      <w:start w:val="1"/>
      <w:numFmt w:val="bullet"/>
      <w:lvlText w:val=""/>
      <w:lvlJc w:val="left"/>
      <w:pPr>
        <w:tabs>
          <w:tab w:val="num" w:pos="2586"/>
        </w:tabs>
        <w:ind w:left="2586" w:hanging="360"/>
      </w:pPr>
      <w:rPr>
        <w:rFonts w:ascii="Wingdings" w:hAnsi="Wingdings" w:hint="default"/>
      </w:rPr>
    </w:lvl>
    <w:lvl w:ilvl="3" w:tplc="0C090001" w:tentative="1">
      <w:start w:val="1"/>
      <w:numFmt w:val="bullet"/>
      <w:lvlText w:val=""/>
      <w:lvlJc w:val="left"/>
      <w:pPr>
        <w:tabs>
          <w:tab w:val="num" w:pos="3306"/>
        </w:tabs>
        <w:ind w:left="3306" w:hanging="360"/>
      </w:pPr>
      <w:rPr>
        <w:rFonts w:ascii="Symbol" w:hAnsi="Symbol" w:hint="default"/>
      </w:rPr>
    </w:lvl>
    <w:lvl w:ilvl="4" w:tplc="0C090003" w:tentative="1">
      <w:start w:val="1"/>
      <w:numFmt w:val="bullet"/>
      <w:lvlText w:val="o"/>
      <w:lvlJc w:val="left"/>
      <w:pPr>
        <w:tabs>
          <w:tab w:val="num" w:pos="4026"/>
        </w:tabs>
        <w:ind w:left="4026" w:hanging="360"/>
      </w:pPr>
      <w:rPr>
        <w:rFonts w:ascii="Courier New" w:hAnsi="Courier New" w:cs="Courier New" w:hint="default"/>
      </w:rPr>
    </w:lvl>
    <w:lvl w:ilvl="5" w:tplc="0C090005" w:tentative="1">
      <w:start w:val="1"/>
      <w:numFmt w:val="bullet"/>
      <w:lvlText w:val=""/>
      <w:lvlJc w:val="left"/>
      <w:pPr>
        <w:tabs>
          <w:tab w:val="num" w:pos="4746"/>
        </w:tabs>
        <w:ind w:left="4746" w:hanging="360"/>
      </w:pPr>
      <w:rPr>
        <w:rFonts w:ascii="Wingdings" w:hAnsi="Wingdings" w:hint="default"/>
      </w:rPr>
    </w:lvl>
    <w:lvl w:ilvl="6" w:tplc="0C090001" w:tentative="1">
      <w:start w:val="1"/>
      <w:numFmt w:val="bullet"/>
      <w:lvlText w:val=""/>
      <w:lvlJc w:val="left"/>
      <w:pPr>
        <w:tabs>
          <w:tab w:val="num" w:pos="5466"/>
        </w:tabs>
        <w:ind w:left="5466" w:hanging="360"/>
      </w:pPr>
      <w:rPr>
        <w:rFonts w:ascii="Symbol" w:hAnsi="Symbol" w:hint="default"/>
      </w:rPr>
    </w:lvl>
    <w:lvl w:ilvl="7" w:tplc="0C090003" w:tentative="1">
      <w:start w:val="1"/>
      <w:numFmt w:val="bullet"/>
      <w:lvlText w:val="o"/>
      <w:lvlJc w:val="left"/>
      <w:pPr>
        <w:tabs>
          <w:tab w:val="num" w:pos="6186"/>
        </w:tabs>
        <w:ind w:left="6186" w:hanging="360"/>
      </w:pPr>
      <w:rPr>
        <w:rFonts w:ascii="Courier New" w:hAnsi="Courier New" w:cs="Courier New" w:hint="default"/>
      </w:rPr>
    </w:lvl>
    <w:lvl w:ilvl="8" w:tplc="0C090005" w:tentative="1">
      <w:start w:val="1"/>
      <w:numFmt w:val="bullet"/>
      <w:lvlText w:val=""/>
      <w:lvlJc w:val="left"/>
      <w:pPr>
        <w:tabs>
          <w:tab w:val="num" w:pos="6906"/>
        </w:tabs>
        <w:ind w:left="6906" w:hanging="360"/>
      </w:pPr>
      <w:rPr>
        <w:rFonts w:ascii="Wingdings" w:hAnsi="Wingdings" w:hint="default"/>
      </w:rPr>
    </w:lvl>
  </w:abstractNum>
  <w:abstractNum w:abstractNumId="1" w15:restartNumberingAfterBreak="0">
    <w:nsid w:val="061621FE"/>
    <w:multiLevelType w:val="hybridMultilevel"/>
    <w:tmpl w:val="688084F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63965E1"/>
    <w:multiLevelType w:val="hybridMultilevel"/>
    <w:tmpl w:val="7C46F6C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8891A62"/>
    <w:multiLevelType w:val="hybridMultilevel"/>
    <w:tmpl w:val="D0EC68FE"/>
    <w:lvl w:ilvl="0" w:tplc="0C090001">
      <w:start w:val="1"/>
      <w:numFmt w:val="bullet"/>
      <w:lvlText w:val=""/>
      <w:lvlJc w:val="left"/>
      <w:pPr>
        <w:ind w:left="765" w:hanging="360"/>
      </w:pPr>
      <w:rPr>
        <w:rFonts w:ascii="Symbol" w:hAnsi="Symbol" w:hint="default"/>
      </w:rPr>
    </w:lvl>
    <w:lvl w:ilvl="1" w:tplc="0C090003" w:tentative="1">
      <w:start w:val="1"/>
      <w:numFmt w:val="bullet"/>
      <w:lvlText w:val="o"/>
      <w:lvlJc w:val="left"/>
      <w:pPr>
        <w:ind w:left="1485" w:hanging="360"/>
      </w:pPr>
      <w:rPr>
        <w:rFonts w:ascii="Courier New" w:hAnsi="Courier New" w:cs="Courier New" w:hint="default"/>
      </w:rPr>
    </w:lvl>
    <w:lvl w:ilvl="2" w:tplc="0C090005" w:tentative="1">
      <w:start w:val="1"/>
      <w:numFmt w:val="bullet"/>
      <w:lvlText w:val=""/>
      <w:lvlJc w:val="left"/>
      <w:pPr>
        <w:ind w:left="2205" w:hanging="360"/>
      </w:pPr>
      <w:rPr>
        <w:rFonts w:ascii="Wingdings" w:hAnsi="Wingdings" w:hint="default"/>
      </w:rPr>
    </w:lvl>
    <w:lvl w:ilvl="3" w:tplc="0C090001" w:tentative="1">
      <w:start w:val="1"/>
      <w:numFmt w:val="bullet"/>
      <w:lvlText w:val=""/>
      <w:lvlJc w:val="left"/>
      <w:pPr>
        <w:ind w:left="2925" w:hanging="360"/>
      </w:pPr>
      <w:rPr>
        <w:rFonts w:ascii="Symbol" w:hAnsi="Symbol" w:hint="default"/>
      </w:rPr>
    </w:lvl>
    <w:lvl w:ilvl="4" w:tplc="0C090003" w:tentative="1">
      <w:start w:val="1"/>
      <w:numFmt w:val="bullet"/>
      <w:lvlText w:val="o"/>
      <w:lvlJc w:val="left"/>
      <w:pPr>
        <w:ind w:left="3645" w:hanging="360"/>
      </w:pPr>
      <w:rPr>
        <w:rFonts w:ascii="Courier New" w:hAnsi="Courier New" w:cs="Courier New" w:hint="default"/>
      </w:rPr>
    </w:lvl>
    <w:lvl w:ilvl="5" w:tplc="0C090005" w:tentative="1">
      <w:start w:val="1"/>
      <w:numFmt w:val="bullet"/>
      <w:lvlText w:val=""/>
      <w:lvlJc w:val="left"/>
      <w:pPr>
        <w:ind w:left="4365" w:hanging="360"/>
      </w:pPr>
      <w:rPr>
        <w:rFonts w:ascii="Wingdings" w:hAnsi="Wingdings" w:hint="default"/>
      </w:rPr>
    </w:lvl>
    <w:lvl w:ilvl="6" w:tplc="0C090001" w:tentative="1">
      <w:start w:val="1"/>
      <w:numFmt w:val="bullet"/>
      <w:lvlText w:val=""/>
      <w:lvlJc w:val="left"/>
      <w:pPr>
        <w:ind w:left="5085" w:hanging="360"/>
      </w:pPr>
      <w:rPr>
        <w:rFonts w:ascii="Symbol" w:hAnsi="Symbol" w:hint="default"/>
      </w:rPr>
    </w:lvl>
    <w:lvl w:ilvl="7" w:tplc="0C090003" w:tentative="1">
      <w:start w:val="1"/>
      <w:numFmt w:val="bullet"/>
      <w:lvlText w:val="o"/>
      <w:lvlJc w:val="left"/>
      <w:pPr>
        <w:ind w:left="5805" w:hanging="360"/>
      </w:pPr>
      <w:rPr>
        <w:rFonts w:ascii="Courier New" w:hAnsi="Courier New" w:cs="Courier New" w:hint="default"/>
      </w:rPr>
    </w:lvl>
    <w:lvl w:ilvl="8" w:tplc="0C090005" w:tentative="1">
      <w:start w:val="1"/>
      <w:numFmt w:val="bullet"/>
      <w:lvlText w:val=""/>
      <w:lvlJc w:val="left"/>
      <w:pPr>
        <w:ind w:left="6525" w:hanging="360"/>
      </w:pPr>
      <w:rPr>
        <w:rFonts w:ascii="Wingdings" w:hAnsi="Wingdings" w:hint="default"/>
      </w:rPr>
    </w:lvl>
  </w:abstractNum>
  <w:abstractNum w:abstractNumId="4" w15:restartNumberingAfterBreak="0">
    <w:nsid w:val="0C710148"/>
    <w:multiLevelType w:val="hybridMultilevel"/>
    <w:tmpl w:val="86142E2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0DF05BAF"/>
    <w:multiLevelType w:val="hybridMultilevel"/>
    <w:tmpl w:val="26A6033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2BE3A21"/>
    <w:multiLevelType w:val="hybridMultilevel"/>
    <w:tmpl w:val="A138539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 w15:restartNumberingAfterBreak="0">
    <w:nsid w:val="13490152"/>
    <w:multiLevelType w:val="hybridMultilevel"/>
    <w:tmpl w:val="D08E82B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162E1766"/>
    <w:multiLevelType w:val="hybridMultilevel"/>
    <w:tmpl w:val="D564023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 w15:restartNumberingAfterBreak="0">
    <w:nsid w:val="17996F28"/>
    <w:multiLevelType w:val="hybridMultilevel"/>
    <w:tmpl w:val="50764ABC"/>
    <w:lvl w:ilvl="0" w:tplc="0C090001">
      <w:start w:val="1"/>
      <w:numFmt w:val="bullet"/>
      <w:lvlText w:val=""/>
      <w:lvlJc w:val="left"/>
      <w:pPr>
        <w:ind w:left="765" w:hanging="360"/>
      </w:pPr>
      <w:rPr>
        <w:rFonts w:ascii="Symbol" w:hAnsi="Symbol" w:hint="default"/>
      </w:rPr>
    </w:lvl>
    <w:lvl w:ilvl="1" w:tplc="0C090003" w:tentative="1">
      <w:start w:val="1"/>
      <w:numFmt w:val="bullet"/>
      <w:lvlText w:val="o"/>
      <w:lvlJc w:val="left"/>
      <w:pPr>
        <w:ind w:left="1485" w:hanging="360"/>
      </w:pPr>
      <w:rPr>
        <w:rFonts w:ascii="Courier New" w:hAnsi="Courier New" w:cs="Courier New" w:hint="default"/>
      </w:rPr>
    </w:lvl>
    <w:lvl w:ilvl="2" w:tplc="0C090005" w:tentative="1">
      <w:start w:val="1"/>
      <w:numFmt w:val="bullet"/>
      <w:lvlText w:val=""/>
      <w:lvlJc w:val="left"/>
      <w:pPr>
        <w:ind w:left="2205" w:hanging="360"/>
      </w:pPr>
      <w:rPr>
        <w:rFonts w:ascii="Wingdings" w:hAnsi="Wingdings" w:hint="default"/>
      </w:rPr>
    </w:lvl>
    <w:lvl w:ilvl="3" w:tplc="0C090001" w:tentative="1">
      <w:start w:val="1"/>
      <w:numFmt w:val="bullet"/>
      <w:lvlText w:val=""/>
      <w:lvlJc w:val="left"/>
      <w:pPr>
        <w:ind w:left="2925" w:hanging="360"/>
      </w:pPr>
      <w:rPr>
        <w:rFonts w:ascii="Symbol" w:hAnsi="Symbol" w:hint="default"/>
      </w:rPr>
    </w:lvl>
    <w:lvl w:ilvl="4" w:tplc="0C090003" w:tentative="1">
      <w:start w:val="1"/>
      <w:numFmt w:val="bullet"/>
      <w:lvlText w:val="o"/>
      <w:lvlJc w:val="left"/>
      <w:pPr>
        <w:ind w:left="3645" w:hanging="360"/>
      </w:pPr>
      <w:rPr>
        <w:rFonts w:ascii="Courier New" w:hAnsi="Courier New" w:cs="Courier New" w:hint="default"/>
      </w:rPr>
    </w:lvl>
    <w:lvl w:ilvl="5" w:tplc="0C090005" w:tentative="1">
      <w:start w:val="1"/>
      <w:numFmt w:val="bullet"/>
      <w:lvlText w:val=""/>
      <w:lvlJc w:val="left"/>
      <w:pPr>
        <w:ind w:left="4365" w:hanging="360"/>
      </w:pPr>
      <w:rPr>
        <w:rFonts w:ascii="Wingdings" w:hAnsi="Wingdings" w:hint="default"/>
      </w:rPr>
    </w:lvl>
    <w:lvl w:ilvl="6" w:tplc="0C090001" w:tentative="1">
      <w:start w:val="1"/>
      <w:numFmt w:val="bullet"/>
      <w:lvlText w:val=""/>
      <w:lvlJc w:val="left"/>
      <w:pPr>
        <w:ind w:left="5085" w:hanging="360"/>
      </w:pPr>
      <w:rPr>
        <w:rFonts w:ascii="Symbol" w:hAnsi="Symbol" w:hint="default"/>
      </w:rPr>
    </w:lvl>
    <w:lvl w:ilvl="7" w:tplc="0C090003" w:tentative="1">
      <w:start w:val="1"/>
      <w:numFmt w:val="bullet"/>
      <w:lvlText w:val="o"/>
      <w:lvlJc w:val="left"/>
      <w:pPr>
        <w:ind w:left="5805" w:hanging="360"/>
      </w:pPr>
      <w:rPr>
        <w:rFonts w:ascii="Courier New" w:hAnsi="Courier New" w:cs="Courier New" w:hint="default"/>
      </w:rPr>
    </w:lvl>
    <w:lvl w:ilvl="8" w:tplc="0C090005" w:tentative="1">
      <w:start w:val="1"/>
      <w:numFmt w:val="bullet"/>
      <w:lvlText w:val=""/>
      <w:lvlJc w:val="left"/>
      <w:pPr>
        <w:ind w:left="6525" w:hanging="360"/>
      </w:pPr>
      <w:rPr>
        <w:rFonts w:ascii="Wingdings" w:hAnsi="Wingdings" w:hint="default"/>
      </w:rPr>
    </w:lvl>
  </w:abstractNum>
  <w:abstractNum w:abstractNumId="10" w15:restartNumberingAfterBreak="0">
    <w:nsid w:val="1DCB2BF8"/>
    <w:multiLevelType w:val="hybridMultilevel"/>
    <w:tmpl w:val="13FC1CA0"/>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11" w15:restartNumberingAfterBreak="0">
    <w:nsid w:val="1F4D0B87"/>
    <w:multiLevelType w:val="multilevel"/>
    <w:tmpl w:val="B6F09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8D10C4E"/>
    <w:multiLevelType w:val="multilevel"/>
    <w:tmpl w:val="68F03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90F5E7F"/>
    <w:multiLevelType w:val="hybridMultilevel"/>
    <w:tmpl w:val="04349D9A"/>
    <w:lvl w:ilvl="0" w:tplc="0C090001">
      <w:start w:val="1"/>
      <w:numFmt w:val="bullet"/>
      <w:lvlText w:val=""/>
      <w:lvlJc w:val="left"/>
      <w:pPr>
        <w:ind w:left="773" w:hanging="360"/>
      </w:pPr>
      <w:rPr>
        <w:rFonts w:ascii="Symbol" w:hAnsi="Symbol" w:hint="default"/>
      </w:rPr>
    </w:lvl>
    <w:lvl w:ilvl="1" w:tplc="0C090003" w:tentative="1">
      <w:start w:val="1"/>
      <w:numFmt w:val="bullet"/>
      <w:lvlText w:val="o"/>
      <w:lvlJc w:val="left"/>
      <w:pPr>
        <w:ind w:left="1493" w:hanging="360"/>
      </w:pPr>
      <w:rPr>
        <w:rFonts w:ascii="Courier New" w:hAnsi="Courier New" w:cs="Courier New" w:hint="default"/>
      </w:rPr>
    </w:lvl>
    <w:lvl w:ilvl="2" w:tplc="0C090005" w:tentative="1">
      <w:start w:val="1"/>
      <w:numFmt w:val="bullet"/>
      <w:lvlText w:val=""/>
      <w:lvlJc w:val="left"/>
      <w:pPr>
        <w:ind w:left="2213" w:hanging="360"/>
      </w:pPr>
      <w:rPr>
        <w:rFonts w:ascii="Wingdings" w:hAnsi="Wingdings" w:hint="default"/>
      </w:rPr>
    </w:lvl>
    <w:lvl w:ilvl="3" w:tplc="0C090001" w:tentative="1">
      <w:start w:val="1"/>
      <w:numFmt w:val="bullet"/>
      <w:lvlText w:val=""/>
      <w:lvlJc w:val="left"/>
      <w:pPr>
        <w:ind w:left="2933" w:hanging="360"/>
      </w:pPr>
      <w:rPr>
        <w:rFonts w:ascii="Symbol" w:hAnsi="Symbol" w:hint="default"/>
      </w:rPr>
    </w:lvl>
    <w:lvl w:ilvl="4" w:tplc="0C090003" w:tentative="1">
      <w:start w:val="1"/>
      <w:numFmt w:val="bullet"/>
      <w:lvlText w:val="o"/>
      <w:lvlJc w:val="left"/>
      <w:pPr>
        <w:ind w:left="3653" w:hanging="360"/>
      </w:pPr>
      <w:rPr>
        <w:rFonts w:ascii="Courier New" w:hAnsi="Courier New" w:cs="Courier New" w:hint="default"/>
      </w:rPr>
    </w:lvl>
    <w:lvl w:ilvl="5" w:tplc="0C090005" w:tentative="1">
      <w:start w:val="1"/>
      <w:numFmt w:val="bullet"/>
      <w:lvlText w:val=""/>
      <w:lvlJc w:val="left"/>
      <w:pPr>
        <w:ind w:left="4373" w:hanging="360"/>
      </w:pPr>
      <w:rPr>
        <w:rFonts w:ascii="Wingdings" w:hAnsi="Wingdings" w:hint="default"/>
      </w:rPr>
    </w:lvl>
    <w:lvl w:ilvl="6" w:tplc="0C090001" w:tentative="1">
      <w:start w:val="1"/>
      <w:numFmt w:val="bullet"/>
      <w:lvlText w:val=""/>
      <w:lvlJc w:val="left"/>
      <w:pPr>
        <w:ind w:left="5093" w:hanging="360"/>
      </w:pPr>
      <w:rPr>
        <w:rFonts w:ascii="Symbol" w:hAnsi="Symbol" w:hint="default"/>
      </w:rPr>
    </w:lvl>
    <w:lvl w:ilvl="7" w:tplc="0C090003" w:tentative="1">
      <w:start w:val="1"/>
      <w:numFmt w:val="bullet"/>
      <w:lvlText w:val="o"/>
      <w:lvlJc w:val="left"/>
      <w:pPr>
        <w:ind w:left="5813" w:hanging="360"/>
      </w:pPr>
      <w:rPr>
        <w:rFonts w:ascii="Courier New" w:hAnsi="Courier New" w:cs="Courier New" w:hint="default"/>
      </w:rPr>
    </w:lvl>
    <w:lvl w:ilvl="8" w:tplc="0C090005" w:tentative="1">
      <w:start w:val="1"/>
      <w:numFmt w:val="bullet"/>
      <w:lvlText w:val=""/>
      <w:lvlJc w:val="left"/>
      <w:pPr>
        <w:ind w:left="6533" w:hanging="360"/>
      </w:pPr>
      <w:rPr>
        <w:rFonts w:ascii="Wingdings" w:hAnsi="Wingdings" w:hint="default"/>
      </w:rPr>
    </w:lvl>
  </w:abstractNum>
  <w:abstractNum w:abstractNumId="14" w15:restartNumberingAfterBreak="0">
    <w:nsid w:val="29FA0807"/>
    <w:multiLevelType w:val="hybridMultilevel"/>
    <w:tmpl w:val="3BB4BD2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C9B6E6E"/>
    <w:multiLevelType w:val="hybridMultilevel"/>
    <w:tmpl w:val="F88A4EEE"/>
    <w:lvl w:ilvl="0" w:tplc="AC9EAB58">
      <w:start w:val="1"/>
      <w:numFmt w:val="decimal"/>
      <w:lvlText w:val="%1."/>
      <w:lvlJc w:val="left"/>
      <w:pPr>
        <w:tabs>
          <w:tab w:val="num" w:pos="4380"/>
        </w:tabs>
        <w:ind w:left="4380" w:hanging="780"/>
      </w:pPr>
      <w:rPr>
        <w:rFonts w:hint="default"/>
        <w:b w:val="0"/>
        <w:i w:val="0"/>
        <w:color w:val="auto"/>
      </w:rPr>
    </w:lvl>
    <w:lvl w:ilvl="1" w:tplc="0C090001">
      <w:start w:val="1"/>
      <w:numFmt w:val="bullet"/>
      <w:lvlText w:val=""/>
      <w:lvlJc w:val="left"/>
      <w:pPr>
        <w:tabs>
          <w:tab w:val="num" w:pos="1440"/>
        </w:tabs>
        <w:ind w:left="1440" w:hanging="360"/>
      </w:pPr>
      <w:rPr>
        <w:rFonts w:ascii="Symbol" w:hAnsi="Symbol" w:hint="default"/>
        <w:b w:val="0"/>
        <w:i w:val="0"/>
        <w:color w:val="auto"/>
      </w:rPr>
    </w:lvl>
    <w:lvl w:ilvl="2" w:tplc="0C104698">
      <w:start w:val="4"/>
      <w:numFmt w:val="decimal"/>
      <w:lvlText w:val="%3."/>
      <w:lvlJc w:val="left"/>
      <w:pPr>
        <w:tabs>
          <w:tab w:val="num" w:pos="3420"/>
        </w:tabs>
        <w:ind w:left="2547" w:hanging="567"/>
      </w:pPr>
      <w:rPr>
        <w:rFonts w:hint="default"/>
        <w:b w:val="0"/>
        <w:i w:val="0"/>
        <w:color w:val="auto"/>
        <w:sz w:val="22"/>
        <w:szCs w:val="22"/>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E01432"/>
    <w:multiLevelType w:val="hybridMultilevel"/>
    <w:tmpl w:val="F146A7E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322A2422"/>
    <w:multiLevelType w:val="hybridMultilevel"/>
    <w:tmpl w:val="AC3C081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8" w15:restartNumberingAfterBreak="0">
    <w:nsid w:val="33C667B2"/>
    <w:multiLevelType w:val="hybridMultilevel"/>
    <w:tmpl w:val="C9C62EB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9" w15:restartNumberingAfterBreak="0">
    <w:nsid w:val="34722F9E"/>
    <w:multiLevelType w:val="hybridMultilevel"/>
    <w:tmpl w:val="E244F6D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385F58EE"/>
    <w:multiLevelType w:val="hybridMultilevel"/>
    <w:tmpl w:val="C12C2D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38F665CA"/>
    <w:multiLevelType w:val="hybridMultilevel"/>
    <w:tmpl w:val="9FE8F11E"/>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22" w15:restartNumberingAfterBreak="0">
    <w:nsid w:val="3A755D7D"/>
    <w:multiLevelType w:val="hybridMultilevel"/>
    <w:tmpl w:val="51E0782E"/>
    <w:lvl w:ilvl="0" w:tplc="5658C460">
      <w:numFmt w:val="bullet"/>
      <w:lvlText w:val="-"/>
      <w:lvlJc w:val="left"/>
      <w:pPr>
        <w:ind w:left="1800" w:hanging="360"/>
      </w:pPr>
      <w:rPr>
        <w:rFonts w:ascii="Calibri" w:eastAsia="Calibri" w:hAnsi="Calibri" w:cs="Calibri" w:hint="default"/>
      </w:rPr>
    </w:lvl>
    <w:lvl w:ilvl="1" w:tplc="0C090003">
      <w:start w:val="1"/>
      <w:numFmt w:val="bullet"/>
      <w:lvlText w:val="o"/>
      <w:lvlJc w:val="left"/>
      <w:pPr>
        <w:ind w:left="2520" w:hanging="360"/>
      </w:pPr>
      <w:rPr>
        <w:rFonts w:ascii="Courier New" w:hAnsi="Courier New" w:cs="Courier New" w:hint="default"/>
      </w:rPr>
    </w:lvl>
    <w:lvl w:ilvl="2" w:tplc="0C090005">
      <w:start w:val="1"/>
      <w:numFmt w:val="bullet"/>
      <w:lvlText w:val=""/>
      <w:lvlJc w:val="left"/>
      <w:pPr>
        <w:ind w:left="3240" w:hanging="360"/>
      </w:pPr>
      <w:rPr>
        <w:rFonts w:ascii="Wingdings" w:hAnsi="Wingdings" w:hint="default"/>
      </w:rPr>
    </w:lvl>
    <w:lvl w:ilvl="3" w:tplc="0C090001">
      <w:start w:val="1"/>
      <w:numFmt w:val="bullet"/>
      <w:lvlText w:val=""/>
      <w:lvlJc w:val="left"/>
      <w:pPr>
        <w:ind w:left="3960" w:hanging="360"/>
      </w:pPr>
      <w:rPr>
        <w:rFonts w:ascii="Symbol" w:hAnsi="Symbol" w:hint="default"/>
      </w:rPr>
    </w:lvl>
    <w:lvl w:ilvl="4" w:tplc="0C090003">
      <w:start w:val="1"/>
      <w:numFmt w:val="bullet"/>
      <w:lvlText w:val="o"/>
      <w:lvlJc w:val="left"/>
      <w:pPr>
        <w:ind w:left="4680" w:hanging="360"/>
      </w:pPr>
      <w:rPr>
        <w:rFonts w:ascii="Courier New" w:hAnsi="Courier New" w:cs="Courier New" w:hint="default"/>
      </w:rPr>
    </w:lvl>
    <w:lvl w:ilvl="5" w:tplc="0C090005">
      <w:start w:val="1"/>
      <w:numFmt w:val="bullet"/>
      <w:lvlText w:val=""/>
      <w:lvlJc w:val="left"/>
      <w:pPr>
        <w:ind w:left="5400" w:hanging="360"/>
      </w:pPr>
      <w:rPr>
        <w:rFonts w:ascii="Wingdings" w:hAnsi="Wingdings" w:hint="default"/>
      </w:rPr>
    </w:lvl>
    <w:lvl w:ilvl="6" w:tplc="0C090001">
      <w:start w:val="1"/>
      <w:numFmt w:val="bullet"/>
      <w:lvlText w:val=""/>
      <w:lvlJc w:val="left"/>
      <w:pPr>
        <w:ind w:left="6120" w:hanging="360"/>
      </w:pPr>
      <w:rPr>
        <w:rFonts w:ascii="Symbol" w:hAnsi="Symbol" w:hint="default"/>
      </w:rPr>
    </w:lvl>
    <w:lvl w:ilvl="7" w:tplc="0C090003">
      <w:start w:val="1"/>
      <w:numFmt w:val="bullet"/>
      <w:lvlText w:val="o"/>
      <w:lvlJc w:val="left"/>
      <w:pPr>
        <w:ind w:left="6840" w:hanging="360"/>
      </w:pPr>
      <w:rPr>
        <w:rFonts w:ascii="Courier New" w:hAnsi="Courier New" w:cs="Courier New" w:hint="default"/>
      </w:rPr>
    </w:lvl>
    <w:lvl w:ilvl="8" w:tplc="0C090005">
      <w:start w:val="1"/>
      <w:numFmt w:val="bullet"/>
      <w:lvlText w:val=""/>
      <w:lvlJc w:val="left"/>
      <w:pPr>
        <w:ind w:left="7560" w:hanging="360"/>
      </w:pPr>
      <w:rPr>
        <w:rFonts w:ascii="Wingdings" w:hAnsi="Wingdings" w:hint="default"/>
      </w:rPr>
    </w:lvl>
  </w:abstractNum>
  <w:abstractNum w:abstractNumId="23" w15:restartNumberingAfterBreak="0">
    <w:nsid w:val="3D5235C6"/>
    <w:multiLevelType w:val="hybridMultilevel"/>
    <w:tmpl w:val="55D43518"/>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4" w15:restartNumberingAfterBreak="0">
    <w:nsid w:val="3D55236E"/>
    <w:multiLevelType w:val="hybridMultilevel"/>
    <w:tmpl w:val="B7BC3D3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407E729E"/>
    <w:multiLevelType w:val="hybridMultilevel"/>
    <w:tmpl w:val="D40ECA88"/>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6" w15:restartNumberingAfterBreak="0">
    <w:nsid w:val="42CC5586"/>
    <w:multiLevelType w:val="hybridMultilevel"/>
    <w:tmpl w:val="876E2EA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7" w15:restartNumberingAfterBreak="0">
    <w:nsid w:val="42ED44C4"/>
    <w:multiLevelType w:val="hybridMultilevel"/>
    <w:tmpl w:val="B13CCD1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8" w15:restartNumberingAfterBreak="0">
    <w:nsid w:val="43B52C73"/>
    <w:multiLevelType w:val="hybridMultilevel"/>
    <w:tmpl w:val="9E7A3D4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49DD72F9"/>
    <w:multiLevelType w:val="hybridMultilevel"/>
    <w:tmpl w:val="D7AEDED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0" w15:restartNumberingAfterBreak="0">
    <w:nsid w:val="4B3A3B89"/>
    <w:multiLevelType w:val="hybridMultilevel"/>
    <w:tmpl w:val="74C887E4"/>
    <w:lvl w:ilvl="0" w:tplc="BCA0CD08">
      <w:start w:val="1"/>
      <w:numFmt w:val="bullet"/>
      <w:lvlText w:val=""/>
      <w:lvlJc w:val="left"/>
      <w:pPr>
        <w:ind w:left="360" w:hanging="360"/>
      </w:pPr>
      <w:rPr>
        <w:rFonts w:ascii="Symbol" w:hAnsi="Symbol" w:hint="default"/>
        <w:color w:val="auto"/>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31" w15:restartNumberingAfterBreak="0">
    <w:nsid w:val="4C192F94"/>
    <w:multiLevelType w:val="hybridMultilevel"/>
    <w:tmpl w:val="6FC42982"/>
    <w:lvl w:ilvl="0" w:tplc="0C090001">
      <w:start w:val="1"/>
      <w:numFmt w:val="bullet"/>
      <w:lvlText w:val=""/>
      <w:lvlJc w:val="left"/>
      <w:pPr>
        <w:ind w:left="1288" w:hanging="360"/>
      </w:pPr>
      <w:rPr>
        <w:rFonts w:ascii="Symbol" w:hAnsi="Symbol" w:hint="default"/>
      </w:rPr>
    </w:lvl>
    <w:lvl w:ilvl="1" w:tplc="0C090001">
      <w:start w:val="1"/>
      <w:numFmt w:val="bullet"/>
      <w:lvlText w:val=""/>
      <w:lvlJc w:val="left"/>
      <w:pPr>
        <w:ind w:left="2008" w:hanging="360"/>
      </w:pPr>
      <w:rPr>
        <w:rFonts w:ascii="Symbol" w:hAnsi="Symbol" w:hint="default"/>
      </w:rPr>
    </w:lvl>
    <w:lvl w:ilvl="2" w:tplc="0C090005">
      <w:start w:val="1"/>
      <w:numFmt w:val="bullet"/>
      <w:lvlText w:val=""/>
      <w:lvlJc w:val="left"/>
      <w:pPr>
        <w:ind w:left="2728" w:hanging="360"/>
      </w:pPr>
      <w:rPr>
        <w:rFonts w:ascii="Wingdings" w:hAnsi="Wingdings" w:hint="default"/>
      </w:rPr>
    </w:lvl>
    <w:lvl w:ilvl="3" w:tplc="0C090001" w:tentative="1">
      <w:start w:val="1"/>
      <w:numFmt w:val="bullet"/>
      <w:lvlText w:val=""/>
      <w:lvlJc w:val="left"/>
      <w:pPr>
        <w:ind w:left="3448" w:hanging="360"/>
      </w:pPr>
      <w:rPr>
        <w:rFonts w:ascii="Symbol" w:hAnsi="Symbol" w:hint="default"/>
      </w:rPr>
    </w:lvl>
    <w:lvl w:ilvl="4" w:tplc="0C090003" w:tentative="1">
      <w:start w:val="1"/>
      <w:numFmt w:val="bullet"/>
      <w:lvlText w:val="o"/>
      <w:lvlJc w:val="left"/>
      <w:pPr>
        <w:ind w:left="4168" w:hanging="360"/>
      </w:pPr>
      <w:rPr>
        <w:rFonts w:ascii="Courier New" w:hAnsi="Courier New" w:cs="Courier New" w:hint="default"/>
      </w:rPr>
    </w:lvl>
    <w:lvl w:ilvl="5" w:tplc="0C090005" w:tentative="1">
      <w:start w:val="1"/>
      <w:numFmt w:val="bullet"/>
      <w:lvlText w:val=""/>
      <w:lvlJc w:val="left"/>
      <w:pPr>
        <w:ind w:left="4888" w:hanging="360"/>
      </w:pPr>
      <w:rPr>
        <w:rFonts w:ascii="Wingdings" w:hAnsi="Wingdings" w:hint="default"/>
      </w:rPr>
    </w:lvl>
    <w:lvl w:ilvl="6" w:tplc="0C090001" w:tentative="1">
      <w:start w:val="1"/>
      <w:numFmt w:val="bullet"/>
      <w:lvlText w:val=""/>
      <w:lvlJc w:val="left"/>
      <w:pPr>
        <w:ind w:left="5608" w:hanging="360"/>
      </w:pPr>
      <w:rPr>
        <w:rFonts w:ascii="Symbol" w:hAnsi="Symbol" w:hint="default"/>
      </w:rPr>
    </w:lvl>
    <w:lvl w:ilvl="7" w:tplc="0C090003" w:tentative="1">
      <w:start w:val="1"/>
      <w:numFmt w:val="bullet"/>
      <w:lvlText w:val="o"/>
      <w:lvlJc w:val="left"/>
      <w:pPr>
        <w:ind w:left="6328" w:hanging="360"/>
      </w:pPr>
      <w:rPr>
        <w:rFonts w:ascii="Courier New" w:hAnsi="Courier New" w:cs="Courier New" w:hint="default"/>
      </w:rPr>
    </w:lvl>
    <w:lvl w:ilvl="8" w:tplc="0C090005" w:tentative="1">
      <w:start w:val="1"/>
      <w:numFmt w:val="bullet"/>
      <w:lvlText w:val=""/>
      <w:lvlJc w:val="left"/>
      <w:pPr>
        <w:ind w:left="7048" w:hanging="360"/>
      </w:pPr>
      <w:rPr>
        <w:rFonts w:ascii="Wingdings" w:hAnsi="Wingdings" w:hint="default"/>
      </w:rPr>
    </w:lvl>
  </w:abstractNum>
  <w:abstractNum w:abstractNumId="32" w15:restartNumberingAfterBreak="0">
    <w:nsid w:val="53937A53"/>
    <w:multiLevelType w:val="hybridMultilevel"/>
    <w:tmpl w:val="084CBFB6"/>
    <w:lvl w:ilvl="0" w:tplc="0C090001">
      <w:start w:val="1"/>
      <w:numFmt w:val="bullet"/>
      <w:lvlText w:val=""/>
      <w:lvlJc w:val="left"/>
      <w:pPr>
        <w:ind w:left="770" w:hanging="360"/>
      </w:pPr>
      <w:rPr>
        <w:rFonts w:ascii="Symbol" w:hAnsi="Symbol"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33" w15:restartNumberingAfterBreak="0">
    <w:nsid w:val="57BC1A14"/>
    <w:multiLevelType w:val="hybridMultilevel"/>
    <w:tmpl w:val="6FA2304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583A6F19"/>
    <w:multiLevelType w:val="hybridMultilevel"/>
    <w:tmpl w:val="B8809A00"/>
    <w:lvl w:ilvl="0" w:tplc="0C090001">
      <w:start w:val="1"/>
      <w:numFmt w:val="bullet"/>
      <w:lvlText w:val=""/>
      <w:lvlJc w:val="left"/>
      <w:pPr>
        <w:ind w:left="1156" w:hanging="360"/>
      </w:pPr>
      <w:rPr>
        <w:rFonts w:ascii="Symbol" w:hAnsi="Symbol" w:hint="default"/>
      </w:rPr>
    </w:lvl>
    <w:lvl w:ilvl="1" w:tplc="0C090003" w:tentative="1">
      <w:start w:val="1"/>
      <w:numFmt w:val="bullet"/>
      <w:lvlText w:val="o"/>
      <w:lvlJc w:val="left"/>
      <w:pPr>
        <w:ind w:left="1876" w:hanging="360"/>
      </w:pPr>
      <w:rPr>
        <w:rFonts w:ascii="Courier New" w:hAnsi="Courier New" w:cs="Courier New" w:hint="default"/>
      </w:rPr>
    </w:lvl>
    <w:lvl w:ilvl="2" w:tplc="0C090005" w:tentative="1">
      <w:start w:val="1"/>
      <w:numFmt w:val="bullet"/>
      <w:lvlText w:val=""/>
      <w:lvlJc w:val="left"/>
      <w:pPr>
        <w:ind w:left="2596" w:hanging="360"/>
      </w:pPr>
      <w:rPr>
        <w:rFonts w:ascii="Wingdings" w:hAnsi="Wingdings" w:hint="default"/>
      </w:rPr>
    </w:lvl>
    <w:lvl w:ilvl="3" w:tplc="0C090001" w:tentative="1">
      <w:start w:val="1"/>
      <w:numFmt w:val="bullet"/>
      <w:lvlText w:val=""/>
      <w:lvlJc w:val="left"/>
      <w:pPr>
        <w:ind w:left="3316" w:hanging="360"/>
      </w:pPr>
      <w:rPr>
        <w:rFonts w:ascii="Symbol" w:hAnsi="Symbol" w:hint="default"/>
      </w:rPr>
    </w:lvl>
    <w:lvl w:ilvl="4" w:tplc="0C090003" w:tentative="1">
      <w:start w:val="1"/>
      <w:numFmt w:val="bullet"/>
      <w:lvlText w:val="o"/>
      <w:lvlJc w:val="left"/>
      <w:pPr>
        <w:ind w:left="4036" w:hanging="360"/>
      </w:pPr>
      <w:rPr>
        <w:rFonts w:ascii="Courier New" w:hAnsi="Courier New" w:cs="Courier New" w:hint="default"/>
      </w:rPr>
    </w:lvl>
    <w:lvl w:ilvl="5" w:tplc="0C090005" w:tentative="1">
      <w:start w:val="1"/>
      <w:numFmt w:val="bullet"/>
      <w:lvlText w:val=""/>
      <w:lvlJc w:val="left"/>
      <w:pPr>
        <w:ind w:left="4756" w:hanging="360"/>
      </w:pPr>
      <w:rPr>
        <w:rFonts w:ascii="Wingdings" w:hAnsi="Wingdings" w:hint="default"/>
      </w:rPr>
    </w:lvl>
    <w:lvl w:ilvl="6" w:tplc="0C090001" w:tentative="1">
      <w:start w:val="1"/>
      <w:numFmt w:val="bullet"/>
      <w:lvlText w:val=""/>
      <w:lvlJc w:val="left"/>
      <w:pPr>
        <w:ind w:left="5476" w:hanging="360"/>
      </w:pPr>
      <w:rPr>
        <w:rFonts w:ascii="Symbol" w:hAnsi="Symbol" w:hint="default"/>
      </w:rPr>
    </w:lvl>
    <w:lvl w:ilvl="7" w:tplc="0C090003" w:tentative="1">
      <w:start w:val="1"/>
      <w:numFmt w:val="bullet"/>
      <w:lvlText w:val="o"/>
      <w:lvlJc w:val="left"/>
      <w:pPr>
        <w:ind w:left="6196" w:hanging="360"/>
      </w:pPr>
      <w:rPr>
        <w:rFonts w:ascii="Courier New" w:hAnsi="Courier New" w:cs="Courier New" w:hint="default"/>
      </w:rPr>
    </w:lvl>
    <w:lvl w:ilvl="8" w:tplc="0C090005" w:tentative="1">
      <w:start w:val="1"/>
      <w:numFmt w:val="bullet"/>
      <w:lvlText w:val=""/>
      <w:lvlJc w:val="left"/>
      <w:pPr>
        <w:ind w:left="6916" w:hanging="360"/>
      </w:pPr>
      <w:rPr>
        <w:rFonts w:ascii="Wingdings" w:hAnsi="Wingdings" w:hint="default"/>
      </w:rPr>
    </w:lvl>
  </w:abstractNum>
  <w:abstractNum w:abstractNumId="35" w15:restartNumberingAfterBreak="0">
    <w:nsid w:val="590439AF"/>
    <w:multiLevelType w:val="hybridMultilevel"/>
    <w:tmpl w:val="6940526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5D612DD0"/>
    <w:multiLevelType w:val="hybridMultilevel"/>
    <w:tmpl w:val="5F629A7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7" w15:restartNumberingAfterBreak="0">
    <w:nsid w:val="5D7101AE"/>
    <w:multiLevelType w:val="hybridMultilevel"/>
    <w:tmpl w:val="3BD83D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62300ED8"/>
    <w:multiLevelType w:val="hybridMultilevel"/>
    <w:tmpl w:val="565A4F9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9" w15:restartNumberingAfterBreak="0">
    <w:nsid w:val="66CC6F5E"/>
    <w:multiLevelType w:val="hybridMultilevel"/>
    <w:tmpl w:val="86165EB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68FB3E8F"/>
    <w:multiLevelType w:val="hybridMultilevel"/>
    <w:tmpl w:val="26B69304"/>
    <w:lvl w:ilvl="0" w:tplc="0C090001">
      <w:start w:val="1"/>
      <w:numFmt w:val="bullet"/>
      <w:lvlText w:val=""/>
      <w:lvlJc w:val="left"/>
      <w:pPr>
        <w:ind w:left="436" w:hanging="360"/>
      </w:pPr>
      <w:rPr>
        <w:rFonts w:ascii="Symbol" w:hAnsi="Symbol" w:hint="default"/>
      </w:rPr>
    </w:lvl>
    <w:lvl w:ilvl="1" w:tplc="0C090003">
      <w:start w:val="1"/>
      <w:numFmt w:val="bullet"/>
      <w:lvlText w:val="o"/>
      <w:lvlJc w:val="left"/>
      <w:pPr>
        <w:ind w:left="1156" w:hanging="360"/>
      </w:pPr>
      <w:rPr>
        <w:rFonts w:ascii="Courier New" w:hAnsi="Courier New" w:cs="Courier New" w:hint="default"/>
      </w:rPr>
    </w:lvl>
    <w:lvl w:ilvl="2" w:tplc="0C090005">
      <w:start w:val="1"/>
      <w:numFmt w:val="bullet"/>
      <w:lvlText w:val=""/>
      <w:lvlJc w:val="left"/>
      <w:pPr>
        <w:ind w:left="1876" w:hanging="360"/>
      </w:pPr>
      <w:rPr>
        <w:rFonts w:ascii="Wingdings" w:hAnsi="Wingdings" w:hint="default"/>
      </w:rPr>
    </w:lvl>
    <w:lvl w:ilvl="3" w:tplc="0C090001" w:tentative="1">
      <w:start w:val="1"/>
      <w:numFmt w:val="bullet"/>
      <w:lvlText w:val=""/>
      <w:lvlJc w:val="left"/>
      <w:pPr>
        <w:ind w:left="2596" w:hanging="360"/>
      </w:pPr>
      <w:rPr>
        <w:rFonts w:ascii="Symbol" w:hAnsi="Symbol" w:hint="default"/>
      </w:rPr>
    </w:lvl>
    <w:lvl w:ilvl="4" w:tplc="0C090003" w:tentative="1">
      <w:start w:val="1"/>
      <w:numFmt w:val="bullet"/>
      <w:lvlText w:val="o"/>
      <w:lvlJc w:val="left"/>
      <w:pPr>
        <w:ind w:left="3316" w:hanging="360"/>
      </w:pPr>
      <w:rPr>
        <w:rFonts w:ascii="Courier New" w:hAnsi="Courier New" w:cs="Courier New" w:hint="default"/>
      </w:rPr>
    </w:lvl>
    <w:lvl w:ilvl="5" w:tplc="0C090005" w:tentative="1">
      <w:start w:val="1"/>
      <w:numFmt w:val="bullet"/>
      <w:lvlText w:val=""/>
      <w:lvlJc w:val="left"/>
      <w:pPr>
        <w:ind w:left="4036" w:hanging="360"/>
      </w:pPr>
      <w:rPr>
        <w:rFonts w:ascii="Wingdings" w:hAnsi="Wingdings" w:hint="default"/>
      </w:rPr>
    </w:lvl>
    <w:lvl w:ilvl="6" w:tplc="0C090001" w:tentative="1">
      <w:start w:val="1"/>
      <w:numFmt w:val="bullet"/>
      <w:lvlText w:val=""/>
      <w:lvlJc w:val="left"/>
      <w:pPr>
        <w:ind w:left="4756" w:hanging="360"/>
      </w:pPr>
      <w:rPr>
        <w:rFonts w:ascii="Symbol" w:hAnsi="Symbol" w:hint="default"/>
      </w:rPr>
    </w:lvl>
    <w:lvl w:ilvl="7" w:tplc="0C090003" w:tentative="1">
      <w:start w:val="1"/>
      <w:numFmt w:val="bullet"/>
      <w:lvlText w:val="o"/>
      <w:lvlJc w:val="left"/>
      <w:pPr>
        <w:ind w:left="5476" w:hanging="360"/>
      </w:pPr>
      <w:rPr>
        <w:rFonts w:ascii="Courier New" w:hAnsi="Courier New" w:cs="Courier New" w:hint="default"/>
      </w:rPr>
    </w:lvl>
    <w:lvl w:ilvl="8" w:tplc="0C090005" w:tentative="1">
      <w:start w:val="1"/>
      <w:numFmt w:val="bullet"/>
      <w:lvlText w:val=""/>
      <w:lvlJc w:val="left"/>
      <w:pPr>
        <w:ind w:left="6196" w:hanging="360"/>
      </w:pPr>
      <w:rPr>
        <w:rFonts w:ascii="Wingdings" w:hAnsi="Wingdings" w:hint="default"/>
      </w:rPr>
    </w:lvl>
  </w:abstractNum>
  <w:abstractNum w:abstractNumId="41" w15:restartNumberingAfterBreak="0">
    <w:nsid w:val="6B724D3E"/>
    <w:multiLevelType w:val="hybridMultilevel"/>
    <w:tmpl w:val="290879C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6BB965DE"/>
    <w:multiLevelType w:val="hybridMultilevel"/>
    <w:tmpl w:val="663C8A5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3" w15:restartNumberingAfterBreak="0">
    <w:nsid w:val="6CFB1D25"/>
    <w:multiLevelType w:val="hybridMultilevel"/>
    <w:tmpl w:val="8F0AF9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15:restartNumberingAfterBreak="0">
    <w:nsid w:val="72D411C1"/>
    <w:multiLevelType w:val="hybridMultilevel"/>
    <w:tmpl w:val="6AB65A40"/>
    <w:lvl w:ilvl="0" w:tplc="E6084E34">
      <w:start w:val="1"/>
      <w:numFmt w:val="bullet"/>
      <w:lvlText w:val=""/>
      <w:lvlJc w:val="left"/>
      <w:pPr>
        <w:tabs>
          <w:tab w:val="num" w:pos="170"/>
        </w:tabs>
        <w:ind w:left="170" w:hanging="170"/>
      </w:pPr>
      <w:rPr>
        <w:rFonts w:ascii="Symbol" w:hAnsi="Symbol" w:hint="default"/>
        <w:color w:val="auto"/>
        <w:sz w:val="20"/>
        <w:szCs w:val="20"/>
      </w:rPr>
    </w:lvl>
    <w:lvl w:ilvl="1" w:tplc="0C090003">
      <w:start w:val="1"/>
      <w:numFmt w:val="bullet"/>
      <w:lvlText w:val="o"/>
      <w:lvlJc w:val="left"/>
      <w:pPr>
        <w:tabs>
          <w:tab w:val="num" w:pos="1440"/>
        </w:tabs>
        <w:ind w:left="1440" w:hanging="360"/>
      </w:pPr>
      <w:rPr>
        <w:rFonts w:ascii="Courier New" w:hAnsi="Courier New" w:cs="Courier New" w:hint="default"/>
      </w:rPr>
    </w:lvl>
    <w:lvl w:ilvl="2" w:tplc="0C090005">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2E346B1"/>
    <w:multiLevelType w:val="hybridMultilevel"/>
    <w:tmpl w:val="7DC21920"/>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47E21C04">
      <w:start w:val="1"/>
      <w:numFmt w:val="bullet"/>
      <w:lvlText w:val="-"/>
      <w:lvlJc w:val="left"/>
      <w:pPr>
        <w:ind w:left="1800" w:hanging="360"/>
      </w:pPr>
      <w:rPr>
        <w:rFonts w:ascii="Courier New" w:hAnsi="Courier New"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6" w15:restartNumberingAfterBreak="0">
    <w:nsid w:val="74482C64"/>
    <w:multiLevelType w:val="hybridMultilevel"/>
    <w:tmpl w:val="509E40B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15:restartNumberingAfterBreak="0">
    <w:nsid w:val="752B5017"/>
    <w:multiLevelType w:val="hybridMultilevel"/>
    <w:tmpl w:val="A41A1AA8"/>
    <w:lvl w:ilvl="0" w:tplc="0C090001">
      <w:start w:val="1"/>
      <w:numFmt w:val="bullet"/>
      <w:lvlText w:val=""/>
      <w:lvlJc w:val="left"/>
      <w:pPr>
        <w:ind w:left="1440" w:hanging="360"/>
      </w:pPr>
      <w:rPr>
        <w:rFonts w:ascii="Symbol" w:hAnsi="Symbol" w:hint="default"/>
      </w:rPr>
    </w:lvl>
    <w:lvl w:ilvl="1" w:tplc="0C090003">
      <w:start w:val="1"/>
      <w:numFmt w:val="bullet"/>
      <w:lvlText w:val="o"/>
      <w:lvlJc w:val="left"/>
      <w:pPr>
        <w:ind w:left="2160" w:hanging="360"/>
      </w:pPr>
      <w:rPr>
        <w:rFonts w:ascii="Courier New" w:hAnsi="Courier New" w:cs="Courier New" w:hint="default"/>
      </w:rPr>
    </w:lvl>
    <w:lvl w:ilvl="2" w:tplc="0C090005">
      <w:start w:val="1"/>
      <w:numFmt w:val="bullet"/>
      <w:lvlText w:val=""/>
      <w:lvlJc w:val="left"/>
      <w:pPr>
        <w:ind w:left="2880" w:hanging="360"/>
      </w:pPr>
      <w:rPr>
        <w:rFonts w:ascii="Wingdings" w:hAnsi="Wingdings" w:hint="default"/>
      </w:rPr>
    </w:lvl>
    <w:lvl w:ilvl="3" w:tplc="0C090001">
      <w:start w:val="1"/>
      <w:numFmt w:val="bullet"/>
      <w:lvlText w:val=""/>
      <w:lvlJc w:val="left"/>
      <w:pPr>
        <w:ind w:left="3600" w:hanging="360"/>
      </w:pPr>
      <w:rPr>
        <w:rFonts w:ascii="Symbol" w:hAnsi="Symbol" w:hint="default"/>
      </w:rPr>
    </w:lvl>
    <w:lvl w:ilvl="4" w:tplc="0C090003">
      <w:start w:val="1"/>
      <w:numFmt w:val="bullet"/>
      <w:lvlText w:val="o"/>
      <w:lvlJc w:val="left"/>
      <w:pPr>
        <w:ind w:left="4320" w:hanging="360"/>
      </w:pPr>
      <w:rPr>
        <w:rFonts w:ascii="Courier New" w:hAnsi="Courier New" w:cs="Courier New" w:hint="default"/>
      </w:rPr>
    </w:lvl>
    <w:lvl w:ilvl="5" w:tplc="0C090005">
      <w:start w:val="1"/>
      <w:numFmt w:val="bullet"/>
      <w:lvlText w:val=""/>
      <w:lvlJc w:val="left"/>
      <w:pPr>
        <w:ind w:left="5040" w:hanging="360"/>
      </w:pPr>
      <w:rPr>
        <w:rFonts w:ascii="Wingdings" w:hAnsi="Wingdings" w:hint="default"/>
      </w:rPr>
    </w:lvl>
    <w:lvl w:ilvl="6" w:tplc="0C090001">
      <w:start w:val="1"/>
      <w:numFmt w:val="bullet"/>
      <w:lvlText w:val=""/>
      <w:lvlJc w:val="left"/>
      <w:pPr>
        <w:ind w:left="5760" w:hanging="360"/>
      </w:pPr>
      <w:rPr>
        <w:rFonts w:ascii="Symbol" w:hAnsi="Symbol" w:hint="default"/>
      </w:rPr>
    </w:lvl>
    <w:lvl w:ilvl="7" w:tplc="0C090003">
      <w:start w:val="1"/>
      <w:numFmt w:val="bullet"/>
      <w:lvlText w:val="o"/>
      <w:lvlJc w:val="left"/>
      <w:pPr>
        <w:ind w:left="6480" w:hanging="360"/>
      </w:pPr>
      <w:rPr>
        <w:rFonts w:ascii="Courier New" w:hAnsi="Courier New" w:cs="Courier New" w:hint="default"/>
      </w:rPr>
    </w:lvl>
    <w:lvl w:ilvl="8" w:tplc="0C090005">
      <w:start w:val="1"/>
      <w:numFmt w:val="bullet"/>
      <w:lvlText w:val=""/>
      <w:lvlJc w:val="left"/>
      <w:pPr>
        <w:ind w:left="7200" w:hanging="360"/>
      </w:pPr>
      <w:rPr>
        <w:rFonts w:ascii="Wingdings" w:hAnsi="Wingdings" w:hint="default"/>
      </w:rPr>
    </w:lvl>
  </w:abstractNum>
  <w:abstractNum w:abstractNumId="48" w15:restartNumberingAfterBreak="0">
    <w:nsid w:val="76486B2D"/>
    <w:multiLevelType w:val="hybridMultilevel"/>
    <w:tmpl w:val="D2B87E6A"/>
    <w:lvl w:ilvl="0" w:tplc="5658C460">
      <w:numFmt w:val="bullet"/>
      <w:lvlText w:val="-"/>
      <w:lvlJc w:val="left"/>
      <w:pPr>
        <w:ind w:left="1800" w:hanging="360"/>
      </w:pPr>
      <w:rPr>
        <w:rFonts w:ascii="Calibri" w:eastAsia="Calibri" w:hAnsi="Calibri" w:cs="Calibri" w:hint="default"/>
      </w:rPr>
    </w:lvl>
    <w:lvl w:ilvl="1" w:tplc="0C090001">
      <w:start w:val="1"/>
      <w:numFmt w:val="bullet"/>
      <w:lvlText w:val=""/>
      <w:lvlJc w:val="left"/>
      <w:pPr>
        <w:ind w:left="2520" w:hanging="360"/>
      </w:pPr>
      <w:rPr>
        <w:rFonts w:ascii="Symbol" w:hAnsi="Symbol" w:hint="default"/>
      </w:rPr>
    </w:lvl>
    <w:lvl w:ilvl="2" w:tplc="0C090005">
      <w:start w:val="1"/>
      <w:numFmt w:val="bullet"/>
      <w:lvlText w:val=""/>
      <w:lvlJc w:val="left"/>
      <w:pPr>
        <w:ind w:left="3240" w:hanging="360"/>
      </w:pPr>
      <w:rPr>
        <w:rFonts w:ascii="Wingdings" w:hAnsi="Wingdings" w:hint="default"/>
      </w:rPr>
    </w:lvl>
    <w:lvl w:ilvl="3" w:tplc="0C090001">
      <w:start w:val="1"/>
      <w:numFmt w:val="bullet"/>
      <w:lvlText w:val=""/>
      <w:lvlJc w:val="left"/>
      <w:pPr>
        <w:ind w:left="3960" w:hanging="360"/>
      </w:pPr>
      <w:rPr>
        <w:rFonts w:ascii="Symbol" w:hAnsi="Symbol" w:hint="default"/>
      </w:rPr>
    </w:lvl>
    <w:lvl w:ilvl="4" w:tplc="0C090003">
      <w:start w:val="1"/>
      <w:numFmt w:val="bullet"/>
      <w:lvlText w:val="o"/>
      <w:lvlJc w:val="left"/>
      <w:pPr>
        <w:ind w:left="4680" w:hanging="360"/>
      </w:pPr>
      <w:rPr>
        <w:rFonts w:ascii="Courier New" w:hAnsi="Courier New" w:cs="Courier New" w:hint="default"/>
      </w:rPr>
    </w:lvl>
    <w:lvl w:ilvl="5" w:tplc="0C090005">
      <w:start w:val="1"/>
      <w:numFmt w:val="bullet"/>
      <w:lvlText w:val=""/>
      <w:lvlJc w:val="left"/>
      <w:pPr>
        <w:ind w:left="5400" w:hanging="360"/>
      </w:pPr>
      <w:rPr>
        <w:rFonts w:ascii="Wingdings" w:hAnsi="Wingdings" w:hint="default"/>
      </w:rPr>
    </w:lvl>
    <w:lvl w:ilvl="6" w:tplc="0C090001">
      <w:start w:val="1"/>
      <w:numFmt w:val="bullet"/>
      <w:lvlText w:val=""/>
      <w:lvlJc w:val="left"/>
      <w:pPr>
        <w:ind w:left="6120" w:hanging="360"/>
      </w:pPr>
      <w:rPr>
        <w:rFonts w:ascii="Symbol" w:hAnsi="Symbol" w:hint="default"/>
      </w:rPr>
    </w:lvl>
    <w:lvl w:ilvl="7" w:tplc="0C090003">
      <w:start w:val="1"/>
      <w:numFmt w:val="bullet"/>
      <w:lvlText w:val="o"/>
      <w:lvlJc w:val="left"/>
      <w:pPr>
        <w:ind w:left="6840" w:hanging="360"/>
      </w:pPr>
      <w:rPr>
        <w:rFonts w:ascii="Courier New" w:hAnsi="Courier New" w:cs="Courier New" w:hint="default"/>
      </w:rPr>
    </w:lvl>
    <w:lvl w:ilvl="8" w:tplc="0C090005">
      <w:start w:val="1"/>
      <w:numFmt w:val="bullet"/>
      <w:lvlText w:val=""/>
      <w:lvlJc w:val="left"/>
      <w:pPr>
        <w:ind w:left="7560" w:hanging="360"/>
      </w:pPr>
      <w:rPr>
        <w:rFonts w:ascii="Wingdings" w:hAnsi="Wingdings" w:hint="default"/>
      </w:rPr>
    </w:lvl>
  </w:abstractNum>
  <w:abstractNum w:abstractNumId="49" w15:restartNumberingAfterBreak="0">
    <w:nsid w:val="7A94631D"/>
    <w:multiLevelType w:val="hybridMultilevel"/>
    <w:tmpl w:val="50F06BE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num w:numId="1">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3"/>
  </w:num>
  <w:num w:numId="4">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8"/>
  </w:num>
  <w:num w:numId="11">
    <w:abstractNumId w:val="22"/>
  </w:num>
  <w:num w:numId="12">
    <w:abstractNumId w:val="6"/>
  </w:num>
  <w:num w:numId="13">
    <w:abstractNumId w:val="14"/>
  </w:num>
  <w:num w:numId="14">
    <w:abstractNumId w:val="29"/>
  </w:num>
  <w:num w:numId="15">
    <w:abstractNumId w:val="16"/>
  </w:num>
  <w:num w:numId="16">
    <w:abstractNumId w:val="46"/>
  </w:num>
  <w:num w:numId="17">
    <w:abstractNumId w:val="37"/>
  </w:num>
  <w:num w:numId="18">
    <w:abstractNumId w:val="15"/>
  </w:num>
  <w:num w:numId="19">
    <w:abstractNumId w:val="12"/>
  </w:num>
  <w:num w:numId="20">
    <w:abstractNumId w:val="9"/>
  </w:num>
  <w:num w:numId="21">
    <w:abstractNumId w:val="49"/>
  </w:num>
  <w:num w:numId="22">
    <w:abstractNumId w:val="31"/>
  </w:num>
  <w:num w:numId="23">
    <w:abstractNumId w:val="40"/>
  </w:num>
  <w:num w:numId="24">
    <w:abstractNumId w:val="34"/>
  </w:num>
  <w:num w:numId="25">
    <w:abstractNumId w:val="1"/>
  </w:num>
  <w:num w:numId="26">
    <w:abstractNumId w:val="23"/>
  </w:num>
  <w:num w:numId="27">
    <w:abstractNumId w:val="48"/>
  </w:num>
  <w:num w:numId="28">
    <w:abstractNumId w:val="30"/>
  </w:num>
  <w:num w:numId="29">
    <w:abstractNumId w:val="35"/>
  </w:num>
  <w:num w:numId="30">
    <w:abstractNumId w:val="39"/>
  </w:num>
  <w:num w:numId="31">
    <w:abstractNumId w:val="4"/>
  </w:num>
  <w:num w:numId="32">
    <w:abstractNumId w:val="7"/>
  </w:num>
  <w:num w:numId="33">
    <w:abstractNumId w:val="43"/>
  </w:num>
  <w:num w:numId="34">
    <w:abstractNumId w:val="19"/>
  </w:num>
  <w:num w:numId="35">
    <w:abstractNumId w:val="24"/>
  </w:num>
  <w:num w:numId="36">
    <w:abstractNumId w:val="45"/>
  </w:num>
  <w:num w:numId="37">
    <w:abstractNumId w:val="33"/>
  </w:num>
  <w:num w:numId="38">
    <w:abstractNumId w:val="44"/>
  </w:num>
  <w:num w:numId="39">
    <w:abstractNumId w:val="28"/>
  </w:num>
  <w:num w:numId="40">
    <w:abstractNumId w:val="11"/>
  </w:num>
  <w:num w:numId="41">
    <w:abstractNumId w:val="2"/>
  </w:num>
  <w:num w:numId="42">
    <w:abstractNumId w:val="0"/>
  </w:num>
  <w:num w:numId="43">
    <w:abstractNumId w:val="25"/>
  </w:num>
  <w:num w:numId="44">
    <w:abstractNumId w:val="5"/>
  </w:num>
  <w:num w:numId="45">
    <w:abstractNumId w:val="32"/>
  </w:num>
  <w:num w:numId="46">
    <w:abstractNumId w:val="27"/>
  </w:num>
  <w:num w:numId="47">
    <w:abstractNumId w:val="8"/>
  </w:num>
  <w:num w:numId="48">
    <w:abstractNumId w:val="38"/>
  </w:num>
  <w:num w:numId="49">
    <w:abstractNumId w:val="47"/>
  </w:num>
  <w:num w:numId="50">
    <w:abstractNumId w:val="20"/>
  </w:num>
  <w:num w:numId="51">
    <w:abstractNumId w:val="3"/>
  </w:num>
  <w:num w:numId="52">
    <w:abstractNumId w:val="4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hideSpellingErrors/>
  <w:hideGrammaticalErrors/>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2BAB"/>
    <w:rsid w:val="00001BA1"/>
    <w:rsid w:val="000054A9"/>
    <w:rsid w:val="0001048B"/>
    <w:rsid w:val="000109A6"/>
    <w:rsid w:val="00011CCF"/>
    <w:rsid w:val="0001277F"/>
    <w:rsid w:val="000131FC"/>
    <w:rsid w:val="000140EF"/>
    <w:rsid w:val="000143E0"/>
    <w:rsid w:val="0001735F"/>
    <w:rsid w:val="00017486"/>
    <w:rsid w:val="00017B7F"/>
    <w:rsid w:val="00017D4D"/>
    <w:rsid w:val="00021ADA"/>
    <w:rsid w:val="000258FB"/>
    <w:rsid w:val="00027D77"/>
    <w:rsid w:val="000301A0"/>
    <w:rsid w:val="0003543F"/>
    <w:rsid w:val="00052422"/>
    <w:rsid w:val="00052A4B"/>
    <w:rsid w:val="00052F19"/>
    <w:rsid w:val="00053C78"/>
    <w:rsid w:val="00056AD9"/>
    <w:rsid w:val="000607EB"/>
    <w:rsid w:val="000618A8"/>
    <w:rsid w:val="000642ED"/>
    <w:rsid w:val="000907FE"/>
    <w:rsid w:val="000A141A"/>
    <w:rsid w:val="000B05A4"/>
    <w:rsid w:val="000B2A55"/>
    <w:rsid w:val="000B5252"/>
    <w:rsid w:val="000C6DC5"/>
    <w:rsid w:val="000D0D3D"/>
    <w:rsid w:val="000E08BD"/>
    <w:rsid w:val="000E0D3A"/>
    <w:rsid w:val="000E1184"/>
    <w:rsid w:val="000F7C08"/>
    <w:rsid w:val="001003F6"/>
    <w:rsid w:val="001029E9"/>
    <w:rsid w:val="00103BEE"/>
    <w:rsid w:val="00104F40"/>
    <w:rsid w:val="0010792C"/>
    <w:rsid w:val="001126E2"/>
    <w:rsid w:val="00114155"/>
    <w:rsid w:val="0011459A"/>
    <w:rsid w:val="001174C2"/>
    <w:rsid w:val="00120C52"/>
    <w:rsid w:val="00121A09"/>
    <w:rsid w:val="00121AE0"/>
    <w:rsid w:val="00127541"/>
    <w:rsid w:val="001420CE"/>
    <w:rsid w:val="00143BEE"/>
    <w:rsid w:val="001514A2"/>
    <w:rsid w:val="00153723"/>
    <w:rsid w:val="00165A14"/>
    <w:rsid w:val="0017009A"/>
    <w:rsid w:val="00171569"/>
    <w:rsid w:val="00171B39"/>
    <w:rsid w:val="00172131"/>
    <w:rsid w:val="0017395D"/>
    <w:rsid w:val="00186D10"/>
    <w:rsid w:val="00190675"/>
    <w:rsid w:val="00190887"/>
    <w:rsid w:val="00195312"/>
    <w:rsid w:val="001A3B10"/>
    <w:rsid w:val="001A7AAC"/>
    <w:rsid w:val="001B0066"/>
    <w:rsid w:val="001B1467"/>
    <w:rsid w:val="001B1BE2"/>
    <w:rsid w:val="001B690B"/>
    <w:rsid w:val="001C0E9F"/>
    <w:rsid w:val="001C0F26"/>
    <w:rsid w:val="001C707B"/>
    <w:rsid w:val="001C76CB"/>
    <w:rsid w:val="001D03BF"/>
    <w:rsid w:val="001D0EFD"/>
    <w:rsid w:val="001D2A36"/>
    <w:rsid w:val="001D6BDA"/>
    <w:rsid w:val="001E2E5E"/>
    <w:rsid w:val="001E6BB4"/>
    <w:rsid w:val="001E70E5"/>
    <w:rsid w:val="001F0009"/>
    <w:rsid w:val="001F4120"/>
    <w:rsid w:val="001F7B59"/>
    <w:rsid w:val="002037C6"/>
    <w:rsid w:val="00206BE9"/>
    <w:rsid w:val="00210743"/>
    <w:rsid w:val="0021117B"/>
    <w:rsid w:val="0021171F"/>
    <w:rsid w:val="00211905"/>
    <w:rsid w:val="00212492"/>
    <w:rsid w:val="00214F29"/>
    <w:rsid w:val="0021565F"/>
    <w:rsid w:val="002176BE"/>
    <w:rsid w:val="002319EB"/>
    <w:rsid w:val="0023387F"/>
    <w:rsid w:val="002365AD"/>
    <w:rsid w:val="00240D9F"/>
    <w:rsid w:val="00242723"/>
    <w:rsid w:val="0024300F"/>
    <w:rsid w:val="00243B90"/>
    <w:rsid w:val="002605BA"/>
    <w:rsid w:val="002612E3"/>
    <w:rsid w:val="00264834"/>
    <w:rsid w:val="002663F6"/>
    <w:rsid w:val="002742CA"/>
    <w:rsid w:val="00274370"/>
    <w:rsid w:val="0027444D"/>
    <w:rsid w:val="00274DCA"/>
    <w:rsid w:val="00275BE0"/>
    <w:rsid w:val="0028398C"/>
    <w:rsid w:val="00284036"/>
    <w:rsid w:val="00284C65"/>
    <w:rsid w:val="00296769"/>
    <w:rsid w:val="002B03F7"/>
    <w:rsid w:val="002B244A"/>
    <w:rsid w:val="002B2CE9"/>
    <w:rsid w:val="002C3B60"/>
    <w:rsid w:val="002C3CBC"/>
    <w:rsid w:val="002C5159"/>
    <w:rsid w:val="002C5B2A"/>
    <w:rsid w:val="002D25DD"/>
    <w:rsid w:val="002D342C"/>
    <w:rsid w:val="002E128B"/>
    <w:rsid w:val="002E5B45"/>
    <w:rsid w:val="002F1032"/>
    <w:rsid w:val="002F2807"/>
    <w:rsid w:val="002F7299"/>
    <w:rsid w:val="00300919"/>
    <w:rsid w:val="00306754"/>
    <w:rsid w:val="003079EF"/>
    <w:rsid w:val="00313910"/>
    <w:rsid w:val="00314AE3"/>
    <w:rsid w:val="0031752B"/>
    <w:rsid w:val="003176E4"/>
    <w:rsid w:val="0031792E"/>
    <w:rsid w:val="00320722"/>
    <w:rsid w:val="00321255"/>
    <w:rsid w:val="00321984"/>
    <w:rsid w:val="00325D9F"/>
    <w:rsid w:val="00326D15"/>
    <w:rsid w:val="00327D7B"/>
    <w:rsid w:val="0033301E"/>
    <w:rsid w:val="003376EE"/>
    <w:rsid w:val="00337DEE"/>
    <w:rsid w:val="00344775"/>
    <w:rsid w:val="0035235E"/>
    <w:rsid w:val="0035261C"/>
    <w:rsid w:val="00354729"/>
    <w:rsid w:val="00356CF9"/>
    <w:rsid w:val="00361FAD"/>
    <w:rsid w:val="003644CA"/>
    <w:rsid w:val="00373027"/>
    <w:rsid w:val="003750FD"/>
    <w:rsid w:val="00381B0D"/>
    <w:rsid w:val="00383D17"/>
    <w:rsid w:val="00385304"/>
    <w:rsid w:val="00387037"/>
    <w:rsid w:val="00387093"/>
    <w:rsid w:val="003A0844"/>
    <w:rsid w:val="003A0E96"/>
    <w:rsid w:val="003A1AA7"/>
    <w:rsid w:val="003A2950"/>
    <w:rsid w:val="003A2AD7"/>
    <w:rsid w:val="003A388B"/>
    <w:rsid w:val="003A4E56"/>
    <w:rsid w:val="003A67B5"/>
    <w:rsid w:val="003A7540"/>
    <w:rsid w:val="003C09C1"/>
    <w:rsid w:val="003C2338"/>
    <w:rsid w:val="003C2567"/>
    <w:rsid w:val="003C560A"/>
    <w:rsid w:val="003C6A6C"/>
    <w:rsid w:val="003D0A6B"/>
    <w:rsid w:val="003D1EB4"/>
    <w:rsid w:val="003E35AF"/>
    <w:rsid w:val="003F0D4F"/>
    <w:rsid w:val="003F6704"/>
    <w:rsid w:val="00400174"/>
    <w:rsid w:val="0041366A"/>
    <w:rsid w:val="00424812"/>
    <w:rsid w:val="0043026D"/>
    <w:rsid w:val="0043267A"/>
    <w:rsid w:val="004332A2"/>
    <w:rsid w:val="00433C14"/>
    <w:rsid w:val="00441149"/>
    <w:rsid w:val="0044481A"/>
    <w:rsid w:val="0044550E"/>
    <w:rsid w:val="004474D8"/>
    <w:rsid w:val="004500AE"/>
    <w:rsid w:val="0046195D"/>
    <w:rsid w:val="00463AC9"/>
    <w:rsid w:val="00466926"/>
    <w:rsid w:val="0047101E"/>
    <w:rsid w:val="00473D49"/>
    <w:rsid w:val="00487463"/>
    <w:rsid w:val="00487969"/>
    <w:rsid w:val="00487BA5"/>
    <w:rsid w:val="00492CC6"/>
    <w:rsid w:val="00493915"/>
    <w:rsid w:val="004A17B2"/>
    <w:rsid w:val="004A1A03"/>
    <w:rsid w:val="004B34A8"/>
    <w:rsid w:val="004B4EE4"/>
    <w:rsid w:val="004B61E0"/>
    <w:rsid w:val="004B7701"/>
    <w:rsid w:val="004B7797"/>
    <w:rsid w:val="004C1B92"/>
    <w:rsid w:val="004C4462"/>
    <w:rsid w:val="004C5E0F"/>
    <w:rsid w:val="004C76F2"/>
    <w:rsid w:val="004C7CE9"/>
    <w:rsid w:val="004D157F"/>
    <w:rsid w:val="004D4EE9"/>
    <w:rsid w:val="004D6B65"/>
    <w:rsid w:val="004D7770"/>
    <w:rsid w:val="004E00D2"/>
    <w:rsid w:val="004E5B46"/>
    <w:rsid w:val="004F30D2"/>
    <w:rsid w:val="004F4609"/>
    <w:rsid w:val="004F7DD9"/>
    <w:rsid w:val="00500EAD"/>
    <w:rsid w:val="00506105"/>
    <w:rsid w:val="00506EE1"/>
    <w:rsid w:val="005110D5"/>
    <w:rsid w:val="00511A76"/>
    <w:rsid w:val="00514A35"/>
    <w:rsid w:val="00515295"/>
    <w:rsid w:val="00516DD8"/>
    <w:rsid w:val="00517CFB"/>
    <w:rsid w:val="005221D6"/>
    <w:rsid w:val="00530E2F"/>
    <w:rsid w:val="00537D11"/>
    <w:rsid w:val="00537D4C"/>
    <w:rsid w:val="005508FE"/>
    <w:rsid w:val="00551121"/>
    <w:rsid w:val="00553ACF"/>
    <w:rsid w:val="00553DF6"/>
    <w:rsid w:val="0055439F"/>
    <w:rsid w:val="00554A41"/>
    <w:rsid w:val="00557D71"/>
    <w:rsid w:val="005637E7"/>
    <w:rsid w:val="00563F0B"/>
    <w:rsid w:val="005671E5"/>
    <w:rsid w:val="00567DBA"/>
    <w:rsid w:val="00571BD8"/>
    <w:rsid w:val="00573490"/>
    <w:rsid w:val="00580423"/>
    <w:rsid w:val="0058424A"/>
    <w:rsid w:val="005857C9"/>
    <w:rsid w:val="005861A4"/>
    <w:rsid w:val="00590FC5"/>
    <w:rsid w:val="00596D5A"/>
    <w:rsid w:val="005A6168"/>
    <w:rsid w:val="005B4C12"/>
    <w:rsid w:val="005C1AAE"/>
    <w:rsid w:val="005C3C42"/>
    <w:rsid w:val="005C5A1E"/>
    <w:rsid w:val="005D2674"/>
    <w:rsid w:val="005D5A69"/>
    <w:rsid w:val="005D658E"/>
    <w:rsid w:val="005D6E16"/>
    <w:rsid w:val="005E1A9F"/>
    <w:rsid w:val="005E4BAF"/>
    <w:rsid w:val="005E4CF8"/>
    <w:rsid w:val="005F0338"/>
    <w:rsid w:val="005F1047"/>
    <w:rsid w:val="005F1EF5"/>
    <w:rsid w:val="005F34CC"/>
    <w:rsid w:val="006009F0"/>
    <w:rsid w:val="0060689C"/>
    <w:rsid w:val="00610488"/>
    <w:rsid w:val="00611195"/>
    <w:rsid w:val="00617098"/>
    <w:rsid w:val="006212FF"/>
    <w:rsid w:val="006223DF"/>
    <w:rsid w:val="00631204"/>
    <w:rsid w:val="0063277E"/>
    <w:rsid w:val="006331CB"/>
    <w:rsid w:val="00635735"/>
    <w:rsid w:val="00637334"/>
    <w:rsid w:val="0064502A"/>
    <w:rsid w:val="00646514"/>
    <w:rsid w:val="006549A7"/>
    <w:rsid w:val="00655B4A"/>
    <w:rsid w:val="0066249E"/>
    <w:rsid w:val="006641BF"/>
    <w:rsid w:val="00664BBB"/>
    <w:rsid w:val="0066761B"/>
    <w:rsid w:val="00667EF1"/>
    <w:rsid w:val="006708FC"/>
    <w:rsid w:val="006769E4"/>
    <w:rsid w:val="00676DD0"/>
    <w:rsid w:val="00677097"/>
    <w:rsid w:val="00681F8B"/>
    <w:rsid w:val="00682989"/>
    <w:rsid w:val="0068594A"/>
    <w:rsid w:val="0068769E"/>
    <w:rsid w:val="0069085B"/>
    <w:rsid w:val="00691689"/>
    <w:rsid w:val="006A100D"/>
    <w:rsid w:val="006A119E"/>
    <w:rsid w:val="006A15EF"/>
    <w:rsid w:val="006A21C3"/>
    <w:rsid w:val="006A3144"/>
    <w:rsid w:val="006A326C"/>
    <w:rsid w:val="006A3401"/>
    <w:rsid w:val="006A56BE"/>
    <w:rsid w:val="006C0C92"/>
    <w:rsid w:val="006C1AFA"/>
    <w:rsid w:val="006C2922"/>
    <w:rsid w:val="006C7701"/>
    <w:rsid w:val="006C7791"/>
    <w:rsid w:val="006D14A9"/>
    <w:rsid w:val="006E0461"/>
    <w:rsid w:val="006E2BB5"/>
    <w:rsid w:val="006E2DA9"/>
    <w:rsid w:val="006E4295"/>
    <w:rsid w:val="006E6673"/>
    <w:rsid w:val="006F071C"/>
    <w:rsid w:val="006F0B6E"/>
    <w:rsid w:val="006F6A11"/>
    <w:rsid w:val="006F7514"/>
    <w:rsid w:val="006F7A96"/>
    <w:rsid w:val="006F7D3A"/>
    <w:rsid w:val="006F7FF0"/>
    <w:rsid w:val="0071209E"/>
    <w:rsid w:val="007132E6"/>
    <w:rsid w:val="007145EA"/>
    <w:rsid w:val="007147D9"/>
    <w:rsid w:val="0071516F"/>
    <w:rsid w:val="00721335"/>
    <w:rsid w:val="0072194E"/>
    <w:rsid w:val="00724349"/>
    <w:rsid w:val="00725A83"/>
    <w:rsid w:val="00726AF2"/>
    <w:rsid w:val="00733418"/>
    <w:rsid w:val="00742ADE"/>
    <w:rsid w:val="00742C29"/>
    <w:rsid w:val="00746D32"/>
    <w:rsid w:val="00751DA3"/>
    <w:rsid w:val="007549B6"/>
    <w:rsid w:val="00756F7D"/>
    <w:rsid w:val="007616D4"/>
    <w:rsid w:val="00766182"/>
    <w:rsid w:val="00772C64"/>
    <w:rsid w:val="007762AB"/>
    <w:rsid w:val="007825A7"/>
    <w:rsid w:val="00791FEF"/>
    <w:rsid w:val="007943C3"/>
    <w:rsid w:val="007A2967"/>
    <w:rsid w:val="007A4183"/>
    <w:rsid w:val="007A6744"/>
    <w:rsid w:val="007A6B25"/>
    <w:rsid w:val="007B11C9"/>
    <w:rsid w:val="007B32A7"/>
    <w:rsid w:val="007B344D"/>
    <w:rsid w:val="007B7860"/>
    <w:rsid w:val="007D1E29"/>
    <w:rsid w:val="007D343D"/>
    <w:rsid w:val="007D50BC"/>
    <w:rsid w:val="007D5B3E"/>
    <w:rsid w:val="007D7828"/>
    <w:rsid w:val="007E22FC"/>
    <w:rsid w:val="007F42A0"/>
    <w:rsid w:val="007F5A4A"/>
    <w:rsid w:val="007F762F"/>
    <w:rsid w:val="0081042D"/>
    <w:rsid w:val="0081126B"/>
    <w:rsid w:val="00814E48"/>
    <w:rsid w:val="008163EC"/>
    <w:rsid w:val="00820164"/>
    <w:rsid w:val="0082229C"/>
    <w:rsid w:val="00824267"/>
    <w:rsid w:val="00824AC7"/>
    <w:rsid w:val="00841029"/>
    <w:rsid w:val="00843883"/>
    <w:rsid w:val="00843DBC"/>
    <w:rsid w:val="008464D4"/>
    <w:rsid w:val="0085348A"/>
    <w:rsid w:val="00854FC9"/>
    <w:rsid w:val="00855864"/>
    <w:rsid w:val="00860F9B"/>
    <w:rsid w:val="00865958"/>
    <w:rsid w:val="008675FB"/>
    <w:rsid w:val="00871A4C"/>
    <w:rsid w:val="0087423B"/>
    <w:rsid w:val="00877682"/>
    <w:rsid w:val="00882D8B"/>
    <w:rsid w:val="00891EA9"/>
    <w:rsid w:val="00894191"/>
    <w:rsid w:val="00894486"/>
    <w:rsid w:val="008A0CFD"/>
    <w:rsid w:val="008A646C"/>
    <w:rsid w:val="008B0701"/>
    <w:rsid w:val="008B0A7A"/>
    <w:rsid w:val="008B1093"/>
    <w:rsid w:val="008B3EE6"/>
    <w:rsid w:val="008C0D38"/>
    <w:rsid w:val="008C2A66"/>
    <w:rsid w:val="008C3DEA"/>
    <w:rsid w:val="008D2578"/>
    <w:rsid w:val="008D26AA"/>
    <w:rsid w:val="008D6610"/>
    <w:rsid w:val="008F2B08"/>
    <w:rsid w:val="008F2D74"/>
    <w:rsid w:val="008F389A"/>
    <w:rsid w:val="008F464A"/>
    <w:rsid w:val="008F57A2"/>
    <w:rsid w:val="008F7185"/>
    <w:rsid w:val="008F7D8B"/>
    <w:rsid w:val="009007AC"/>
    <w:rsid w:val="00906B7A"/>
    <w:rsid w:val="00906F82"/>
    <w:rsid w:val="00910220"/>
    <w:rsid w:val="00914AC0"/>
    <w:rsid w:val="00917BCF"/>
    <w:rsid w:val="00925117"/>
    <w:rsid w:val="00935974"/>
    <w:rsid w:val="00937F7E"/>
    <w:rsid w:val="00941158"/>
    <w:rsid w:val="00947495"/>
    <w:rsid w:val="00951E55"/>
    <w:rsid w:val="0095244C"/>
    <w:rsid w:val="00952921"/>
    <w:rsid w:val="0095360A"/>
    <w:rsid w:val="0095372A"/>
    <w:rsid w:val="0095391B"/>
    <w:rsid w:val="00966B53"/>
    <w:rsid w:val="00970A42"/>
    <w:rsid w:val="00970EE0"/>
    <w:rsid w:val="00975B9E"/>
    <w:rsid w:val="0097733C"/>
    <w:rsid w:val="00977369"/>
    <w:rsid w:val="00981085"/>
    <w:rsid w:val="009817D4"/>
    <w:rsid w:val="00981A17"/>
    <w:rsid w:val="00983C33"/>
    <w:rsid w:val="00995A1D"/>
    <w:rsid w:val="009977F6"/>
    <w:rsid w:val="009A0693"/>
    <w:rsid w:val="009A0C8F"/>
    <w:rsid w:val="009A1F97"/>
    <w:rsid w:val="009A48F8"/>
    <w:rsid w:val="009B4583"/>
    <w:rsid w:val="009B49EF"/>
    <w:rsid w:val="009B5821"/>
    <w:rsid w:val="009B5DB6"/>
    <w:rsid w:val="009D16D8"/>
    <w:rsid w:val="009D5B69"/>
    <w:rsid w:val="009D7123"/>
    <w:rsid w:val="009E1975"/>
    <w:rsid w:val="009E296D"/>
    <w:rsid w:val="009F47C3"/>
    <w:rsid w:val="009F5BD7"/>
    <w:rsid w:val="00A02903"/>
    <w:rsid w:val="00A054DE"/>
    <w:rsid w:val="00A06BC2"/>
    <w:rsid w:val="00A108DB"/>
    <w:rsid w:val="00A10F44"/>
    <w:rsid w:val="00A12550"/>
    <w:rsid w:val="00A13EE8"/>
    <w:rsid w:val="00A1701F"/>
    <w:rsid w:val="00A17D65"/>
    <w:rsid w:val="00A37558"/>
    <w:rsid w:val="00A40AFA"/>
    <w:rsid w:val="00A42087"/>
    <w:rsid w:val="00A45714"/>
    <w:rsid w:val="00A466AD"/>
    <w:rsid w:val="00A467FB"/>
    <w:rsid w:val="00A46DFF"/>
    <w:rsid w:val="00A505D5"/>
    <w:rsid w:val="00A516D3"/>
    <w:rsid w:val="00A51823"/>
    <w:rsid w:val="00A54B16"/>
    <w:rsid w:val="00A54FE7"/>
    <w:rsid w:val="00A621AF"/>
    <w:rsid w:val="00A66079"/>
    <w:rsid w:val="00A74B92"/>
    <w:rsid w:val="00A7598B"/>
    <w:rsid w:val="00A773BA"/>
    <w:rsid w:val="00A879CB"/>
    <w:rsid w:val="00A90DB7"/>
    <w:rsid w:val="00A95A2B"/>
    <w:rsid w:val="00A97397"/>
    <w:rsid w:val="00AA3D91"/>
    <w:rsid w:val="00AA56BB"/>
    <w:rsid w:val="00AA6DC1"/>
    <w:rsid w:val="00AB500C"/>
    <w:rsid w:val="00AC4B0D"/>
    <w:rsid w:val="00AC7B78"/>
    <w:rsid w:val="00AD33F0"/>
    <w:rsid w:val="00AE151A"/>
    <w:rsid w:val="00AE22A1"/>
    <w:rsid w:val="00AE5974"/>
    <w:rsid w:val="00B01C41"/>
    <w:rsid w:val="00B03109"/>
    <w:rsid w:val="00B0592F"/>
    <w:rsid w:val="00B06394"/>
    <w:rsid w:val="00B152A0"/>
    <w:rsid w:val="00B17DFC"/>
    <w:rsid w:val="00B33E99"/>
    <w:rsid w:val="00B3501B"/>
    <w:rsid w:val="00B414A5"/>
    <w:rsid w:val="00B4222F"/>
    <w:rsid w:val="00B451A7"/>
    <w:rsid w:val="00B50983"/>
    <w:rsid w:val="00B53BC5"/>
    <w:rsid w:val="00B54D3F"/>
    <w:rsid w:val="00B56219"/>
    <w:rsid w:val="00B564BB"/>
    <w:rsid w:val="00B56B2A"/>
    <w:rsid w:val="00B7024C"/>
    <w:rsid w:val="00B74873"/>
    <w:rsid w:val="00B77A8E"/>
    <w:rsid w:val="00B815E4"/>
    <w:rsid w:val="00B83D4A"/>
    <w:rsid w:val="00B84BF2"/>
    <w:rsid w:val="00B87E49"/>
    <w:rsid w:val="00B92D18"/>
    <w:rsid w:val="00B96463"/>
    <w:rsid w:val="00B968F6"/>
    <w:rsid w:val="00BA18DE"/>
    <w:rsid w:val="00BA2FF6"/>
    <w:rsid w:val="00BA4361"/>
    <w:rsid w:val="00BA4BC8"/>
    <w:rsid w:val="00BA54E6"/>
    <w:rsid w:val="00BA64A1"/>
    <w:rsid w:val="00BA7206"/>
    <w:rsid w:val="00BB059F"/>
    <w:rsid w:val="00BB0D86"/>
    <w:rsid w:val="00BB2957"/>
    <w:rsid w:val="00BB5DC3"/>
    <w:rsid w:val="00BB7415"/>
    <w:rsid w:val="00BC1984"/>
    <w:rsid w:val="00BC5DE6"/>
    <w:rsid w:val="00BE0661"/>
    <w:rsid w:val="00BE168D"/>
    <w:rsid w:val="00BE5D83"/>
    <w:rsid w:val="00BE6478"/>
    <w:rsid w:val="00BF0523"/>
    <w:rsid w:val="00BF0FD2"/>
    <w:rsid w:val="00BF22D1"/>
    <w:rsid w:val="00BF3BF7"/>
    <w:rsid w:val="00BF4AF2"/>
    <w:rsid w:val="00BF66B5"/>
    <w:rsid w:val="00C0385A"/>
    <w:rsid w:val="00C054B1"/>
    <w:rsid w:val="00C1104A"/>
    <w:rsid w:val="00C15CDE"/>
    <w:rsid w:val="00C1669C"/>
    <w:rsid w:val="00C21790"/>
    <w:rsid w:val="00C21F03"/>
    <w:rsid w:val="00C24601"/>
    <w:rsid w:val="00C30629"/>
    <w:rsid w:val="00C31C1E"/>
    <w:rsid w:val="00C333AE"/>
    <w:rsid w:val="00C3365B"/>
    <w:rsid w:val="00C33A38"/>
    <w:rsid w:val="00C34E44"/>
    <w:rsid w:val="00C3504B"/>
    <w:rsid w:val="00C441F9"/>
    <w:rsid w:val="00C45EA8"/>
    <w:rsid w:val="00C51A18"/>
    <w:rsid w:val="00C521C8"/>
    <w:rsid w:val="00C55F32"/>
    <w:rsid w:val="00C61F86"/>
    <w:rsid w:val="00C72369"/>
    <w:rsid w:val="00C76104"/>
    <w:rsid w:val="00C80A18"/>
    <w:rsid w:val="00C87FCF"/>
    <w:rsid w:val="00C94BE3"/>
    <w:rsid w:val="00C96CEA"/>
    <w:rsid w:val="00C9773E"/>
    <w:rsid w:val="00CA0C38"/>
    <w:rsid w:val="00CA1153"/>
    <w:rsid w:val="00CA3CE1"/>
    <w:rsid w:val="00CA4138"/>
    <w:rsid w:val="00CA52FC"/>
    <w:rsid w:val="00CA6200"/>
    <w:rsid w:val="00CB14A5"/>
    <w:rsid w:val="00CB3A1A"/>
    <w:rsid w:val="00CB3C77"/>
    <w:rsid w:val="00CC00CE"/>
    <w:rsid w:val="00CC0FAE"/>
    <w:rsid w:val="00CC1F0A"/>
    <w:rsid w:val="00CD190A"/>
    <w:rsid w:val="00CD3339"/>
    <w:rsid w:val="00CD3476"/>
    <w:rsid w:val="00CD4196"/>
    <w:rsid w:val="00CD4A10"/>
    <w:rsid w:val="00CD4E50"/>
    <w:rsid w:val="00CD5B8D"/>
    <w:rsid w:val="00CD79B0"/>
    <w:rsid w:val="00CE24F6"/>
    <w:rsid w:val="00CF2178"/>
    <w:rsid w:val="00CF3038"/>
    <w:rsid w:val="00CF3503"/>
    <w:rsid w:val="00CF3DA0"/>
    <w:rsid w:val="00CF7651"/>
    <w:rsid w:val="00D00B91"/>
    <w:rsid w:val="00D17FCE"/>
    <w:rsid w:val="00D22431"/>
    <w:rsid w:val="00D23424"/>
    <w:rsid w:val="00D2369A"/>
    <w:rsid w:val="00D2515A"/>
    <w:rsid w:val="00D26221"/>
    <w:rsid w:val="00D2659D"/>
    <w:rsid w:val="00D26BB0"/>
    <w:rsid w:val="00D32C0B"/>
    <w:rsid w:val="00D34EB0"/>
    <w:rsid w:val="00D37FF8"/>
    <w:rsid w:val="00D40484"/>
    <w:rsid w:val="00D40AA2"/>
    <w:rsid w:val="00D414AE"/>
    <w:rsid w:val="00D448D5"/>
    <w:rsid w:val="00D45ED8"/>
    <w:rsid w:val="00D46D42"/>
    <w:rsid w:val="00D534E4"/>
    <w:rsid w:val="00D5504A"/>
    <w:rsid w:val="00D5520D"/>
    <w:rsid w:val="00D6278F"/>
    <w:rsid w:val="00D72125"/>
    <w:rsid w:val="00D74348"/>
    <w:rsid w:val="00D776C4"/>
    <w:rsid w:val="00D814CE"/>
    <w:rsid w:val="00D84CC9"/>
    <w:rsid w:val="00D903D0"/>
    <w:rsid w:val="00D92420"/>
    <w:rsid w:val="00D9477A"/>
    <w:rsid w:val="00D968E9"/>
    <w:rsid w:val="00D9796D"/>
    <w:rsid w:val="00DA663F"/>
    <w:rsid w:val="00DB09F8"/>
    <w:rsid w:val="00DB4170"/>
    <w:rsid w:val="00DB6203"/>
    <w:rsid w:val="00DB6351"/>
    <w:rsid w:val="00DD4713"/>
    <w:rsid w:val="00DD4A4B"/>
    <w:rsid w:val="00DE08CB"/>
    <w:rsid w:val="00DE20DC"/>
    <w:rsid w:val="00DE260E"/>
    <w:rsid w:val="00DE4345"/>
    <w:rsid w:val="00DE43A2"/>
    <w:rsid w:val="00DE43E0"/>
    <w:rsid w:val="00DE476F"/>
    <w:rsid w:val="00DE5C0D"/>
    <w:rsid w:val="00DF172F"/>
    <w:rsid w:val="00DF1C74"/>
    <w:rsid w:val="00DF26E8"/>
    <w:rsid w:val="00DF5EE8"/>
    <w:rsid w:val="00E01600"/>
    <w:rsid w:val="00E02615"/>
    <w:rsid w:val="00E04418"/>
    <w:rsid w:val="00E068D6"/>
    <w:rsid w:val="00E11938"/>
    <w:rsid w:val="00E20F08"/>
    <w:rsid w:val="00E23483"/>
    <w:rsid w:val="00E24272"/>
    <w:rsid w:val="00E24720"/>
    <w:rsid w:val="00E25D1C"/>
    <w:rsid w:val="00E26BFF"/>
    <w:rsid w:val="00E2712B"/>
    <w:rsid w:val="00E32BAB"/>
    <w:rsid w:val="00E41BE3"/>
    <w:rsid w:val="00E46608"/>
    <w:rsid w:val="00E522DD"/>
    <w:rsid w:val="00E5523E"/>
    <w:rsid w:val="00E562F9"/>
    <w:rsid w:val="00E576AD"/>
    <w:rsid w:val="00E57B1A"/>
    <w:rsid w:val="00E6324A"/>
    <w:rsid w:val="00E679CF"/>
    <w:rsid w:val="00E7372D"/>
    <w:rsid w:val="00E75352"/>
    <w:rsid w:val="00E82507"/>
    <w:rsid w:val="00E8527C"/>
    <w:rsid w:val="00E9440C"/>
    <w:rsid w:val="00EA080A"/>
    <w:rsid w:val="00EA67AB"/>
    <w:rsid w:val="00EB3F18"/>
    <w:rsid w:val="00EB771C"/>
    <w:rsid w:val="00EC1FFB"/>
    <w:rsid w:val="00EC2D26"/>
    <w:rsid w:val="00EC51D4"/>
    <w:rsid w:val="00EC52D0"/>
    <w:rsid w:val="00EC5BCE"/>
    <w:rsid w:val="00ED7889"/>
    <w:rsid w:val="00EE08D0"/>
    <w:rsid w:val="00EE0A4C"/>
    <w:rsid w:val="00EE2AFA"/>
    <w:rsid w:val="00EE4199"/>
    <w:rsid w:val="00EE481A"/>
    <w:rsid w:val="00EE4993"/>
    <w:rsid w:val="00EE5F94"/>
    <w:rsid w:val="00EE75FC"/>
    <w:rsid w:val="00EF056D"/>
    <w:rsid w:val="00EF21A8"/>
    <w:rsid w:val="00EF30A5"/>
    <w:rsid w:val="00EF380D"/>
    <w:rsid w:val="00EF7257"/>
    <w:rsid w:val="00F03FAB"/>
    <w:rsid w:val="00F05146"/>
    <w:rsid w:val="00F05C35"/>
    <w:rsid w:val="00F07385"/>
    <w:rsid w:val="00F07687"/>
    <w:rsid w:val="00F07EF5"/>
    <w:rsid w:val="00F12B68"/>
    <w:rsid w:val="00F17D4F"/>
    <w:rsid w:val="00F17F1E"/>
    <w:rsid w:val="00F2022B"/>
    <w:rsid w:val="00F20513"/>
    <w:rsid w:val="00F20779"/>
    <w:rsid w:val="00F20790"/>
    <w:rsid w:val="00F21136"/>
    <w:rsid w:val="00F226E1"/>
    <w:rsid w:val="00F252FA"/>
    <w:rsid w:val="00F2563A"/>
    <w:rsid w:val="00F2574A"/>
    <w:rsid w:val="00F27E8A"/>
    <w:rsid w:val="00F30D13"/>
    <w:rsid w:val="00F32DF7"/>
    <w:rsid w:val="00F46D24"/>
    <w:rsid w:val="00F51864"/>
    <w:rsid w:val="00F539CF"/>
    <w:rsid w:val="00F543D9"/>
    <w:rsid w:val="00F54456"/>
    <w:rsid w:val="00F55046"/>
    <w:rsid w:val="00F5512E"/>
    <w:rsid w:val="00F56D4A"/>
    <w:rsid w:val="00F613D6"/>
    <w:rsid w:val="00F6144E"/>
    <w:rsid w:val="00F61C69"/>
    <w:rsid w:val="00F658E1"/>
    <w:rsid w:val="00F71118"/>
    <w:rsid w:val="00F72755"/>
    <w:rsid w:val="00F73B50"/>
    <w:rsid w:val="00F77B83"/>
    <w:rsid w:val="00F77D6D"/>
    <w:rsid w:val="00F8178C"/>
    <w:rsid w:val="00F824FE"/>
    <w:rsid w:val="00F82C8A"/>
    <w:rsid w:val="00F90647"/>
    <w:rsid w:val="00F911A6"/>
    <w:rsid w:val="00F939A3"/>
    <w:rsid w:val="00F94122"/>
    <w:rsid w:val="00F959FC"/>
    <w:rsid w:val="00FA2450"/>
    <w:rsid w:val="00FA2B79"/>
    <w:rsid w:val="00FA3CB7"/>
    <w:rsid w:val="00FA6CE7"/>
    <w:rsid w:val="00FC1323"/>
    <w:rsid w:val="00FC15CE"/>
    <w:rsid w:val="00FC3767"/>
    <w:rsid w:val="00FC3C81"/>
    <w:rsid w:val="00FC3F6A"/>
    <w:rsid w:val="00FC4BB4"/>
    <w:rsid w:val="00FC4D61"/>
    <w:rsid w:val="00FC7AF7"/>
    <w:rsid w:val="00FD20CC"/>
    <w:rsid w:val="00FE110D"/>
    <w:rsid w:val="00FE13BB"/>
    <w:rsid w:val="00FE432C"/>
    <w:rsid w:val="00FF2B11"/>
    <w:rsid w:val="00FF2D96"/>
    <w:rsid w:val="00FF2FBD"/>
    <w:rsid w:val="00FF36D3"/>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142A4B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32BAB"/>
    <w:rPr>
      <w:rFonts w:ascii="Calibri" w:eastAsia="Calibri" w:hAnsi="Calibri" w:cs="Times New Roman"/>
    </w:rPr>
  </w:style>
  <w:style w:type="paragraph" w:styleId="Heading1">
    <w:name w:val="heading 1"/>
    <w:basedOn w:val="Normal"/>
    <w:next w:val="Normal"/>
    <w:link w:val="Heading1Char"/>
    <w:autoRedefine/>
    <w:uiPriority w:val="9"/>
    <w:qFormat/>
    <w:rsid w:val="00327D7B"/>
    <w:pPr>
      <w:keepNext/>
      <w:keepLines/>
      <w:spacing w:after="120" w:line="240" w:lineRule="auto"/>
      <w:jc w:val="center"/>
      <w:outlineLvl w:val="0"/>
    </w:pPr>
    <w:rPr>
      <w:rFonts w:asciiTheme="minorHAnsi" w:eastAsia="Times New Roman" w:hAnsiTheme="minorHAnsi" w:cstheme="minorHAnsi"/>
      <w:b/>
      <w:bCs/>
      <w:sz w:val="32"/>
      <w:szCs w:val="28"/>
    </w:rPr>
  </w:style>
  <w:style w:type="paragraph" w:styleId="Heading2">
    <w:name w:val="heading 2"/>
    <w:basedOn w:val="Heading1"/>
    <w:next w:val="Normal"/>
    <w:link w:val="Heading2Char"/>
    <w:autoRedefine/>
    <w:uiPriority w:val="9"/>
    <w:unhideWhenUsed/>
    <w:qFormat/>
    <w:rsid w:val="007F42A0"/>
    <w:pPr>
      <w:keepNext w:val="0"/>
      <w:keepLines w:val="0"/>
      <w:widowControl w:val="0"/>
      <w:numPr>
        <w:ilvl w:val="1"/>
      </w:numPr>
      <w:spacing w:after="0"/>
      <w:outlineLvl w:val="1"/>
    </w:pPr>
    <w:rPr>
      <w:b w:val="0"/>
      <w:bCs w:val="0"/>
      <w:color w:val="FFFFFF" w:themeColor="background1"/>
      <w:sz w:val="18"/>
      <w:szCs w:val="18"/>
    </w:rPr>
  </w:style>
  <w:style w:type="paragraph" w:styleId="Heading3">
    <w:name w:val="heading 3"/>
    <w:basedOn w:val="Normal"/>
    <w:next w:val="Normal"/>
    <w:link w:val="Heading3Char"/>
    <w:uiPriority w:val="9"/>
    <w:unhideWhenUsed/>
    <w:qFormat/>
    <w:rsid w:val="00791FE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44550E"/>
    <w:pPr>
      <w:keepNext/>
      <w:keepLines/>
      <w:spacing w:before="200" w:after="0"/>
      <w:outlineLvl w:val="3"/>
    </w:pPr>
    <w:rPr>
      <w:rFonts w:asciiTheme="majorHAnsi" w:eastAsiaTheme="majorEastAsia" w:hAnsiTheme="majorHAnsi" w:cstheme="majorBidi"/>
      <w:bCs/>
      <w:i/>
      <w:iCs/>
      <w:color w:val="4F81BD" w:themeColor="accent1"/>
    </w:rPr>
  </w:style>
  <w:style w:type="paragraph" w:styleId="Heading5">
    <w:name w:val="heading 5"/>
    <w:basedOn w:val="Normal"/>
    <w:next w:val="Normal"/>
    <w:link w:val="Heading5Char"/>
    <w:uiPriority w:val="9"/>
    <w:unhideWhenUsed/>
    <w:qFormat/>
    <w:rsid w:val="00E25D1C"/>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7D7B"/>
    <w:rPr>
      <w:rFonts w:eastAsia="Times New Roman" w:cstheme="minorHAnsi"/>
      <w:b/>
      <w:bCs/>
      <w:sz w:val="32"/>
      <w:szCs w:val="28"/>
    </w:rPr>
  </w:style>
  <w:style w:type="character" w:customStyle="1" w:styleId="Heading2Char">
    <w:name w:val="Heading 2 Char"/>
    <w:basedOn w:val="DefaultParagraphFont"/>
    <w:link w:val="Heading2"/>
    <w:uiPriority w:val="9"/>
    <w:rsid w:val="007F42A0"/>
    <w:rPr>
      <w:rFonts w:eastAsia="Times New Roman" w:cstheme="minorHAnsi"/>
      <w:color w:val="FFFFFF" w:themeColor="background1"/>
      <w:sz w:val="18"/>
      <w:szCs w:val="18"/>
    </w:rPr>
  </w:style>
  <w:style w:type="paragraph" w:styleId="FootnoteText">
    <w:name w:val="footnote text"/>
    <w:basedOn w:val="Normal"/>
    <w:link w:val="FootnoteTextChar"/>
    <w:uiPriority w:val="99"/>
    <w:unhideWhenUsed/>
    <w:rsid w:val="00E32BAB"/>
    <w:rPr>
      <w:sz w:val="20"/>
      <w:szCs w:val="20"/>
    </w:rPr>
  </w:style>
  <w:style w:type="character" w:customStyle="1" w:styleId="FootnoteTextChar">
    <w:name w:val="Footnote Text Char"/>
    <w:basedOn w:val="DefaultParagraphFont"/>
    <w:link w:val="FootnoteText"/>
    <w:uiPriority w:val="99"/>
    <w:rsid w:val="00E32BAB"/>
    <w:rPr>
      <w:rFonts w:ascii="Calibri" w:eastAsia="Calibri" w:hAnsi="Calibri" w:cs="Times New Roman"/>
      <w:sz w:val="20"/>
      <w:szCs w:val="20"/>
    </w:rPr>
  </w:style>
  <w:style w:type="character" w:styleId="FootnoteReference">
    <w:name w:val="footnote reference"/>
    <w:uiPriority w:val="99"/>
    <w:semiHidden/>
    <w:unhideWhenUsed/>
    <w:rsid w:val="00E32BAB"/>
    <w:rPr>
      <w:vertAlign w:val="superscript"/>
    </w:rPr>
  </w:style>
  <w:style w:type="paragraph" w:styleId="ListParagraph">
    <w:name w:val="List Paragraph"/>
    <w:aliases w:val="List Paragraph1,List Paragraph11,Bullet point,NFP GP Bulleted List,L,bullet point list,1 heading,Bulleted Para,Bullet points,Content descriptions,Bullet Point,NAST Quote,FooterText,numbered,Paragraphe de liste1,列出段落,列出段落1"/>
    <w:basedOn w:val="Normal"/>
    <w:link w:val="ListParagraphChar"/>
    <w:uiPriority w:val="34"/>
    <w:qFormat/>
    <w:rsid w:val="00E32BAB"/>
    <w:pPr>
      <w:ind w:left="720"/>
      <w:contextualSpacing/>
    </w:pPr>
  </w:style>
  <w:style w:type="paragraph" w:styleId="Header">
    <w:name w:val="header"/>
    <w:basedOn w:val="Normal"/>
    <w:link w:val="HeaderChar"/>
    <w:uiPriority w:val="99"/>
    <w:unhideWhenUsed/>
    <w:rsid w:val="00E32BAB"/>
    <w:pPr>
      <w:tabs>
        <w:tab w:val="center" w:pos="4513"/>
        <w:tab w:val="right" w:pos="9026"/>
      </w:tabs>
    </w:pPr>
  </w:style>
  <w:style w:type="character" w:customStyle="1" w:styleId="HeaderChar">
    <w:name w:val="Header Char"/>
    <w:basedOn w:val="DefaultParagraphFont"/>
    <w:link w:val="Header"/>
    <w:uiPriority w:val="99"/>
    <w:rsid w:val="00E32BAB"/>
    <w:rPr>
      <w:rFonts w:ascii="Calibri" w:eastAsia="Calibri" w:hAnsi="Calibri" w:cs="Times New Roman"/>
    </w:rPr>
  </w:style>
  <w:style w:type="paragraph" w:styleId="Footer">
    <w:name w:val="footer"/>
    <w:basedOn w:val="Normal"/>
    <w:link w:val="FooterChar"/>
    <w:uiPriority w:val="99"/>
    <w:unhideWhenUsed/>
    <w:rsid w:val="00E32BAB"/>
    <w:pPr>
      <w:tabs>
        <w:tab w:val="center" w:pos="4513"/>
        <w:tab w:val="right" w:pos="9026"/>
      </w:tabs>
    </w:pPr>
  </w:style>
  <w:style w:type="character" w:customStyle="1" w:styleId="FooterChar">
    <w:name w:val="Footer Char"/>
    <w:basedOn w:val="DefaultParagraphFont"/>
    <w:link w:val="Footer"/>
    <w:uiPriority w:val="99"/>
    <w:rsid w:val="00E32BAB"/>
    <w:rPr>
      <w:rFonts w:ascii="Calibri" w:eastAsia="Calibri" w:hAnsi="Calibri" w:cs="Times New Roman"/>
    </w:rPr>
  </w:style>
  <w:style w:type="character" w:styleId="Hyperlink">
    <w:name w:val="Hyperlink"/>
    <w:uiPriority w:val="99"/>
    <w:unhideWhenUsed/>
    <w:rsid w:val="00E32BAB"/>
    <w:rPr>
      <w:color w:val="0000FF"/>
      <w:u w:val="single"/>
    </w:rPr>
  </w:style>
  <w:style w:type="character" w:styleId="CommentReference">
    <w:name w:val="annotation reference"/>
    <w:basedOn w:val="DefaultParagraphFont"/>
    <w:uiPriority w:val="99"/>
    <w:semiHidden/>
    <w:unhideWhenUsed/>
    <w:rsid w:val="0068594A"/>
    <w:rPr>
      <w:sz w:val="16"/>
      <w:szCs w:val="16"/>
    </w:rPr>
  </w:style>
  <w:style w:type="paragraph" w:styleId="CommentText">
    <w:name w:val="annotation text"/>
    <w:basedOn w:val="Normal"/>
    <w:link w:val="CommentTextChar"/>
    <w:uiPriority w:val="99"/>
    <w:unhideWhenUsed/>
    <w:rsid w:val="0068594A"/>
    <w:pPr>
      <w:spacing w:line="240" w:lineRule="auto"/>
    </w:pPr>
    <w:rPr>
      <w:sz w:val="20"/>
      <w:szCs w:val="20"/>
    </w:rPr>
  </w:style>
  <w:style w:type="character" w:customStyle="1" w:styleId="CommentTextChar">
    <w:name w:val="Comment Text Char"/>
    <w:basedOn w:val="DefaultParagraphFont"/>
    <w:link w:val="CommentText"/>
    <w:uiPriority w:val="99"/>
    <w:rsid w:val="0068594A"/>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68594A"/>
    <w:rPr>
      <w:b/>
      <w:bCs/>
    </w:rPr>
  </w:style>
  <w:style w:type="character" w:customStyle="1" w:styleId="CommentSubjectChar">
    <w:name w:val="Comment Subject Char"/>
    <w:basedOn w:val="CommentTextChar"/>
    <w:link w:val="CommentSubject"/>
    <w:uiPriority w:val="99"/>
    <w:semiHidden/>
    <w:rsid w:val="0068594A"/>
    <w:rPr>
      <w:rFonts w:ascii="Calibri" w:eastAsia="Calibri" w:hAnsi="Calibri" w:cs="Times New Roman"/>
      <w:b/>
      <w:bCs/>
      <w:sz w:val="20"/>
      <w:szCs w:val="20"/>
    </w:rPr>
  </w:style>
  <w:style w:type="paragraph" w:styleId="BalloonText">
    <w:name w:val="Balloon Text"/>
    <w:basedOn w:val="Normal"/>
    <w:link w:val="BalloonTextChar"/>
    <w:uiPriority w:val="99"/>
    <w:semiHidden/>
    <w:unhideWhenUsed/>
    <w:rsid w:val="0068594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594A"/>
    <w:rPr>
      <w:rFonts w:ascii="Tahoma" w:eastAsia="Calibri" w:hAnsi="Tahoma" w:cs="Tahoma"/>
      <w:sz w:val="16"/>
      <w:szCs w:val="16"/>
    </w:rPr>
  </w:style>
  <w:style w:type="paragraph" w:styleId="EndnoteText">
    <w:name w:val="endnote text"/>
    <w:basedOn w:val="Normal"/>
    <w:link w:val="EndnoteTextChar"/>
    <w:uiPriority w:val="99"/>
    <w:semiHidden/>
    <w:unhideWhenUsed/>
    <w:rsid w:val="00FC3C81"/>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C3C81"/>
    <w:rPr>
      <w:rFonts w:ascii="Calibri" w:eastAsia="Calibri" w:hAnsi="Calibri" w:cs="Times New Roman"/>
      <w:sz w:val="20"/>
      <w:szCs w:val="20"/>
    </w:rPr>
  </w:style>
  <w:style w:type="character" w:styleId="EndnoteReference">
    <w:name w:val="endnote reference"/>
    <w:basedOn w:val="DefaultParagraphFont"/>
    <w:uiPriority w:val="99"/>
    <w:semiHidden/>
    <w:unhideWhenUsed/>
    <w:rsid w:val="00FC3C81"/>
    <w:rPr>
      <w:vertAlign w:val="superscript"/>
    </w:rPr>
  </w:style>
  <w:style w:type="paragraph" w:customStyle="1" w:styleId="Default">
    <w:name w:val="Default"/>
    <w:rsid w:val="002663F6"/>
    <w:pPr>
      <w:autoSpaceDE w:val="0"/>
      <w:autoSpaceDN w:val="0"/>
      <w:adjustRightInd w:val="0"/>
      <w:spacing w:after="0" w:line="240" w:lineRule="auto"/>
    </w:pPr>
    <w:rPr>
      <w:rFonts w:ascii="Calibri" w:hAnsi="Calibri" w:cs="Calibri"/>
      <w:color w:val="000000"/>
      <w:sz w:val="24"/>
      <w:szCs w:val="24"/>
    </w:rPr>
  </w:style>
  <w:style w:type="character" w:styleId="Strong">
    <w:name w:val="Strong"/>
    <w:basedOn w:val="DefaultParagraphFont"/>
    <w:uiPriority w:val="22"/>
    <w:qFormat/>
    <w:rsid w:val="002663F6"/>
    <w:rPr>
      <w:b/>
      <w:bCs/>
    </w:rPr>
  </w:style>
  <w:style w:type="paragraph" w:customStyle="1" w:styleId="Paragraph">
    <w:name w:val="Paragraph"/>
    <w:basedOn w:val="Normal"/>
    <w:link w:val="ParagraphChar"/>
    <w:rsid w:val="000131FC"/>
    <w:pPr>
      <w:numPr>
        <w:ilvl w:val="12"/>
      </w:numPr>
      <w:spacing w:before="240" w:after="0" w:line="240" w:lineRule="auto"/>
    </w:pPr>
    <w:rPr>
      <w:rFonts w:ascii="Times New Roman" w:eastAsia="Times New Roman" w:hAnsi="Times New Roman"/>
      <w:sz w:val="24"/>
      <w:szCs w:val="20"/>
      <w:lang w:eastAsia="en-AU"/>
    </w:rPr>
  </w:style>
  <w:style w:type="character" w:customStyle="1" w:styleId="ParagraphChar">
    <w:name w:val="Paragraph Char"/>
    <w:link w:val="Paragraph"/>
    <w:rsid w:val="000131FC"/>
    <w:rPr>
      <w:rFonts w:ascii="Times New Roman" w:eastAsia="Times New Roman" w:hAnsi="Times New Roman" w:cs="Times New Roman"/>
      <w:sz w:val="24"/>
      <w:szCs w:val="20"/>
      <w:lang w:eastAsia="en-AU"/>
    </w:rPr>
  </w:style>
  <w:style w:type="character" w:customStyle="1" w:styleId="Heading5Char">
    <w:name w:val="Heading 5 Char"/>
    <w:basedOn w:val="DefaultParagraphFont"/>
    <w:link w:val="Heading5"/>
    <w:uiPriority w:val="9"/>
    <w:rsid w:val="00E25D1C"/>
    <w:rPr>
      <w:rFonts w:asciiTheme="majorHAnsi" w:eastAsiaTheme="majorEastAsia" w:hAnsiTheme="majorHAnsi" w:cstheme="majorBidi"/>
      <w:color w:val="243F60" w:themeColor="accent1" w:themeShade="7F"/>
    </w:rPr>
  </w:style>
  <w:style w:type="paragraph" w:styleId="TOC1">
    <w:name w:val="toc 1"/>
    <w:basedOn w:val="Normal"/>
    <w:next w:val="Normal"/>
    <w:autoRedefine/>
    <w:uiPriority w:val="39"/>
    <w:unhideWhenUsed/>
    <w:rsid w:val="00D34EB0"/>
    <w:pPr>
      <w:spacing w:after="100"/>
    </w:pPr>
  </w:style>
  <w:style w:type="paragraph" w:styleId="TOC2">
    <w:name w:val="toc 2"/>
    <w:basedOn w:val="Normal"/>
    <w:next w:val="Normal"/>
    <w:autoRedefine/>
    <w:uiPriority w:val="39"/>
    <w:unhideWhenUsed/>
    <w:rsid w:val="00D34EB0"/>
    <w:pPr>
      <w:spacing w:after="100"/>
      <w:ind w:left="220"/>
    </w:pPr>
  </w:style>
  <w:style w:type="character" w:customStyle="1" w:styleId="Heading3Char">
    <w:name w:val="Heading 3 Char"/>
    <w:basedOn w:val="DefaultParagraphFont"/>
    <w:link w:val="Heading3"/>
    <w:uiPriority w:val="9"/>
    <w:rsid w:val="00791FEF"/>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44550E"/>
    <w:rPr>
      <w:rFonts w:asciiTheme="majorHAnsi" w:eastAsiaTheme="majorEastAsia" w:hAnsiTheme="majorHAnsi" w:cstheme="majorBidi"/>
      <w:bCs/>
      <w:i/>
      <w:iCs/>
      <w:color w:val="4F81BD" w:themeColor="accent1"/>
    </w:rPr>
  </w:style>
  <w:style w:type="paragraph" w:styleId="NoSpacing">
    <w:name w:val="No Spacing"/>
    <w:link w:val="NoSpacingChar"/>
    <w:uiPriority w:val="1"/>
    <w:qFormat/>
    <w:rsid w:val="00212492"/>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212492"/>
    <w:rPr>
      <w:rFonts w:eastAsiaTheme="minorEastAsia"/>
      <w:lang w:val="en-US" w:eastAsia="ja-JP"/>
    </w:rPr>
  </w:style>
  <w:style w:type="character" w:customStyle="1" w:styleId="ListParagraphChar">
    <w:name w:val="List Paragraph Char"/>
    <w:aliases w:val="List Paragraph1 Char,List Paragraph11 Char,Bullet point Char,NFP GP Bulleted List Char,L Char,bullet point list Char,1 heading Char,Bulleted Para Char,Bullet points Char,Content descriptions Char,Bullet Point Char,NAST Quote Char"/>
    <w:basedOn w:val="DefaultParagraphFont"/>
    <w:link w:val="ListParagraph"/>
    <w:uiPriority w:val="99"/>
    <w:locked/>
    <w:rsid w:val="003C6A6C"/>
    <w:rPr>
      <w:rFonts w:ascii="Calibri" w:eastAsia="Calibri" w:hAnsi="Calibri" w:cs="Times New Roman"/>
    </w:rPr>
  </w:style>
  <w:style w:type="paragraph" w:styleId="Revision">
    <w:name w:val="Revision"/>
    <w:hidden/>
    <w:uiPriority w:val="99"/>
    <w:semiHidden/>
    <w:rsid w:val="00DE20DC"/>
    <w:pPr>
      <w:spacing w:after="0" w:line="240" w:lineRule="auto"/>
    </w:pPr>
    <w:rPr>
      <w:rFonts w:ascii="Calibri" w:eastAsia="Calibri" w:hAnsi="Calibri" w:cs="Times New Roman"/>
    </w:rPr>
  </w:style>
  <w:style w:type="paragraph" w:styleId="NormalWeb">
    <w:name w:val="Normal (Web)"/>
    <w:basedOn w:val="Normal"/>
    <w:uiPriority w:val="99"/>
    <w:semiHidden/>
    <w:unhideWhenUsed/>
    <w:rsid w:val="006F7D3A"/>
    <w:pPr>
      <w:spacing w:before="100" w:beforeAutospacing="1" w:after="100" w:afterAutospacing="1" w:line="240" w:lineRule="auto"/>
    </w:pPr>
    <w:rPr>
      <w:rFonts w:ascii="Times New Roman" w:eastAsia="Times New Roman" w:hAnsi="Times New Roman"/>
      <w:sz w:val="24"/>
      <w:szCs w:val="24"/>
      <w:lang w:eastAsia="en-AU"/>
    </w:rPr>
  </w:style>
  <w:style w:type="character" w:customStyle="1" w:styleId="apple-converted-space">
    <w:name w:val="apple-converted-space"/>
    <w:basedOn w:val="DefaultParagraphFont"/>
    <w:rsid w:val="006F7D3A"/>
  </w:style>
  <w:style w:type="character" w:styleId="Emphasis">
    <w:name w:val="Emphasis"/>
    <w:basedOn w:val="DefaultParagraphFont"/>
    <w:uiPriority w:val="20"/>
    <w:qFormat/>
    <w:rsid w:val="00E2712B"/>
    <w:rPr>
      <w:i/>
      <w:iCs/>
    </w:rPr>
  </w:style>
  <w:style w:type="paragraph" w:styleId="Caption">
    <w:name w:val="caption"/>
    <w:basedOn w:val="Normal"/>
    <w:next w:val="Normal"/>
    <w:uiPriority w:val="35"/>
    <w:unhideWhenUsed/>
    <w:qFormat/>
    <w:rsid w:val="00B56219"/>
    <w:pPr>
      <w:spacing w:after="0" w:line="240" w:lineRule="auto"/>
    </w:pPr>
    <w:rPr>
      <w:b/>
      <w:bCs/>
      <w:color w:val="4F81BD" w:themeColor="accent1"/>
      <w:sz w:val="18"/>
      <w:szCs w:val="18"/>
    </w:rPr>
  </w:style>
  <w:style w:type="paragraph" w:styleId="Quote">
    <w:name w:val="Quote"/>
    <w:basedOn w:val="Normal"/>
    <w:next w:val="Normal"/>
    <w:link w:val="QuoteChar"/>
    <w:uiPriority w:val="29"/>
    <w:qFormat/>
    <w:rsid w:val="00BA7206"/>
    <w:pPr>
      <w:shd w:val="clear" w:color="auto" w:fill="DBE5F1" w:themeFill="accent1" w:themeFillTint="33"/>
    </w:pPr>
    <w:rPr>
      <w:color w:val="000000"/>
      <w:sz w:val="16"/>
      <w:szCs w:val="16"/>
    </w:rPr>
  </w:style>
  <w:style w:type="character" w:customStyle="1" w:styleId="QuoteChar">
    <w:name w:val="Quote Char"/>
    <w:basedOn w:val="DefaultParagraphFont"/>
    <w:link w:val="Quote"/>
    <w:uiPriority w:val="29"/>
    <w:rsid w:val="00BA7206"/>
    <w:rPr>
      <w:rFonts w:ascii="Calibri" w:eastAsia="Calibri" w:hAnsi="Calibri" w:cs="Times New Roman"/>
      <w:color w:val="000000"/>
      <w:sz w:val="16"/>
      <w:szCs w:val="16"/>
      <w:shd w:val="clear" w:color="auto" w:fill="DBE5F1" w:themeFill="accent1" w:themeFillTint="33"/>
    </w:rPr>
  </w:style>
  <w:style w:type="table" w:styleId="TableGrid">
    <w:name w:val="Table Grid"/>
    <w:basedOn w:val="TableNormal"/>
    <w:uiPriority w:val="59"/>
    <w:rsid w:val="00487B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487BA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0567691">
      <w:bodyDiv w:val="1"/>
      <w:marLeft w:val="0"/>
      <w:marRight w:val="0"/>
      <w:marTop w:val="0"/>
      <w:marBottom w:val="0"/>
      <w:divBdr>
        <w:top w:val="none" w:sz="0" w:space="0" w:color="auto"/>
        <w:left w:val="none" w:sz="0" w:space="0" w:color="auto"/>
        <w:bottom w:val="none" w:sz="0" w:space="0" w:color="auto"/>
        <w:right w:val="none" w:sz="0" w:space="0" w:color="auto"/>
      </w:divBdr>
    </w:div>
    <w:div w:id="597493256">
      <w:bodyDiv w:val="1"/>
      <w:marLeft w:val="0"/>
      <w:marRight w:val="0"/>
      <w:marTop w:val="0"/>
      <w:marBottom w:val="0"/>
      <w:divBdr>
        <w:top w:val="none" w:sz="0" w:space="0" w:color="auto"/>
        <w:left w:val="none" w:sz="0" w:space="0" w:color="auto"/>
        <w:bottom w:val="none" w:sz="0" w:space="0" w:color="auto"/>
        <w:right w:val="none" w:sz="0" w:space="0" w:color="auto"/>
      </w:divBdr>
    </w:div>
    <w:div w:id="664935956">
      <w:bodyDiv w:val="1"/>
      <w:marLeft w:val="0"/>
      <w:marRight w:val="0"/>
      <w:marTop w:val="0"/>
      <w:marBottom w:val="0"/>
      <w:divBdr>
        <w:top w:val="none" w:sz="0" w:space="0" w:color="auto"/>
        <w:left w:val="none" w:sz="0" w:space="0" w:color="auto"/>
        <w:bottom w:val="none" w:sz="0" w:space="0" w:color="auto"/>
        <w:right w:val="none" w:sz="0" w:space="0" w:color="auto"/>
      </w:divBdr>
    </w:div>
    <w:div w:id="756250212">
      <w:bodyDiv w:val="1"/>
      <w:marLeft w:val="0"/>
      <w:marRight w:val="0"/>
      <w:marTop w:val="0"/>
      <w:marBottom w:val="0"/>
      <w:divBdr>
        <w:top w:val="none" w:sz="0" w:space="0" w:color="auto"/>
        <w:left w:val="none" w:sz="0" w:space="0" w:color="auto"/>
        <w:bottom w:val="none" w:sz="0" w:space="0" w:color="auto"/>
        <w:right w:val="none" w:sz="0" w:space="0" w:color="auto"/>
      </w:divBdr>
    </w:div>
    <w:div w:id="777019690">
      <w:bodyDiv w:val="1"/>
      <w:marLeft w:val="0"/>
      <w:marRight w:val="0"/>
      <w:marTop w:val="0"/>
      <w:marBottom w:val="0"/>
      <w:divBdr>
        <w:top w:val="none" w:sz="0" w:space="0" w:color="auto"/>
        <w:left w:val="none" w:sz="0" w:space="0" w:color="auto"/>
        <w:bottom w:val="none" w:sz="0" w:space="0" w:color="auto"/>
        <w:right w:val="none" w:sz="0" w:space="0" w:color="auto"/>
      </w:divBdr>
    </w:div>
    <w:div w:id="779371480">
      <w:bodyDiv w:val="1"/>
      <w:marLeft w:val="0"/>
      <w:marRight w:val="0"/>
      <w:marTop w:val="0"/>
      <w:marBottom w:val="0"/>
      <w:divBdr>
        <w:top w:val="none" w:sz="0" w:space="0" w:color="auto"/>
        <w:left w:val="none" w:sz="0" w:space="0" w:color="auto"/>
        <w:bottom w:val="none" w:sz="0" w:space="0" w:color="auto"/>
        <w:right w:val="none" w:sz="0" w:space="0" w:color="auto"/>
      </w:divBdr>
    </w:div>
    <w:div w:id="782959994">
      <w:bodyDiv w:val="1"/>
      <w:marLeft w:val="0"/>
      <w:marRight w:val="0"/>
      <w:marTop w:val="0"/>
      <w:marBottom w:val="0"/>
      <w:divBdr>
        <w:top w:val="none" w:sz="0" w:space="0" w:color="auto"/>
        <w:left w:val="none" w:sz="0" w:space="0" w:color="auto"/>
        <w:bottom w:val="none" w:sz="0" w:space="0" w:color="auto"/>
        <w:right w:val="none" w:sz="0" w:space="0" w:color="auto"/>
      </w:divBdr>
    </w:div>
    <w:div w:id="819732125">
      <w:bodyDiv w:val="1"/>
      <w:marLeft w:val="0"/>
      <w:marRight w:val="0"/>
      <w:marTop w:val="0"/>
      <w:marBottom w:val="0"/>
      <w:divBdr>
        <w:top w:val="none" w:sz="0" w:space="0" w:color="auto"/>
        <w:left w:val="none" w:sz="0" w:space="0" w:color="auto"/>
        <w:bottom w:val="none" w:sz="0" w:space="0" w:color="auto"/>
        <w:right w:val="none" w:sz="0" w:space="0" w:color="auto"/>
      </w:divBdr>
    </w:div>
    <w:div w:id="835413306">
      <w:bodyDiv w:val="1"/>
      <w:marLeft w:val="0"/>
      <w:marRight w:val="0"/>
      <w:marTop w:val="0"/>
      <w:marBottom w:val="0"/>
      <w:divBdr>
        <w:top w:val="none" w:sz="0" w:space="0" w:color="auto"/>
        <w:left w:val="none" w:sz="0" w:space="0" w:color="auto"/>
        <w:bottom w:val="none" w:sz="0" w:space="0" w:color="auto"/>
        <w:right w:val="none" w:sz="0" w:space="0" w:color="auto"/>
      </w:divBdr>
    </w:div>
    <w:div w:id="914126413">
      <w:bodyDiv w:val="1"/>
      <w:marLeft w:val="0"/>
      <w:marRight w:val="0"/>
      <w:marTop w:val="0"/>
      <w:marBottom w:val="0"/>
      <w:divBdr>
        <w:top w:val="none" w:sz="0" w:space="0" w:color="auto"/>
        <w:left w:val="none" w:sz="0" w:space="0" w:color="auto"/>
        <w:bottom w:val="none" w:sz="0" w:space="0" w:color="auto"/>
        <w:right w:val="none" w:sz="0" w:space="0" w:color="auto"/>
      </w:divBdr>
    </w:div>
    <w:div w:id="921796162">
      <w:bodyDiv w:val="1"/>
      <w:marLeft w:val="0"/>
      <w:marRight w:val="0"/>
      <w:marTop w:val="0"/>
      <w:marBottom w:val="0"/>
      <w:divBdr>
        <w:top w:val="none" w:sz="0" w:space="0" w:color="auto"/>
        <w:left w:val="none" w:sz="0" w:space="0" w:color="auto"/>
        <w:bottom w:val="none" w:sz="0" w:space="0" w:color="auto"/>
        <w:right w:val="none" w:sz="0" w:space="0" w:color="auto"/>
      </w:divBdr>
      <w:divsChild>
        <w:div w:id="1589925051">
          <w:marLeft w:val="0"/>
          <w:marRight w:val="0"/>
          <w:marTop w:val="100"/>
          <w:marBottom w:val="100"/>
          <w:divBdr>
            <w:top w:val="none" w:sz="0" w:space="0" w:color="auto"/>
            <w:left w:val="none" w:sz="0" w:space="0" w:color="auto"/>
            <w:bottom w:val="none" w:sz="0" w:space="0" w:color="auto"/>
            <w:right w:val="none" w:sz="0" w:space="0" w:color="auto"/>
          </w:divBdr>
          <w:divsChild>
            <w:div w:id="796992577">
              <w:marLeft w:val="0"/>
              <w:marRight w:val="0"/>
              <w:marTop w:val="0"/>
              <w:marBottom w:val="0"/>
              <w:divBdr>
                <w:top w:val="none" w:sz="0" w:space="0" w:color="auto"/>
                <w:left w:val="none" w:sz="0" w:space="0" w:color="auto"/>
                <w:bottom w:val="none" w:sz="0" w:space="0" w:color="auto"/>
                <w:right w:val="none" w:sz="0" w:space="0" w:color="auto"/>
              </w:divBdr>
              <w:divsChild>
                <w:div w:id="247228801">
                  <w:marLeft w:val="0"/>
                  <w:marRight w:val="0"/>
                  <w:marTop w:val="0"/>
                  <w:marBottom w:val="0"/>
                  <w:divBdr>
                    <w:top w:val="none" w:sz="0" w:space="0" w:color="auto"/>
                    <w:left w:val="none" w:sz="0" w:space="0" w:color="auto"/>
                    <w:bottom w:val="none" w:sz="0" w:space="0" w:color="auto"/>
                    <w:right w:val="none" w:sz="0" w:space="0" w:color="auto"/>
                  </w:divBdr>
                  <w:divsChild>
                    <w:div w:id="711927187">
                      <w:marLeft w:val="0"/>
                      <w:marRight w:val="0"/>
                      <w:marTop w:val="0"/>
                      <w:marBottom w:val="0"/>
                      <w:divBdr>
                        <w:top w:val="none" w:sz="0" w:space="0" w:color="auto"/>
                        <w:left w:val="none" w:sz="0" w:space="0" w:color="auto"/>
                        <w:bottom w:val="none" w:sz="0" w:space="0" w:color="auto"/>
                        <w:right w:val="none" w:sz="0" w:space="0" w:color="auto"/>
                      </w:divBdr>
                      <w:divsChild>
                        <w:div w:id="1156729041">
                          <w:marLeft w:val="0"/>
                          <w:marRight w:val="0"/>
                          <w:marTop w:val="0"/>
                          <w:marBottom w:val="0"/>
                          <w:divBdr>
                            <w:top w:val="none" w:sz="0" w:space="0" w:color="auto"/>
                            <w:left w:val="none" w:sz="0" w:space="0" w:color="auto"/>
                            <w:bottom w:val="none" w:sz="0" w:space="0" w:color="auto"/>
                            <w:right w:val="none" w:sz="0" w:space="0" w:color="auto"/>
                          </w:divBdr>
                          <w:divsChild>
                            <w:div w:id="1159659655">
                              <w:marLeft w:val="0"/>
                              <w:marRight w:val="0"/>
                              <w:marTop w:val="0"/>
                              <w:marBottom w:val="0"/>
                              <w:divBdr>
                                <w:top w:val="none" w:sz="0" w:space="0" w:color="auto"/>
                                <w:left w:val="none" w:sz="0" w:space="0" w:color="auto"/>
                                <w:bottom w:val="none" w:sz="0" w:space="0" w:color="auto"/>
                                <w:right w:val="none" w:sz="0" w:space="0" w:color="auto"/>
                              </w:divBdr>
                              <w:divsChild>
                                <w:div w:id="2111197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64411294">
      <w:bodyDiv w:val="1"/>
      <w:marLeft w:val="0"/>
      <w:marRight w:val="0"/>
      <w:marTop w:val="0"/>
      <w:marBottom w:val="0"/>
      <w:divBdr>
        <w:top w:val="none" w:sz="0" w:space="0" w:color="auto"/>
        <w:left w:val="none" w:sz="0" w:space="0" w:color="auto"/>
        <w:bottom w:val="none" w:sz="0" w:space="0" w:color="auto"/>
        <w:right w:val="none" w:sz="0" w:space="0" w:color="auto"/>
      </w:divBdr>
    </w:div>
    <w:div w:id="1315404289">
      <w:bodyDiv w:val="1"/>
      <w:marLeft w:val="0"/>
      <w:marRight w:val="0"/>
      <w:marTop w:val="0"/>
      <w:marBottom w:val="0"/>
      <w:divBdr>
        <w:top w:val="none" w:sz="0" w:space="0" w:color="auto"/>
        <w:left w:val="none" w:sz="0" w:space="0" w:color="auto"/>
        <w:bottom w:val="none" w:sz="0" w:space="0" w:color="auto"/>
        <w:right w:val="none" w:sz="0" w:space="0" w:color="auto"/>
      </w:divBdr>
    </w:div>
    <w:div w:id="1538855316">
      <w:bodyDiv w:val="1"/>
      <w:marLeft w:val="0"/>
      <w:marRight w:val="0"/>
      <w:marTop w:val="0"/>
      <w:marBottom w:val="0"/>
      <w:divBdr>
        <w:top w:val="none" w:sz="0" w:space="0" w:color="auto"/>
        <w:left w:val="none" w:sz="0" w:space="0" w:color="auto"/>
        <w:bottom w:val="none" w:sz="0" w:space="0" w:color="auto"/>
        <w:right w:val="none" w:sz="0" w:space="0" w:color="auto"/>
      </w:divBdr>
    </w:div>
    <w:div w:id="1649632199">
      <w:bodyDiv w:val="1"/>
      <w:marLeft w:val="0"/>
      <w:marRight w:val="0"/>
      <w:marTop w:val="0"/>
      <w:marBottom w:val="0"/>
      <w:divBdr>
        <w:top w:val="none" w:sz="0" w:space="0" w:color="auto"/>
        <w:left w:val="none" w:sz="0" w:space="0" w:color="auto"/>
        <w:bottom w:val="none" w:sz="0" w:space="0" w:color="auto"/>
        <w:right w:val="none" w:sz="0" w:space="0" w:color="auto"/>
      </w:divBdr>
    </w:div>
    <w:div w:id="1669795566">
      <w:bodyDiv w:val="1"/>
      <w:marLeft w:val="0"/>
      <w:marRight w:val="0"/>
      <w:marTop w:val="0"/>
      <w:marBottom w:val="0"/>
      <w:divBdr>
        <w:top w:val="none" w:sz="0" w:space="0" w:color="auto"/>
        <w:left w:val="none" w:sz="0" w:space="0" w:color="auto"/>
        <w:bottom w:val="none" w:sz="0" w:space="0" w:color="auto"/>
        <w:right w:val="none" w:sz="0" w:space="0" w:color="auto"/>
      </w:divBdr>
    </w:div>
    <w:div w:id="2040205154">
      <w:bodyDiv w:val="1"/>
      <w:marLeft w:val="0"/>
      <w:marRight w:val="0"/>
      <w:marTop w:val="0"/>
      <w:marBottom w:val="0"/>
      <w:divBdr>
        <w:top w:val="none" w:sz="0" w:space="0" w:color="auto"/>
        <w:left w:val="none" w:sz="0" w:space="0" w:color="auto"/>
        <w:bottom w:val="none" w:sz="0" w:space="0" w:color="auto"/>
        <w:right w:val="none" w:sz="0" w:space="0" w:color="auto"/>
      </w:divBdr>
    </w:div>
    <w:div w:id="2040205737">
      <w:bodyDiv w:val="1"/>
      <w:marLeft w:val="0"/>
      <w:marRight w:val="0"/>
      <w:marTop w:val="0"/>
      <w:marBottom w:val="0"/>
      <w:divBdr>
        <w:top w:val="none" w:sz="0" w:space="0" w:color="auto"/>
        <w:left w:val="none" w:sz="0" w:space="0" w:color="auto"/>
        <w:bottom w:val="none" w:sz="0" w:space="0" w:color="auto"/>
        <w:right w:val="none" w:sz="0" w:space="0" w:color="auto"/>
      </w:divBdr>
    </w:div>
    <w:div w:id="2050840390">
      <w:bodyDiv w:val="1"/>
      <w:marLeft w:val="0"/>
      <w:marRight w:val="0"/>
      <w:marTop w:val="0"/>
      <w:marBottom w:val="0"/>
      <w:divBdr>
        <w:top w:val="none" w:sz="0" w:space="0" w:color="auto"/>
        <w:left w:val="none" w:sz="0" w:space="0" w:color="auto"/>
        <w:bottom w:val="none" w:sz="0" w:space="0" w:color="auto"/>
        <w:right w:val="none" w:sz="0" w:space="0" w:color="auto"/>
      </w:divBdr>
    </w:div>
    <w:div w:id="2093118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chart" Target="charts/chart2.xml"/><Relationship Id="rId18" Type="http://schemas.openxmlformats.org/officeDocument/2006/relationships/package" Target="embeddings/Microsoft_Excel_Binary_Worksheet.xlsb"/><Relationship Id="rId3" Type="http://schemas.openxmlformats.org/officeDocument/2006/relationships/customXml" Target="../customXml/item3.xml"/><Relationship Id="rId21" Type="http://schemas.openxmlformats.org/officeDocument/2006/relationships/hyperlink" Target="http://www.dsd.gov.au/library/infosec/ism.html" TargetMode="External"/><Relationship Id="rId7" Type="http://schemas.openxmlformats.org/officeDocument/2006/relationships/webSettings" Target="webSettings.xml"/><Relationship Id="rId12" Type="http://schemas.openxmlformats.org/officeDocument/2006/relationships/chart" Target="charts/chart1.xml"/><Relationship Id="rId17" Type="http://schemas.openxmlformats.org/officeDocument/2006/relationships/image" Target="media/image2.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chart" Target="charts/chart5.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chart" Target="charts/chart4.xml"/><Relationship Id="rId23" Type="http://schemas.openxmlformats.org/officeDocument/2006/relationships/footer" Target="footer4.xml"/><Relationship Id="rId10" Type="http://schemas.openxmlformats.org/officeDocument/2006/relationships/footer" Target="footer1.xml"/><Relationship Id="rId19" Type="http://schemas.openxmlformats.org/officeDocument/2006/relationships/chart" Target="charts/chart6.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chart" Target="charts/chart3.xml"/><Relationship Id="rId22" Type="http://schemas.openxmlformats.org/officeDocument/2006/relationships/footer" Target="footer3.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chanst\AppData\Roaming\Hewlett-Packard\HP%20TRIM\Offline%20Records%20(AG)\PSPF%20compliance%20reporting%202016-2017%20-%20WOG%20reports\PSPF%20Compliance%20reporting%20-%202016-17.XLSB"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chanst\AppData\Roaming\Hewlett-Packard\HP%20TRIM\Offline%20Records%20(AG)\PSPF%20compliance%20reporting%202016-2017%20-%20WOG%20reports\PSPF%20Compliance%20reporting%20-%202016-17.XLSB"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chanst\AppData\Roaming\Hewlett-Packard\HP%20TRIM\Offline%20Records%20(AG)\PSPF%20compliance%20reporting%202016-2017%20-%20WOG%20reports\PSPF%20Compliance%20reporting%20-%202016-17.XLSB"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chanst\AppData\Roaming\Hewlett-Packard\HP%20TRIM\Offline%20Records%20(AG)\PSPF%20compliance%20reporting%202016-2017%20-%20WOG%20reports\PSPF%20Compliance%20reporting%20-%202016-17.XLSB"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chanst\AppData\Roaming\Hewlett-Packard\HP%20TRIM\Offline%20Records%20(AG)\PSPF%20compliance%20reporting%202016-2017%20-%20WOG%20reports\PSPF%20Compliance%20reporting%20-%202016-17.XLSB"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chanst\AppData\Roaming\Hewlett-Packard\HP%20TRIM\Offline%20Records%20(AG)\PSPF%20compliance%20reporting%202016-2017%20-%20WOG%20reports\PSPF%20Compliance%20reporting%20-%202016-17.XLSB"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1"/>
    <c:plotArea>
      <c:layout>
        <c:manualLayout>
          <c:layoutTarget val="inner"/>
          <c:xMode val="edge"/>
          <c:yMode val="edge"/>
          <c:x val="9.2705655031067022E-2"/>
          <c:y val="5.7384152585765499E-2"/>
          <c:w val="0.88275371399821589"/>
          <c:h val="0.80978174603174602"/>
        </c:manualLayout>
      </c:layout>
      <c:barChart>
        <c:barDir val="col"/>
        <c:grouping val="clustered"/>
        <c:varyColors val="0"/>
        <c:ser>
          <c:idx val="0"/>
          <c:order val="0"/>
          <c:tx>
            <c:strRef>
              <c:f>'Charts compliance by entity'!$C$2</c:f>
              <c:strCache>
                <c:ptCount val="1"/>
                <c:pt idx="0">
                  <c:v>Non-corporate Commonwealth entity</c:v>
                </c:pt>
              </c:strCache>
            </c:strRef>
          </c:tx>
          <c:invertIfNegative val="0"/>
          <c:dLbls>
            <c:dLbl>
              <c:idx val="0"/>
              <c:layout>
                <c:manualLayout>
                  <c:x val="0"/>
                  <c:y val="-2.439024390243902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ECF-4035-B54B-4C6111861911}"/>
                </c:ext>
              </c:extLst>
            </c:dLbl>
            <c:dLbl>
              <c:idx val="1"/>
              <c:layout>
                <c:manualLayout>
                  <c:x val="-4.4004400440044002E-3"/>
                  <c:y val="1.626016260162601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ECF-4035-B54B-4C6111861911}"/>
                </c:ext>
              </c:extLst>
            </c:dLbl>
            <c:dLbl>
              <c:idx val="2"/>
              <c:layout>
                <c:manualLayout>
                  <c:x val="0"/>
                  <c:y val="-8.13008130081300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ECF-4035-B54B-4C6111861911}"/>
                </c:ext>
              </c:extLst>
            </c:dLbl>
            <c:numFmt formatCode="0.0%" sourceLinked="0"/>
            <c:spPr>
              <a:noFill/>
              <a:ln>
                <a:noFill/>
              </a:ln>
              <a:effectLst/>
            </c:spPr>
            <c:txPr>
              <a:bodyPr/>
              <a:lstStyle/>
              <a:p>
                <a:pPr>
                  <a:defRPr sz="7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'Charts compliance by entity'!$D$1:$F$1</c:f>
              <c:strCache>
                <c:ptCount val="3"/>
                <c:pt idx="0">
                  <c:v>2014-15</c:v>
                </c:pt>
                <c:pt idx="1">
                  <c:v>2015-16</c:v>
                </c:pt>
                <c:pt idx="2">
                  <c:v>2016-17</c:v>
                </c:pt>
              </c:strCache>
            </c:strRef>
          </c:cat>
          <c:val>
            <c:numRef>
              <c:f>'Charts compliance by entity'!$D$2:$F$2</c:f>
              <c:numCache>
                <c:formatCode>0.00%</c:formatCode>
                <c:ptCount val="3"/>
                <c:pt idx="0">
                  <c:v>0.32258064516129031</c:v>
                </c:pt>
                <c:pt idx="1">
                  <c:v>0.37634408602150538</c:v>
                </c:pt>
                <c:pt idx="2">
                  <c:v>0.34408602150537637</c:v>
                </c:pt>
              </c:numCache>
            </c:numRef>
          </c:val>
          <c:extLst>
            <c:ext xmlns:c16="http://schemas.microsoft.com/office/drawing/2014/chart" uri="{C3380CC4-5D6E-409C-BE32-E72D297353CC}">
              <c16:uniqueId val="{00000003-EECF-4035-B54B-4C6111861911}"/>
            </c:ext>
          </c:extLst>
        </c:ser>
        <c:dLbls>
          <c:showLegendKey val="0"/>
          <c:showVal val="0"/>
          <c:showCatName val="0"/>
          <c:showSerName val="0"/>
          <c:showPercent val="0"/>
          <c:showBubbleSize val="0"/>
        </c:dLbls>
        <c:gapWidth val="150"/>
        <c:axId val="339087360"/>
        <c:axId val="437043968"/>
      </c:barChart>
      <c:catAx>
        <c:axId val="339087360"/>
        <c:scaling>
          <c:orientation val="minMax"/>
        </c:scaling>
        <c:delete val="0"/>
        <c:axPos val="b"/>
        <c:numFmt formatCode="General" sourceLinked="0"/>
        <c:majorTickMark val="out"/>
        <c:minorTickMark val="none"/>
        <c:tickLblPos val="nextTo"/>
        <c:txPr>
          <a:bodyPr/>
          <a:lstStyle/>
          <a:p>
            <a:pPr>
              <a:defRPr sz="700"/>
            </a:pPr>
            <a:endParaRPr lang="en-US"/>
          </a:p>
        </c:txPr>
        <c:crossAx val="437043968"/>
        <c:crosses val="autoZero"/>
        <c:auto val="1"/>
        <c:lblAlgn val="ctr"/>
        <c:lblOffset val="100"/>
        <c:noMultiLvlLbl val="0"/>
      </c:catAx>
      <c:valAx>
        <c:axId val="437043968"/>
        <c:scaling>
          <c:orientation val="minMax"/>
          <c:max val="1"/>
          <c:min val="0"/>
        </c:scaling>
        <c:delete val="0"/>
        <c:axPos val="l"/>
        <c:majorGridlines/>
        <c:numFmt formatCode="0%" sourceLinked="0"/>
        <c:majorTickMark val="out"/>
        <c:minorTickMark val="none"/>
        <c:tickLblPos val="nextTo"/>
        <c:txPr>
          <a:bodyPr/>
          <a:lstStyle/>
          <a:p>
            <a:pPr>
              <a:defRPr sz="700"/>
            </a:pPr>
            <a:endParaRPr lang="en-US"/>
          </a:p>
        </c:txPr>
        <c:crossAx val="339087360"/>
        <c:crosses val="autoZero"/>
        <c:crossBetween val="between"/>
        <c:majorUnit val="0.1"/>
      </c:valAx>
    </c:plotArea>
    <c:plotVisOnly val="1"/>
    <c:dispBlanksAs val="gap"/>
    <c:showDLblsOverMax val="0"/>
  </c:chart>
  <c:spPr>
    <a:ln>
      <a:noFill/>
    </a:ln>
  </c:spPr>
  <c:txPr>
    <a:bodyPr/>
    <a:lstStyle/>
    <a:p>
      <a:pPr>
        <a:defRPr sz="800"/>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1"/>
    <c:plotArea>
      <c:layout>
        <c:manualLayout>
          <c:layoutTarget val="inner"/>
          <c:xMode val="edge"/>
          <c:yMode val="edge"/>
          <c:x val="0.10110594270580936"/>
          <c:y val="7.6285079749646684E-2"/>
          <c:w val="0.87241284545314191"/>
          <c:h val="0.79534313972597215"/>
        </c:manualLayout>
      </c:layout>
      <c:barChart>
        <c:barDir val="col"/>
        <c:grouping val="clustered"/>
        <c:varyColors val="0"/>
        <c:ser>
          <c:idx val="0"/>
          <c:order val="0"/>
          <c:tx>
            <c:strRef>
              <c:f>'Charts compliance by entity'!$L$2</c:f>
              <c:strCache>
                <c:ptCount val="1"/>
                <c:pt idx="0">
                  <c:v>Non-corporate Commonwealth entity</c:v>
                </c:pt>
              </c:strCache>
            </c:strRef>
          </c:tx>
          <c:invertIfNegative val="0"/>
          <c:dLbls>
            <c:dLbl>
              <c:idx val="0"/>
              <c:layout>
                <c:manualLayout>
                  <c:x val="0"/>
                  <c:y val="1.568627450980392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3F7-4DA9-81C6-8D3D781A5045}"/>
                </c:ext>
              </c:extLst>
            </c:dLbl>
            <c:dLbl>
              <c:idx val="1"/>
              <c:layout>
                <c:manualLayout>
                  <c:x val="0"/>
                  <c:y val="3.920333487725798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3F7-4DA9-81C6-8D3D781A5045}"/>
                </c:ext>
              </c:extLst>
            </c:dLbl>
            <c:dLbl>
              <c:idx val="2"/>
              <c:layout>
                <c:manualLayout>
                  <c:x val="0"/>
                  <c:y val="3.921568627450980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3F7-4DA9-81C6-8D3D781A5045}"/>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'Charts compliance by entity'!$M$1:$O$1</c:f>
              <c:strCache>
                <c:ptCount val="3"/>
                <c:pt idx="0">
                  <c:v>2014-15</c:v>
                </c:pt>
                <c:pt idx="1">
                  <c:v>2015-16</c:v>
                </c:pt>
                <c:pt idx="2">
                  <c:v>2016-17</c:v>
                </c:pt>
              </c:strCache>
            </c:strRef>
          </c:cat>
          <c:val>
            <c:numRef>
              <c:f>'Charts compliance by entity'!$M$3:$O$3</c:f>
              <c:numCache>
                <c:formatCode>0</c:formatCode>
                <c:ptCount val="3"/>
                <c:pt idx="0">
                  <c:v>31.483870967741936</c:v>
                </c:pt>
                <c:pt idx="1">
                  <c:v>32.774193548387096</c:v>
                </c:pt>
                <c:pt idx="2">
                  <c:v>32.827956989247312</c:v>
                </c:pt>
              </c:numCache>
            </c:numRef>
          </c:val>
          <c:extLst>
            <c:ext xmlns:c16="http://schemas.microsoft.com/office/drawing/2014/chart" uri="{C3380CC4-5D6E-409C-BE32-E72D297353CC}">
              <c16:uniqueId val="{00000003-83F7-4DA9-81C6-8D3D781A5045}"/>
            </c:ext>
          </c:extLst>
        </c:ser>
        <c:dLbls>
          <c:showLegendKey val="0"/>
          <c:showVal val="0"/>
          <c:showCatName val="0"/>
          <c:showSerName val="0"/>
          <c:showPercent val="0"/>
          <c:showBubbleSize val="0"/>
        </c:dLbls>
        <c:gapWidth val="150"/>
        <c:axId val="58235904"/>
        <c:axId val="337781504"/>
      </c:barChart>
      <c:catAx>
        <c:axId val="58235904"/>
        <c:scaling>
          <c:orientation val="minMax"/>
        </c:scaling>
        <c:delete val="0"/>
        <c:axPos val="b"/>
        <c:numFmt formatCode="General" sourceLinked="0"/>
        <c:majorTickMark val="out"/>
        <c:minorTickMark val="none"/>
        <c:tickLblPos val="nextTo"/>
        <c:crossAx val="337781504"/>
        <c:crosses val="autoZero"/>
        <c:auto val="1"/>
        <c:lblAlgn val="ctr"/>
        <c:lblOffset val="100"/>
        <c:noMultiLvlLbl val="0"/>
      </c:catAx>
      <c:valAx>
        <c:axId val="337781504"/>
        <c:scaling>
          <c:orientation val="minMax"/>
          <c:max val="36"/>
          <c:min val="0"/>
        </c:scaling>
        <c:delete val="0"/>
        <c:axPos val="l"/>
        <c:majorGridlines/>
        <c:numFmt formatCode="#,##0" sourceLinked="0"/>
        <c:majorTickMark val="out"/>
        <c:minorTickMark val="none"/>
        <c:tickLblPos val="nextTo"/>
        <c:crossAx val="58235904"/>
        <c:crosses val="autoZero"/>
        <c:crossBetween val="between"/>
        <c:majorUnit val="6"/>
      </c:valAx>
    </c:plotArea>
    <c:plotVisOnly val="1"/>
    <c:dispBlanksAs val="gap"/>
    <c:showDLblsOverMax val="0"/>
  </c:chart>
  <c:spPr>
    <a:ln>
      <a:noFill/>
    </a:ln>
  </c:spPr>
  <c:txPr>
    <a:bodyPr/>
    <a:lstStyle/>
    <a:p>
      <a:pPr>
        <a:defRPr sz="800"/>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1"/>
    <c:plotArea>
      <c:layout>
        <c:manualLayout>
          <c:layoutTarget val="inner"/>
          <c:xMode val="edge"/>
          <c:yMode val="edge"/>
          <c:x val="0.11951628892613732"/>
          <c:y val="5.7054310518877438E-2"/>
          <c:w val="0.85436316866895468"/>
          <c:h val="0.73601829759519966"/>
        </c:manualLayout>
      </c:layout>
      <c:barChart>
        <c:barDir val="col"/>
        <c:grouping val="clustered"/>
        <c:varyColors val="0"/>
        <c:ser>
          <c:idx val="2"/>
          <c:order val="0"/>
          <c:tx>
            <c:strRef>
              <c:f>'Charts compliance by control'!$L$1</c:f>
              <c:strCache>
                <c:ptCount val="1"/>
                <c:pt idx="0">
                  <c:v>2016-17 Non-corporate Commonwealth entity</c:v>
                </c:pt>
              </c:strCache>
            </c:strRef>
          </c:tx>
          <c:invertIfNegative val="0"/>
          <c:dLbls>
            <c:dLbl>
              <c:idx val="0"/>
              <c:layout>
                <c:manualLayout>
                  <c:x val="0"/>
                  <c:y val="1.923076923076922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691-4EF5-BF90-88B65D616680}"/>
                </c:ext>
              </c:extLst>
            </c:dLbl>
            <c:dLbl>
              <c:idx val="1"/>
              <c:layout>
                <c:manualLayout>
                  <c:x val="0"/>
                  <c:y val="2.56410256410256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691-4EF5-BF90-88B65D616680}"/>
                </c:ext>
              </c:extLst>
            </c:dLbl>
            <c:dLbl>
              <c:idx val="2"/>
              <c:layout>
                <c:manualLayout>
                  <c:x val="7.1894594304112904E-17"/>
                  <c:y val="-2.56410256410256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4691-4EF5-BF90-88B65D616680}"/>
                </c:ext>
              </c:extLst>
            </c:dLbl>
            <c:dLbl>
              <c:idx val="3"/>
              <c:layout>
                <c:manualLayout>
                  <c:x val="0"/>
                  <c:y val="3.205128205128204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4691-4EF5-BF90-88B65D616680}"/>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'Charts compliance by control'!$I$2:$I$5</c:f>
              <c:strCache>
                <c:ptCount val="4"/>
                <c:pt idx="0">
                  <c:v>Security governance</c:v>
                </c:pt>
                <c:pt idx="1">
                  <c:v>Personnel security</c:v>
                </c:pt>
                <c:pt idx="2">
                  <c:v>Information security</c:v>
                </c:pt>
                <c:pt idx="3">
                  <c:v>Physical security</c:v>
                </c:pt>
              </c:strCache>
            </c:strRef>
          </c:cat>
          <c:val>
            <c:numRef>
              <c:f>'Charts compliance by control'!$L$2:$L$5</c:f>
              <c:numCache>
                <c:formatCode>0.00%</c:formatCode>
                <c:ptCount val="4"/>
                <c:pt idx="0">
                  <c:v>0.92142266335814726</c:v>
                </c:pt>
                <c:pt idx="1">
                  <c:v>0.92592592592592593</c:v>
                </c:pt>
                <c:pt idx="2">
                  <c:v>0.85560675883256532</c:v>
                </c:pt>
                <c:pt idx="3">
                  <c:v>0.9339477726574501</c:v>
                </c:pt>
              </c:numCache>
            </c:numRef>
          </c:val>
          <c:extLst>
            <c:ext xmlns:c16="http://schemas.microsoft.com/office/drawing/2014/chart" uri="{C3380CC4-5D6E-409C-BE32-E72D297353CC}">
              <c16:uniqueId val="{00000004-4691-4EF5-BF90-88B65D616680}"/>
            </c:ext>
          </c:extLst>
        </c:ser>
        <c:dLbls>
          <c:showLegendKey val="0"/>
          <c:showVal val="0"/>
          <c:showCatName val="0"/>
          <c:showSerName val="0"/>
          <c:showPercent val="0"/>
          <c:showBubbleSize val="0"/>
        </c:dLbls>
        <c:gapWidth val="150"/>
        <c:axId val="337829248"/>
        <c:axId val="345044096"/>
      </c:barChart>
      <c:lineChart>
        <c:grouping val="standard"/>
        <c:varyColors val="0"/>
        <c:ser>
          <c:idx val="3"/>
          <c:order val="1"/>
          <c:tx>
            <c:strRef>
              <c:f>'Charts compliance by control'!$M$1</c:f>
              <c:strCache>
                <c:ptCount val="1"/>
                <c:pt idx="0">
                  <c:v>2016-17 PSPF compliance average</c:v>
                </c:pt>
              </c:strCache>
            </c:strRef>
          </c:tx>
          <c:spPr>
            <a:ln w="38100">
              <a:solidFill>
                <a:srgbClr val="FF0000"/>
              </a:solidFill>
              <a:prstDash val="sysDot"/>
            </a:ln>
          </c:spPr>
          <c:marker>
            <c:symbol val="none"/>
          </c:marker>
          <c:dLbls>
            <c:dLbl>
              <c:idx val="0"/>
              <c:layout>
                <c:manualLayout>
                  <c:x val="-1.4137409294426431E-2"/>
                  <c:y val="0.16485965724872625"/>
                </c:manualLayout>
              </c:layout>
              <c:numFmt formatCode="0%" sourceLinked="0"/>
              <c:spPr/>
              <c:txPr>
                <a:bodyPr/>
                <a:lstStyle/>
                <a:p>
                  <a:pPr>
                    <a:defRPr>
                      <a:solidFill>
                        <a:srgbClr val="FF0000"/>
                      </a:solidFill>
                    </a:defRPr>
                  </a:pPr>
                  <a:endParaRPr lang="en-US"/>
                </a:p>
              </c:txPr>
              <c:dLblPos val="r"/>
              <c:showLegendKey val="0"/>
              <c:showVal val="0"/>
              <c:showCatName val="0"/>
              <c:showSerName val="1"/>
              <c:showPercent val="0"/>
              <c:showBubbleSize val="0"/>
              <c:extLst>
                <c:ext xmlns:c15="http://schemas.microsoft.com/office/drawing/2012/chart" uri="{CE6537A1-D6FC-4f65-9D91-7224C49458BB}">
                  <c15:layout/>
                </c:ext>
                <c:ext xmlns:c16="http://schemas.microsoft.com/office/drawing/2014/chart" uri="{C3380CC4-5D6E-409C-BE32-E72D297353CC}">
                  <c16:uniqueId val="{00000005-4691-4EF5-BF90-88B65D616680}"/>
                </c:ext>
              </c:extLst>
            </c:dLbl>
            <c:dLbl>
              <c:idx val="1"/>
              <c:delete val="1"/>
              <c:extLst>
                <c:ext xmlns:c15="http://schemas.microsoft.com/office/drawing/2012/chart" uri="{CE6537A1-D6FC-4f65-9D91-7224C49458BB}"/>
                <c:ext xmlns:c16="http://schemas.microsoft.com/office/drawing/2014/chart" uri="{C3380CC4-5D6E-409C-BE32-E72D297353CC}">
                  <c16:uniqueId val="{00000006-4691-4EF5-BF90-88B65D616680}"/>
                </c:ext>
              </c:extLst>
            </c:dLbl>
            <c:dLbl>
              <c:idx val="2"/>
              <c:delete val="1"/>
              <c:extLst>
                <c:ext xmlns:c15="http://schemas.microsoft.com/office/drawing/2012/chart" uri="{CE6537A1-D6FC-4f65-9D91-7224C49458BB}"/>
                <c:ext xmlns:c16="http://schemas.microsoft.com/office/drawing/2014/chart" uri="{C3380CC4-5D6E-409C-BE32-E72D297353CC}">
                  <c16:uniqueId val="{00000007-4691-4EF5-BF90-88B65D616680}"/>
                </c:ext>
              </c:extLst>
            </c:dLbl>
            <c:dLbl>
              <c:idx val="3"/>
              <c:delete val="1"/>
              <c:extLst>
                <c:ext xmlns:c15="http://schemas.microsoft.com/office/drawing/2012/chart" uri="{CE6537A1-D6FC-4f65-9D91-7224C49458BB}"/>
                <c:ext xmlns:c16="http://schemas.microsoft.com/office/drawing/2014/chart" uri="{C3380CC4-5D6E-409C-BE32-E72D297353CC}">
                  <c16:uniqueId val="{00000008-4691-4EF5-BF90-88B65D616680}"/>
                </c:ext>
              </c:extLst>
            </c:dLbl>
            <c:dLbl>
              <c:idx val="4"/>
              <c:delete val="1"/>
              <c:extLst>
                <c:ext xmlns:c15="http://schemas.microsoft.com/office/drawing/2012/chart" uri="{CE6537A1-D6FC-4f65-9D91-7224C49458BB}"/>
                <c:ext xmlns:c16="http://schemas.microsoft.com/office/drawing/2014/chart" uri="{C3380CC4-5D6E-409C-BE32-E72D297353CC}">
                  <c16:uniqueId val="{00000009-4691-4EF5-BF90-88B65D616680}"/>
                </c:ext>
              </c:extLst>
            </c:dLbl>
            <c:dLbl>
              <c:idx val="5"/>
              <c:delete val="1"/>
              <c:extLst>
                <c:ext xmlns:c15="http://schemas.microsoft.com/office/drawing/2012/chart" uri="{CE6537A1-D6FC-4f65-9D91-7224C49458BB}"/>
                <c:ext xmlns:c16="http://schemas.microsoft.com/office/drawing/2014/chart" uri="{C3380CC4-5D6E-409C-BE32-E72D297353CC}">
                  <c16:uniqueId val="{0000000A-4691-4EF5-BF90-88B65D616680}"/>
                </c:ext>
              </c:extLst>
            </c:dLbl>
            <c:spPr>
              <a:noFill/>
              <a:ln>
                <a:noFill/>
              </a:ln>
              <a:effectLst/>
            </c:spPr>
            <c:txPr>
              <a:bodyPr/>
              <a:lstStyle/>
              <a:p>
                <a:pPr>
                  <a:defRPr>
                    <a:solidFill>
                      <a:srgbClr val="FF0000"/>
                    </a:solidFill>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strRef>
              <c:f>'Charts compliance by control'!$I$2:$I$5</c:f>
              <c:strCache>
                <c:ptCount val="4"/>
                <c:pt idx="0">
                  <c:v>Security governance</c:v>
                </c:pt>
                <c:pt idx="1">
                  <c:v>Personnel security</c:v>
                </c:pt>
                <c:pt idx="2">
                  <c:v>Information security</c:v>
                </c:pt>
                <c:pt idx="3">
                  <c:v>Physical security</c:v>
                </c:pt>
              </c:strCache>
            </c:strRef>
          </c:cat>
          <c:val>
            <c:numRef>
              <c:f>'Charts compliance by control'!$M$2:$M$5</c:f>
              <c:numCache>
                <c:formatCode>0.00%</c:formatCode>
                <c:ptCount val="4"/>
                <c:pt idx="0">
                  <c:v>0.91213768115942029</c:v>
                </c:pt>
                <c:pt idx="1">
                  <c:v>0.91213768115942029</c:v>
                </c:pt>
                <c:pt idx="2">
                  <c:v>0.91213768115942029</c:v>
                </c:pt>
                <c:pt idx="3">
                  <c:v>0.91213768115942029</c:v>
                </c:pt>
              </c:numCache>
            </c:numRef>
          </c:val>
          <c:smooth val="0"/>
          <c:extLst>
            <c:ext xmlns:c16="http://schemas.microsoft.com/office/drawing/2014/chart" uri="{C3380CC4-5D6E-409C-BE32-E72D297353CC}">
              <c16:uniqueId val="{0000000B-4691-4EF5-BF90-88B65D616680}"/>
            </c:ext>
          </c:extLst>
        </c:ser>
        <c:dLbls>
          <c:showLegendKey val="0"/>
          <c:showVal val="0"/>
          <c:showCatName val="0"/>
          <c:showSerName val="0"/>
          <c:showPercent val="0"/>
          <c:showBubbleSize val="0"/>
        </c:dLbls>
        <c:marker val="1"/>
        <c:smooth val="0"/>
        <c:axId val="376664448"/>
        <c:axId val="345045632"/>
      </c:lineChart>
      <c:catAx>
        <c:axId val="337829248"/>
        <c:scaling>
          <c:orientation val="minMax"/>
        </c:scaling>
        <c:delete val="0"/>
        <c:axPos val="b"/>
        <c:numFmt formatCode="General" sourceLinked="1"/>
        <c:majorTickMark val="out"/>
        <c:minorTickMark val="none"/>
        <c:tickLblPos val="nextTo"/>
        <c:crossAx val="345044096"/>
        <c:crosses val="autoZero"/>
        <c:auto val="1"/>
        <c:lblAlgn val="ctr"/>
        <c:lblOffset val="100"/>
        <c:noMultiLvlLbl val="0"/>
      </c:catAx>
      <c:valAx>
        <c:axId val="345044096"/>
        <c:scaling>
          <c:orientation val="minMax"/>
          <c:max val="1"/>
          <c:min val="0"/>
        </c:scaling>
        <c:delete val="0"/>
        <c:axPos val="l"/>
        <c:majorGridlines/>
        <c:numFmt formatCode="0%" sourceLinked="0"/>
        <c:majorTickMark val="out"/>
        <c:minorTickMark val="none"/>
        <c:tickLblPos val="nextTo"/>
        <c:crossAx val="337829248"/>
        <c:crosses val="autoZero"/>
        <c:crossBetween val="between"/>
        <c:majorUnit val="0.1"/>
      </c:valAx>
      <c:valAx>
        <c:axId val="345045632"/>
        <c:scaling>
          <c:orientation val="minMax"/>
          <c:max val="1"/>
        </c:scaling>
        <c:delete val="1"/>
        <c:axPos val="r"/>
        <c:numFmt formatCode="0.00%" sourceLinked="1"/>
        <c:majorTickMark val="out"/>
        <c:minorTickMark val="none"/>
        <c:tickLblPos val="nextTo"/>
        <c:crossAx val="376664448"/>
        <c:crosses val="max"/>
        <c:crossBetween val="between"/>
      </c:valAx>
      <c:catAx>
        <c:axId val="376664448"/>
        <c:scaling>
          <c:orientation val="minMax"/>
        </c:scaling>
        <c:delete val="1"/>
        <c:axPos val="b"/>
        <c:numFmt formatCode="General" sourceLinked="1"/>
        <c:majorTickMark val="out"/>
        <c:minorTickMark val="none"/>
        <c:tickLblPos val="nextTo"/>
        <c:crossAx val="345045632"/>
        <c:crosses val="autoZero"/>
        <c:auto val="1"/>
        <c:lblAlgn val="ctr"/>
        <c:lblOffset val="100"/>
        <c:noMultiLvlLbl val="0"/>
      </c:catAx>
    </c:plotArea>
    <c:plotVisOnly val="1"/>
    <c:dispBlanksAs val="gap"/>
    <c:showDLblsOverMax val="0"/>
  </c:chart>
  <c:spPr>
    <a:ln>
      <a:noFill/>
    </a:ln>
  </c:spPr>
  <c:txPr>
    <a:bodyPr/>
    <a:lstStyle/>
    <a:p>
      <a:pPr>
        <a:defRPr sz="800"/>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1"/>
    <c:plotArea>
      <c:layout>
        <c:manualLayout>
          <c:layoutTarget val="inner"/>
          <c:xMode val="edge"/>
          <c:yMode val="edge"/>
          <c:x val="0.11684039299086046"/>
          <c:y val="4.7862899490504866E-2"/>
          <c:w val="0.86519438011425043"/>
          <c:h val="0.79486922958159645"/>
        </c:manualLayout>
      </c:layout>
      <c:barChart>
        <c:barDir val="col"/>
        <c:grouping val="clustered"/>
        <c:varyColors val="0"/>
        <c:ser>
          <c:idx val="2"/>
          <c:order val="0"/>
          <c:tx>
            <c:strRef>
              <c:f>'Charts compliance by control'!$C$111:$C$112</c:f>
              <c:strCache>
                <c:ptCount val="1"/>
                <c:pt idx="0">
                  <c:v>Non-corporate Commonwealth entity</c:v>
                </c:pt>
              </c:strCache>
            </c:strRef>
          </c:tx>
          <c:invertIfNegative val="0"/>
          <c:dLbls>
            <c:dLbl>
              <c:idx val="0"/>
              <c:layout>
                <c:manualLayout>
                  <c:x val="-1.9607843137254902E-2"/>
                  <c:y val="-5.490196078431372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D8C-4AB7-87DB-5AC978B08ECA}"/>
                </c:ext>
              </c:extLst>
            </c:dLbl>
            <c:dLbl>
              <c:idx val="1"/>
              <c:layout>
                <c:manualLayout>
                  <c:x val="0"/>
                  <c:y val="3.137254901960787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D8C-4AB7-87DB-5AC978B08ECA}"/>
                </c:ext>
              </c:extLst>
            </c:dLbl>
            <c:dLbl>
              <c:idx val="2"/>
              <c:layout>
                <c:manualLayout>
                  <c:x val="3.9215686274509803E-3"/>
                  <c:y val="3.921506870464721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4D8C-4AB7-87DB-5AC978B08ECA}"/>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'Charts compliance by control'!$D$111:$F$111</c:f>
              <c:strCache>
                <c:ptCount val="3"/>
                <c:pt idx="0">
                  <c:v>2014-15</c:v>
                </c:pt>
                <c:pt idx="1">
                  <c:v>2015-16</c:v>
                </c:pt>
                <c:pt idx="2">
                  <c:v>2016-17</c:v>
                </c:pt>
              </c:strCache>
            </c:strRef>
          </c:cat>
          <c:val>
            <c:numRef>
              <c:f>'Charts compliance by control'!$D$112:$F$112</c:f>
              <c:numCache>
                <c:formatCode>0.00%</c:formatCode>
                <c:ptCount val="3"/>
                <c:pt idx="0">
                  <c:v>0.4838709677419355</c:v>
                </c:pt>
                <c:pt idx="1">
                  <c:v>0.59139784946236562</c:v>
                </c:pt>
                <c:pt idx="2">
                  <c:v>0.60215053763440862</c:v>
                </c:pt>
              </c:numCache>
            </c:numRef>
          </c:val>
          <c:extLst>
            <c:ext xmlns:c16="http://schemas.microsoft.com/office/drawing/2014/chart" uri="{C3380CC4-5D6E-409C-BE32-E72D297353CC}">
              <c16:uniqueId val="{00000003-4D8C-4AB7-87DB-5AC978B08ECA}"/>
            </c:ext>
          </c:extLst>
        </c:ser>
        <c:dLbls>
          <c:showLegendKey val="0"/>
          <c:showVal val="0"/>
          <c:showCatName val="0"/>
          <c:showSerName val="0"/>
          <c:showPercent val="0"/>
          <c:showBubbleSize val="0"/>
        </c:dLbls>
        <c:gapWidth val="150"/>
        <c:axId val="376683136"/>
        <c:axId val="376693120"/>
      </c:barChart>
      <c:lineChart>
        <c:grouping val="standard"/>
        <c:varyColors val="0"/>
        <c:ser>
          <c:idx val="0"/>
          <c:order val="1"/>
          <c:tx>
            <c:strRef>
              <c:f>'Charts compliance by control'!$M$1</c:f>
              <c:strCache>
                <c:ptCount val="1"/>
                <c:pt idx="0">
                  <c:v>2016-17 PSPF compliance average</c:v>
                </c:pt>
              </c:strCache>
            </c:strRef>
          </c:tx>
          <c:spPr>
            <a:ln w="38100">
              <a:solidFill>
                <a:srgbClr val="FF0000"/>
              </a:solidFill>
              <a:prstDash val="sysDot"/>
            </a:ln>
          </c:spPr>
          <c:marker>
            <c:symbol val="none"/>
          </c:marker>
          <c:dLbls>
            <c:dLbl>
              <c:idx val="0"/>
              <c:layout>
                <c:manualLayout>
                  <c:x val="-1.0165817508105605E-2"/>
                  <c:y val="0.11649035047089702"/>
                </c:manualLayout>
              </c:layout>
              <c:dLblPos val="r"/>
              <c:showLegendKey val="0"/>
              <c:showVal val="0"/>
              <c:showCatName val="0"/>
              <c:showSerName val="1"/>
              <c:showPercent val="0"/>
              <c:showBubbleSize val="0"/>
              <c:extLst>
                <c:ext xmlns:c15="http://schemas.microsoft.com/office/drawing/2012/chart" uri="{CE6537A1-D6FC-4f65-9D91-7224C49458BB}">
                  <c15:layout/>
                </c:ext>
                <c:ext xmlns:c16="http://schemas.microsoft.com/office/drawing/2014/chart" uri="{C3380CC4-5D6E-409C-BE32-E72D297353CC}">
                  <c16:uniqueId val="{00000004-4D8C-4AB7-87DB-5AC978B08ECA}"/>
                </c:ext>
              </c:extLst>
            </c:dLbl>
            <c:dLbl>
              <c:idx val="1"/>
              <c:delete val="1"/>
              <c:extLst>
                <c:ext xmlns:c15="http://schemas.microsoft.com/office/drawing/2012/chart" uri="{CE6537A1-D6FC-4f65-9D91-7224C49458BB}"/>
                <c:ext xmlns:c16="http://schemas.microsoft.com/office/drawing/2014/chart" uri="{C3380CC4-5D6E-409C-BE32-E72D297353CC}">
                  <c16:uniqueId val="{00000005-4D8C-4AB7-87DB-5AC978B08ECA}"/>
                </c:ext>
              </c:extLst>
            </c:dLbl>
            <c:dLbl>
              <c:idx val="2"/>
              <c:delete val="1"/>
              <c:extLst>
                <c:ext xmlns:c15="http://schemas.microsoft.com/office/drawing/2012/chart" uri="{CE6537A1-D6FC-4f65-9D91-7224C49458BB}"/>
                <c:ext xmlns:c16="http://schemas.microsoft.com/office/drawing/2014/chart" uri="{C3380CC4-5D6E-409C-BE32-E72D297353CC}">
                  <c16:uniqueId val="{00000006-4D8C-4AB7-87DB-5AC978B08ECA}"/>
                </c:ext>
              </c:extLst>
            </c:dLbl>
            <c:spPr>
              <a:noFill/>
              <a:ln>
                <a:noFill/>
              </a:ln>
              <a:effectLst/>
            </c:spPr>
            <c:txPr>
              <a:bodyPr/>
              <a:lstStyle/>
              <a:p>
                <a:pPr>
                  <a:defRPr>
                    <a:solidFill>
                      <a:srgbClr val="FF0000"/>
                    </a:solidFil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'Charts compliance by control'!$M$77:$M$79</c:f>
              <c:numCache>
                <c:formatCode>0.0%</c:formatCode>
                <c:ptCount val="3"/>
                <c:pt idx="0">
                  <c:v>0.91213768115942029</c:v>
                </c:pt>
                <c:pt idx="1">
                  <c:v>0.91213768115942029</c:v>
                </c:pt>
                <c:pt idx="2">
                  <c:v>0.91213768115942029</c:v>
                </c:pt>
              </c:numCache>
            </c:numRef>
          </c:val>
          <c:smooth val="0"/>
          <c:extLst>
            <c:ext xmlns:c16="http://schemas.microsoft.com/office/drawing/2014/chart" uri="{C3380CC4-5D6E-409C-BE32-E72D297353CC}">
              <c16:uniqueId val="{00000007-4D8C-4AB7-87DB-5AC978B08ECA}"/>
            </c:ext>
          </c:extLst>
        </c:ser>
        <c:dLbls>
          <c:showLegendKey val="0"/>
          <c:showVal val="0"/>
          <c:showCatName val="0"/>
          <c:showSerName val="0"/>
          <c:showPercent val="0"/>
          <c:showBubbleSize val="0"/>
        </c:dLbls>
        <c:marker val="1"/>
        <c:smooth val="0"/>
        <c:axId val="376696192"/>
        <c:axId val="376694656"/>
      </c:lineChart>
      <c:catAx>
        <c:axId val="376683136"/>
        <c:scaling>
          <c:orientation val="minMax"/>
        </c:scaling>
        <c:delete val="0"/>
        <c:axPos val="b"/>
        <c:numFmt formatCode="General" sourceLinked="1"/>
        <c:majorTickMark val="out"/>
        <c:minorTickMark val="none"/>
        <c:tickLblPos val="nextTo"/>
        <c:crossAx val="376693120"/>
        <c:crosses val="autoZero"/>
        <c:auto val="1"/>
        <c:lblAlgn val="ctr"/>
        <c:lblOffset val="100"/>
        <c:noMultiLvlLbl val="0"/>
      </c:catAx>
      <c:valAx>
        <c:axId val="376693120"/>
        <c:scaling>
          <c:orientation val="minMax"/>
          <c:max val="1"/>
        </c:scaling>
        <c:delete val="0"/>
        <c:axPos val="l"/>
        <c:majorGridlines/>
        <c:numFmt formatCode="0%" sourceLinked="0"/>
        <c:majorTickMark val="out"/>
        <c:minorTickMark val="none"/>
        <c:tickLblPos val="nextTo"/>
        <c:crossAx val="376683136"/>
        <c:crosses val="autoZero"/>
        <c:crossBetween val="between"/>
        <c:majorUnit val="0.1"/>
      </c:valAx>
      <c:valAx>
        <c:axId val="376694656"/>
        <c:scaling>
          <c:orientation val="minMax"/>
          <c:max val="1"/>
        </c:scaling>
        <c:delete val="1"/>
        <c:axPos val="r"/>
        <c:numFmt formatCode="0%" sourceLinked="0"/>
        <c:majorTickMark val="out"/>
        <c:minorTickMark val="none"/>
        <c:tickLblPos val="nextTo"/>
        <c:crossAx val="376696192"/>
        <c:crosses val="max"/>
        <c:crossBetween val="between"/>
      </c:valAx>
      <c:catAx>
        <c:axId val="376696192"/>
        <c:scaling>
          <c:orientation val="minMax"/>
        </c:scaling>
        <c:delete val="1"/>
        <c:axPos val="b"/>
        <c:majorTickMark val="out"/>
        <c:minorTickMark val="none"/>
        <c:tickLblPos val="nextTo"/>
        <c:crossAx val="376694656"/>
        <c:crosses val="autoZero"/>
        <c:auto val="1"/>
        <c:lblAlgn val="ctr"/>
        <c:lblOffset val="100"/>
        <c:noMultiLvlLbl val="0"/>
      </c:catAx>
    </c:plotArea>
    <c:plotVisOnly val="1"/>
    <c:dispBlanksAs val="gap"/>
    <c:showDLblsOverMax val="0"/>
  </c:chart>
  <c:spPr>
    <a:ln>
      <a:noFill/>
    </a:ln>
  </c:spPr>
  <c:txPr>
    <a:bodyPr/>
    <a:lstStyle/>
    <a:p>
      <a:pPr>
        <a:defRPr sz="800"/>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1"/>
    <c:plotArea>
      <c:layout>
        <c:manualLayout>
          <c:layoutTarget val="inner"/>
          <c:xMode val="edge"/>
          <c:yMode val="edge"/>
          <c:x val="8.3468080641367556E-2"/>
          <c:y val="0.12487570058109548"/>
          <c:w val="0.89041140994473922"/>
          <c:h val="0.77250810897546107"/>
        </c:manualLayout>
      </c:layout>
      <c:barChart>
        <c:barDir val="col"/>
        <c:grouping val="clustered"/>
        <c:varyColors val="0"/>
        <c:ser>
          <c:idx val="1"/>
          <c:order val="0"/>
          <c:tx>
            <c:strRef>
              <c:f>'Charts compliance by control'!$K$1</c:f>
              <c:strCache>
                <c:ptCount val="1"/>
                <c:pt idx="0">
                  <c:v>2015-16</c:v>
                </c:pt>
              </c:strCache>
            </c:strRef>
          </c:tx>
          <c:invertIfNegative val="0"/>
          <c:dLbls>
            <c:dLbl>
              <c:idx val="1"/>
              <c:layout>
                <c:manualLayout>
                  <c:x val="0"/>
                  <c:y val="2.3289665211062592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16B-4767-A41E-9277480DA4A5}"/>
                </c:ext>
              </c:extLst>
            </c:dLbl>
            <c:dLbl>
              <c:idx val="2"/>
              <c:layout>
                <c:manualLayout>
                  <c:x val="0"/>
                  <c:y val="-4.657933042212518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16B-4767-A41E-9277480DA4A5}"/>
                </c:ext>
              </c:extLst>
            </c:dLbl>
            <c:dLbl>
              <c:idx val="3"/>
              <c:layout>
                <c:manualLayout>
                  <c:x val="0"/>
                  <c:y val="1.7467248908296942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516B-4767-A41E-9277480DA4A5}"/>
                </c:ext>
              </c:extLst>
            </c:dLbl>
            <c:dLbl>
              <c:idx val="4"/>
              <c:layout>
                <c:manualLayout>
                  <c:x val="7.8431372549019607E-3"/>
                  <c:y val="-3.493449781659388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516B-4767-A41E-9277480DA4A5}"/>
                </c:ext>
              </c:extLst>
            </c:dLbl>
            <c:dLbl>
              <c:idx val="5"/>
              <c:layout>
                <c:manualLayout>
                  <c:x val="0"/>
                  <c:y val="-4.075691411935952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516B-4767-A41E-9277480DA4A5}"/>
                </c:ext>
              </c:extLst>
            </c:dLbl>
            <c:dLbl>
              <c:idx val="6"/>
              <c:layout>
                <c:manualLayout>
                  <c:x val="-3.9215686274509803E-3"/>
                  <c:y val="1.7467248908296942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516B-4767-A41E-9277480DA4A5}"/>
                </c:ext>
              </c:extLst>
            </c:dLbl>
            <c:numFmt formatCode="0.0%" sourceLinked="0"/>
            <c:spPr>
              <a:noFill/>
              <a:ln>
                <a:noFill/>
              </a:ln>
              <a:effectLst/>
            </c:spPr>
            <c:txPr>
              <a:bodyPr/>
              <a:lstStyle/>
              <a:p>
                <a:pPr>
                  <a:defRPr sz="70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'Charts compliance by control'!$I$59:$I$65</c:f>
              <c:strCache>
                <c:ptCount val="7"/>
                <c:pt idx="0">
                  <c:v>INFOSEC1</c:v>
                </c:pt>
                <c:pt idx="1">
                  <c:v>INFOSEC2</c:v>
                </c:pt>
                <c:pt idx="2">
                  <c:v>INFOSEC3</c:v>
                </c:pt>
                <c:pt idx="3">
                  <c:v>INFOSEC4</c:v>
                </c:pt>
                <c:pt idx="4">
                  <c:v>INFOSEC5</c:v>
                </c:pt>
                <c:pt idx="5">
                  <c:v>INFOSEC6</c:v>
                </c:pt>
                <c:pt idx="6">
                  <c:v>INFOSEC7</c:v>
                </c:pt>
              </c:strCache>
            </c:strRef>
          </c:cat>
          <c:val>
            <c:numRef>
              <c:f>'Charts compliance by control'!$K$59:$K$65</c:f>
              <c:numCache>
                <c:formatCode>0.0%</c:formatCode>
                <c:ptCount val="7"/>
                <c:pt idx="0">
                  <c:v>0.90322580645161288</c:v>
                </c:pt>
                <c:pt idx="1">
                  <c:v>0.93548387096774188</c:v>
                </c:pt>
                <c:pt idx="2">
                  <c:v>0.89247311827956988</c:v>
                </c:pt>
                <c:pt idx="3">
                  <c:v>0.59139784946236562</c:v>
                </c:pt>
                <c:pt idx="4">
                  <c:v>0.83870967741935487</c:v>
                </c:pt>
                <c:pt idx="5">
                  <c:v>0.90322580645161288</c:v>
                </c:pt>
                <c:pt idx="6">
                  <c:v>0.93548387096774188</c:v>
                </c:pt>
              </c:numCache>
            </c:numRef>
          </c:val>
          <c:extLst>
            <c:ext xmlns:c16="http://schemas.microsoft.com/office/drawing/2014/chart" uri="{C3380CC4-5D6E-409C-BE32-E72D297353CC}">
              <c16:uniqueId val="{00000006-516B-4767-A41E-9277480DA4A5}"/>
            </c:ext>
          </c:extLst>
        </c:ser>
        <c:ser>
          <c:idx val="2"/>
          <c:order val="1"/>
          <c:tx>
            <c:v>2016-17</c:v>
          </c:tx>
          <c:invertIfNegative val="0"/>
          <c:dLbls>
            <c:dLbl>
              <c:idx val="0"/>
              <c:layout>
                <c:manualLayout>
                  <c:x val="3.9215686274509803E-3"/>
                  <c:y val="-4.075691411935954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516B-4767-A41E-9277480DA4A5}"/>
                </c:ext>
              </c:extLst>
            </c:dLbl>
            <c:dLbl>
              <c:idx val="1"/>
              <c:layout>
                <c:manualLayout>
                  <c:x val="7.8431372549019971E-3"/>
                  <c:y val="-1.164483260553129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516B-4767-A41E-9277480DA4A5}"/>
                </c:ext>
              </c:extLst>
            </c:dLbl>
            <c:dLbl>
              <c:idx val="3"/>
              <c:layout>
                <c:manualLayout>
                  <c:x val="3.9215686274510523E-3"/>
                  <c:y val="-5.822416302765648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516B-4767-A41E-9277480DA4A5}"/>
                </c:ext>
              </c:extLst>
            </c:dLbl>
            <c:dLbl>
              <c:idx val="4"/>
              <c:layout>
                <c:manualLayout>
                  <c:x val="1.1764705882352941E-2"/>
                  <c:y val="1.74672489082969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516B-4767-A41E-9277480DA4A5}"/>
                </c:ext>
              </c:extLst>
            </c:dLbl>
            <c:dLbl>
              <c:idx val="5"/>
              <c:layout>
                <c:manualLayout>
                  <c:x val="0"/>
                  <c:y val="-1.74672489082969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516B-4767-A41E-9277480DA4A5}"/>
                </c:ext>
              </c:extLst>
            </c:dLbl>
            <c:dLbl>
              <c:idx val="6"/>
              <c:layout>
                <c:manualLayout>
                  <c:x val="3.9215686274509803E-3"/>
                  <c:y val="-5.8224163027656541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516B-4767-A41E-9277480DA4A5}"/>
                </c:ext>
              </c:extLst>
            </c:dLbl>
            <c:numFmt formatCode="0.0%" sourceLinked="0"/>
            <c:spPr>
              <a:noFill/>
              <a:ln>
                <a:noFill/>
              </a:ln>
              <a:effectLst/>
            </c:spPr>
            <c:txPr>
              <a:bodyPr/>
              <a:lstStyle/>
              <a:p>
                <a:pPr>
                  <a:defRPr sz="700"/>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'Charts compliance by control'!$I$59:$I$65</c:f>
              <c:strCache>
                <c:ptCount val="7"/>
                <c:pt idx="0">
                  <c:v>INFOSEC1</c:v>
                </c:pt>
                <c:pt idx="1">
                  <c:v>INFOSEC2</c:v>
                </c:pt>
                <c:pt idx="2">
                  <c:v>INFOSEC3</c:v>
                </c:pt>
                <c:pt idx="3">
                  <c:v>INFOSEC4</c:v>
                </c:pt>
                <c:pt idx="4">
                  <c:v>INFOSEC5</c:v>
                </c:pt>
                <c:pt idx="5">
                  <c:v>INFOSEC6</c:v>
                </c:pt>
                <c:pt idx="6">
                  <c:v>INFOSEC7</c:v>
                </c:pt>
              </c:strCache>
            </c:strRef>
          </c:cat>
          <c:val>
            <c:numRef>
              <c:f>'Charts compliance by control'!$L$59:$L$65</c:f>
              <c:numCache>
                <c:formatCode>0.0%</c:formatCode>
                <c:ptCount val="7"/>
                <c:pt idx="0">
                  <c:v>0.91397849462365588</c:v>
                </c:pt>
                <c:pt idx="1">
                  <c:v>0.94623655913978499</c:v>
                </c:pt>
                <c:pt idx="2">
                  <c:v>0.88172043010752688</c:v>
                </c:pt>
                <c:pt idx="3">
                  <c:v>0.60215053763440862</c:v>
                </c:pt>
                <c:pt idx="4">
                  <c:v>0.81720430107526887</c:v>
                </c:pt>
                <c:pt idx="5">
                  <c:v>0.87096774193548387</c:v>
                </c:pt>
                <c:pt idx="6">
                  <c:v>0.956989247311828</c:v>
                </c:pt>
              </c:numCache>
            </c:numRef>
          </c:val>
          <c:extLst>
            <c:ext xmlns:c16="http://schemas.microsoft.com/office/drawing/2014/chart" uri="{C3380CC4-5D6E-409C-BE32-E72D297353CC}">
              <c16:uniqueId val="{0000000D-516B-4767-A41E-9277480DA4A5}"/>
            </c:ext>
          </c:extLst>
        </c:ser>
        <c:dLbls>
          <c:showLegendKey val="0"/>
          <c:showVal val="0"/>
          <c:showCatName val="0"/>
          <c:showSerName val="0"/>
          <c:showPercent val="0"/>
          <c:showBubbleSize val="0"/>
        </c:dLbls>
        <c:gapWidth val="150"/>
        <c:axId val="376733056"/>
        <c:axId val="376747136"/>
      </c:barChart>
      <c:lineChart>
        <c:grouping val="standard"/>
        <c:varyColors val="0"/>
        <c:ser>
          <c:idx val="3"/>
          <c:order val="2"/>
          <c:tx>
            <c:strRef>
              <c:f>'Charts compliance by control'!$M$1</c:f>
              <c:strCache>
                <c:ptCount val="1"/>
                <c:pt idx="0">
                  <c:v>2016-17 PSPF compliance average</c:v>
                </c:pt>
              </c:strCache>
            </c:strRef>
          </c:tx>
          <c:spPr>
            <a:ln w="38100">
              <a:solidFill>
                <a:srgbClr val="FF0000"/>
              </a:solidFill>
              <a:prstDash val="sysDot"/>
            </a:ln>
          </c:spPr>
          <c:marker>
            <c:symbol val="none"/>
          </c:marker>
          <c:dLbls>
            <c:dLbl>
              <c:idx val="0"/>
              <c:layout>
                <c:manualLayout>
                  <c:x val="0.266531110081828"/>
                  <c:y val="8.5215417941752913E-2"/>
                </c:manualLayout>
              </c:layout>
              <c:numFmt formatCode="0%" sourceLinked="0"/>
              <c:spPr/>
              <c:txPr>
                <a:bodyPr/>
                <a:lstStyle/>
                <a:p>
                  <a:pPr>
                    <a:defRPr>
                      <a:solidFill>
                        <a:srgbClr val="FF0000"/>
                      </a:solidFill>
                    </a:defRPr>
                  </a:pPr>
                  <a:endParaRPr lang="en-US"/>
                </a:p>
              </c:txPr>
              <c:dLblPos val="r"/>
              <c:showLegendKey val="0"/>
              <c:showVal val="0"/>
              <c:showCatName val="0"/>
              <c:showSerName val="1"/>
              <c:showPercent val="0"/>
              <c:showBubbleSize val="0"/>
              <c:extLst>
                <c:ext xmlns:c15="http://schemas.microsoft.com/office/drawing/2012/chart" uri="{CE6537A1-D6FC-4f65-9D91-7224C49458BB}">
                  <c15:layout/>
                </c:ext>
                <c:ext xmlns:c16="http://schemas.microsoft.com/office/drawing/2014/chart" uri="{C3380CC4-5D6E-409C-BE32-E72D297353CC}">
                  <c16:uniqueId val="{0000000E-516B-4767-A41E-9277480DA4A5}"/>
                </c:ext>
              </c:extLst>
            </c:dLbl>
            <c:dLbl>
              <c:idx val="1"/>
              <c:delete val="1"/>
              <c:extLst>
                <c:ext xmlns:c15="http://schemas.microsoft.com/office/drawing/2012/chart" uri="{CE6537A1-D6FC-4f65-9D91-7224C49458BB}"/>
                <c:ext xmlns:c16="http://schemas.microsoft.com/office/drawing/2014/chart" uri="{C3380CC4-5D6E-409C-BE32-E72D297353CC}">
                  <c16:uniqueId val="{0000000F-516B-4767-A41E-9277480DA4A5}"/>
                </c:ext>
              </c:extLst>
            </c:dLbl>
            <c:dLbl>
              <c:idx val="2"/>
              <c:delete val="1"/>
              <c:extLst>
                <c:ext xmlns:c15="http://schemas.microsoft.com/office/drawing/2012/chart" uri="{CE6537A1-D6FC-4f65-9D91-7224C49458BB}"/>
                <c:ext xmlns:c16="http://schemas.microsoft.com/office/drawing/2014/chart" uri="{C3380CC4-5D6E-409C-BE32-E72D297353CC}">
                  <c16:uniqueId val="{00000010-516B-4767-A41E-9277480DA4A5}"/>
                </c:ext>
              </c:extLst>
            </c:dLbl>
            <c:dLbl>
              <c:idx val="3"/>
              <c:delete val="1"/>
              <c:extLst>
                <c:ext xmlns:c15="http://schemas.microsoft.com/office/drawing/2012/chart" uri="{CE6537A1-D6FC-4f65-9D91-7224C49458BB}"/>
                <c:ext xmlns:c16="http://schemas.microsoft.com/office/drawing/2014/chart" uri="{C3380CC4-5D6E-409C-BE32-E72D297353CC}">
                  <c16:uniqueId val="{00000011-516B-4767-A41E-9277480DA4A5}"/>
                </c:ext>
              </c:extLst>
            </c:dLbl>
            <c:dLbl>
              <c:idx val="4"/>
              <c:delete val="1"/>
              <c:extLst>
                <c:ext xmlns:c15="http://schemas.microsoft.com/office/drawing/2012/chart" uri="{CE6537A1-D6FC-4f65-9D91-7224C49458BB}"/>
                <c:ext xmlns:c16="http://schemas.microsoft.com/office/drawing/2014/chart" uri="{C3380CC4-5D6E-409C-BE32-E72D297353CC}">
                  <c16:uniqueId val="{00000012-516B-4767-A41E-9277480DA4A5}"/>
                </c:ext>
              </c:extLst>
            </c:dLbl>
            <c:dLbl>
              <c:idx val="5"/>
              <c:delete val="1"/>
              <c:extLst>
                <c:ext xmlns:c15="http://schemas.microsoft.com/office/drawing/2012/chart" uri="{CE6537A1-D6FC-4f65-9D91-7224C49458BB}"/>
                <c:ext xmlns:c16="http://schemas.microsoft.com/office/drawing/2014/chart" uri="{C3380CC4-5D6E-409C-BE32-E72D297353CC}">
                  <c16:uniqueId val="{00000013-516B-4767-A41E-9277480DA4A5}"/>
                </c:ext>
              </c:extLst>
            </c:dLbl>
            <c:dLbl>
              <c:idx val="6"/>
              <c:delete val="1"/>
              <c:extLst>
                <c:ext xmlns:c15="http://schemas.microsoft.com/office/drawing/2012/chart" uri="{CE6537A1-D6FC-4f65-9D91-7224C49458BB}"/>
                <c:ext xmlns:c16="http://schemas.microsoft.com/office/drawing/2014/chart" uri="{C3380CC4-5D6E-409C-BE32-E72D297353CC}">
                  <c16:uniqueId val="{00000014-516B-4767-A41E-9277480DA4A5}"/>
                </c:ext>
              </c:extLst>
            </c:dLbl>
            <c:dLbl>
              <c:idx val="7"/>
              <c:delete val="1"/>
              <c:extLst>
                <c:ext xmlns:c15="http://schemas.microsoft.com/office/drawing/2012/chart" uri="{CE6537A1-D6FC-4f65-9D91-7224C49458BB}"/>
                <c:ext xmlns:c16="http://schemas.microsoft.com/office/drawing/2014/chart" uri="{C3380CC4-5D6E-409C-BE32-E72D297353CC}">
                  <c16:uniqueId val="{00000015-516B-4767-A41E-9277480DA4A5}"/>
                </c:ext>
              </c:extLst>
            </c:dLbl>
            <c:dLbl>
              <c:idx val="8"/>
              <c:delete val="1"/>
              <c:extLst>
                <c:ext xmlns:c15="http://schemas.microsoft.com/office/drawing/2012/chart" uri="{CE6537A1-D6FC-4f65-9D91-7224C49458BB}"/>
                <c:ext xmlns:c16="http://schemas.microsoft.com/office/drawing/2014/chart" uri="{C3380CC4-5D6E-409C-BE32-E72D297353CC}">
                  <c16:uniqueId val="{00000016-516B-4767-A41E-9277480DA4A5}"/>
                </c:ext>
              </c:extLst>
            </c:dLbl>
            <c:dLbl>
              <c:idx val="9"/>
              <c:delete val="1"/>
              <c:extLst>
                <c:ext xmlns:c15="http://schemas.microsoft.com/office/drawing/2012/chart" uri="{CE6537A1-D6FC-4f65-9D91-7224C49458BB}"/>
                <c:ext xmlns:c16="http://schemas.microsoft.com/office/drawing/2014/chart" uri="{C3380CC4-5D6E-409C-BE32-E72D297353CC}">
                  <c16:uniqueId val="{00000017-516B-4767-A41E-9277480DA4A5}"/>
                </c:ext>
              </c:extLst>
            </c:dLbl>
            <c:dLbl>
              <c:idx val="10"/>
              <c:delete val="1"/>
              <c:extLst>
                <c:ext xmlns:c15="http://schemas.microsoft.com/office/drawing/2012/chart" uri="{CE6537A1-D6FC-4f65-9D91-7224C49458BB}"/>
                <c:ext xmlns:c16="http://schemas.microsoft.com/office/drawing/2014/chart" uri="{C3380CC4-5D6E-409C-BE32-E72D297353CC}">
                  <c16:uniqueId val="{00000018-516B-4767-A41E-9277480DA4A5}"/>
                </c:ext>
              </c:extLst>
            </c:dLbl>
            <c:dLbl>
              <c:idx val="11"/>
              <c:delete val="1"/>
              <c:extLst>
                <c:ext xmlns:c15="http://schemas.microsoft.com/office/drawing/2012/chart" uri="{CE6537A1-D6FC-4f65-9D91-7224C49458BB}"/>
                <c:ext xmlns:c16="http://schemas.microsoft.com/office/drawing/2014/chart" uri="{C3380CC4-5D6E-409C-BE32-E72D297353CC}">
                  <c16:uniqueId val="{00000019-516B-4767-A41E-9277480DA4A5}"/>
                </c:ext>
              </c:extLst>
            </c:dLbl>
            <c:dLbl>
              <c:idx val="12"/>
              <c:delete val="1"/>
              <c:extLst>
                <c:ext xmlns:c15="http://schemas.microsoft.com/office/drawing/2012/chart" uri="{CE6537A1-D6FC-4f65-9D91-7224C49458BB}"/>
                <c:ext xmlns:c16="http://schemas.microsoft.com/office/drawing/2014/chart" uri="{C3380CC4-5D6E-409C-BE32-E72D297353CC}">
                  <c16:uniqueId val="{0000001A-516B-4767-A41E-9277480DA4A5}"/>
                </c:ext>
              </c:extLst>
            </c:dLbl>
            <c:spPr>
              <a:noFill/>
              <a:ln>
                <a:noFill/>
              </a:ln>
              <a:effectLst/>
            </c:spPr>
            <c:txPr>
              <a:bodyPr/>
              <a:lstStyle/>
              <a:p>
                <a:pPr>
                  <a:defRPr>
                    <a:solidFill>
                      <a:srgbClr val="FF0000"/>
                    </a:solidFill>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strRef>
              <c:f>'Charts compliance by control'!$I$59:$I$65</c:f>
              <c:strCache>
                <c:ptCount val="7"/>
                <c:pt idx="0">
                  <c:v>INFOSEC1</c:v>
                </c:pt>
                <c:pt idx="1">
                  <c:v>INFOSEC2</c:v>
                </c:pt>
                <c:pt idx="2">
                  <c:v>INFOSEC3</c:v>
                </c:pt>
                <c:pt idx="3">
                  <c:v>INFOSEC4</c:v>
                </c:pt>
                <c:pt idx="4">
                  <c:v>INFOSEC5</c:v>
                </c:pt>
                <c:pt idx="5">
                  <c:v>INFOSEC6</c:v>
                </c:pt>
                <c:pt idx="6">
                  <c:v>INFOSEC7</c:v>
                </c:pt>
              </c:strCache>
            </c:strRef>
          </c:cat>
          <c:val>
            <c:numRef>
              <c:f>'Charts compliance by control'!$M$59:$M$65</c:f>
              <c:numCache>
                <c:formatCode>0.0%</c:formatCode>
                <c:ptCount val="7"/>
                <c:pt idx="0">
                  <c:v>0.91213768115942029</c:v>
                </c:pt>
                <c:pt idx="1">
                  <c:v>0.91213768115942029</c:v>
                </c:pt>
                <c:pt idx="2">
                  <c:v>0.91213768115942029</c:v>
                </c:pt>
                <c:pt idx="3">
                  <c:v>0.91213768115942029</c:v>
                </c:pt>
                <c:pt idx="4">
                  <c:v>0.91213768115942029</c:v>
                </c:pt>
                <c:pt idx="5">
                  <c:v>0.91213768115942029</c:v>
                </c:pt>
                <c:pt idx="6">
                  <c:v>0.91213768115942029</c:v>
                </c:pt>
              </c:numCache>
            </c:numRef>
          </c:val>
          <c:smooth val="0"/>
          <c:extLst>
            <c:ext xmlns:c16="http://schemas.microsoft.com/office/drawing/2014/chart" uri="{C3380CC4-5D6E-409C-BE32-E72D297353CC}">
              <c16:uniqueId val="{0000001B-516B-4767-A41E-9277480DA4A5}"/>
            </c:ext>
          </c:extLst>
        </c:ser>
        <c:dLbls>
          <c:showLegendKey val="0"/>
          <c:showVal val="0"/>
          <c:showCatName val="0"/>
          <c:showSerName val="0"/>
          <c:showPercent val="0"/>
          <c:showBubbleSize val="0"/>
        </c:dLbls>
        <c:marker val="1"/>
        <c:smooth val="0"/>
        <c:axId val="376750464"/>
        <c:axId val="376748672"/>
      </c:lineChart>
      <c:catAx>
        <c:axId val="376733056"/>
        <c:scaling>
          <c:orientation val="minMax"/>
        </c:scaling>
        <c:delete val="0"/>
        <c:axPos val="b"/>
        <c:numFmt formatCode="General" sourceLinked="1"/>
        <c:majorTickMark val="out"/>
        <c:minorTickMark val="none"/>
        <c:tickLblPos val="nextTo"/>
        <c:txPr>
          <a:bodyPr/>
          <a:lstStyle/>
          <a:p>
            <a:pPr>
              <a:defRPr sz="700"/>
            </a:pPr>
            <a:endParaRPr lang="en-US"/>
          </a:p>
        </c:txPr>
        <c:crossAx val="376747136"/>
        <c:crosses val="autoZero"/>
        <c:auto val="1"/>
        <c:lblAlgn val="ctr"/>
        <c:lblOffset val="100"/>
        <c:noMultiLvlLbl val="0"/>
      </c:catAx>
      <c:valAx>
        <c:axId val="376747136"/>
        <c:scaling>
          <c:orientation val="minMax"/>
          <c:max val="1"/>
        </c:scaling>
        <c:delete val="0"/>
        <c:axPos val="l"/>
        <c:majorGridlines/>
        <c:numFmt formatCode="0%" sourceLinked="0"/>
        <c:majorTickMark val="out"/>
        <c:minorTickMark val="none"/>
        <c:tickLblPos val="nextTo"/>
        <c:crossAx val="376733056"/>
        <c:crosses val="autoZero"/>
        <c:crossBetween val="between"/>
        <c:majorUnit val="0.1"/>
      </c:valAx>
      <c:valAx>
        <c:axId val="376748672"/>
        <c:scaling>
          <c:orientation val="minMax"/>
          <c:max val="1"/>
        </c:scaling>
        <c:delete val="1"/>
        <c:axPos val="r"/>
        <c:numFmt formatCode="0.0%" sourceLinked="1"/>
        <c:majorTickMark val="out"/>
        <c:minorTickMark val="none"/>
        <c:tickLblPos val="nextTo"/>
        <c:crossAx val="376750464"/>
        <c:crosses val="max"/>
        <c:crossBetween val="between"/>
      </c:valAx>
      <c:catAx>
        <c:axId val="376750464"/>
        <c:scaling>
          <c:orientation val="minMax"/>
        </c:scaling>
        <c:delete val="1"/>
        <c:axPos val="b"/>
        <c:numFmt formatCode="General" sourceLinked="1"/>
        <c:majorTickMark val="out"/>
        <c:minorTickMark val="none"/>
        <c:tickLblPos val="nextTo"/>
        <c:crossAx val="376748672"/>
        <c:crosses val="autoZero"/>
        <c:auto val="1"/>
        <c:lblAlgn val="ctr"/>
        <c:lblOffset val="100"/>
        <c:noMultiLvlLbl val="0"/>
      </c:catAx>
    </c:plotArea>
    <c:legend>
      <c:legendPos val="t"/>
      <c:legendEntry>
        <c:idx val="2"/>
        <c:delete val="1"/>
      </c:legendEntry>
      <c:layout>
        <c:manualLayout>
          <c:xMode val="edge"/>
          <c:yMode val="edge"/>
          <c:x val="0"/>
          <c:y val="7.8778914420356231E-3"/>
          <c:w val="0.99384121387240398"/>
          <c:h val="7.1227614304638059E-2"/>
        </c:manualLayout>
      </c:layout>
      <c:overlay val="0"/>
    </c:legend>
    <c:plotVisOnly val="1"/>
    <c:dispBlanksAs val="gap"/>
    <c:showDLblsOverMax val="0"/>
  </c:chart>
  <c:spPr>
    <a:ln>
      <a:noFill/>
    </a:ln>
  </c:spPr>
  <c:txPr>
    <a:bodyPr/>
    <a:lstStyle/>
    <a:p>
      <a:pPr>
        <a:defRPr sz="800"/>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1"/>
    <c:plotArea>
      <c:layout>
        <c:manualLayout>
          <c:layoutTarget val="inner"/>
          <c:xMode val="edge"/>
          <c:yMode val="edge"/>
          <c:x val="0.34030100902224542"/>
          <c:y val="2.7405514336365427E-2"/>
          <c:w val="0.6440296433534044"/>
          <c:h val="0.56737409908431102"/>
        </c:manualLayout>
      </c:layout>
      <c:barChart>
        <c:barDir val="col"/>
        <c:grouping val="stacked"/>
        <c:varyColors val="0"/>
        <c:ser>
          <c:idx val="0"/>
          <c:order val="0"/>
          <c:tx>
            <c:strRef>
              <c:f>Waivers!$I$8:$J$8</c:f>
              <c:strCache>
                <c:ptCount val="1"/>
                <c:pt idx="0">
                  <c:v>Background Baseline</c:v>
                </c:pt>
              </c:strCache>
            </c:strRef>
          </c:tx>
          <c:invertIfNegative val="0"/>
          <c:cat>
            <c:strRef>
              <c:f>Waivers!$K$1:$M$1</c:f>
              <c:strCache>
                <c:ptCount val="3"/>
                <c:pt idx="0">
                  <c:v>2014-15</c:v>
                </c:pt>
                <c:pt idx="1">
                  <c:v>2015-16</c:v>
                </c:pt>
                <c:pt idx="2">
                  <c:v>2016-17</c:v>
                </c:pt>
              </c:strCache>
            </c:strRef>
          </c:cat>
          <c:val>
            <c:numRef>
              <c:f>Waivers!$K$8:$M$8</c:f>
              <c:numCache>
                <c:formatCode>General</c:formatCode>
                <c:ptCount val="3"/>
                <c:pt idx="0">
                  <c:v>4</c:v>
                </c:pt>
                <c:pt idx="1">
                  <c:v>3</c:v>
                </c:pt>
                <c:pt idx="2">
                  <c:v>8</c:v>
                </c:pt>
              </c:numCache>
            </c:numRef>
          </c:val>
          <c:extLst>
            <c:ext xmlns:c16="http://schemas.microsoft.com/office/drawing/2014/chart" uri="{C3380CC4-5D6E-409C-BE32-E72D297353CC}">
              <c16:uniqueId val="{00000000-BF38-4244-99D6-940412BD3CFE}"/>
            </c:ext>
          </c:extLst>
        </c:ser>
        <c:ser>
          <c:idx val="1"/>
          <c:order val="1"/>
          <c:tx>
            <c:strRef>
              <c:f>Waivers!$I$9:$J$9</c:f>
              <c:strCache>
                <c:ptCount val="1"/>
                <c:pt idx="0">
                  <c:v>Background NV1</c:v>
                </c:pt>
              </c:strCache>
            </c:strRef>
          </c:tx>
          <c:invertIfNegative val="0"/>
          <c:cat>
            <c:strRef>
              <c:f>Waivers!$K$1:$M$1</c:f>
              <c:strCache>
                <c:ptCount val="3"/>
                <c:pt idx="0">
                  <c:v>2014-15</c:v>
                </c:pt>
                <c:pt idx="1">
                  <c:v>2015-16</c:v>
                </c:pt>
                <c:pt idx="2">
                  <c:v>2016-17</c:v>
                </c:pt>
              </c:strCache>
            </c:strRef>
          </c:cat>
          <c:val>
            <c:numRef>
              <c:f>Waivers!$K$9:$M$9</c:f>
              <c:numCache>
                <c:formatCode>General</c:formatCode>
                <c:ptCount val="3"/>
                <c:pt idx="0">
                  <c:v>10</c:v>
                </c:pt>
                <c:pt idx="1">
                  <c:v>7</c:v>
                </c:pt>
                <c:pt idx="2">
                  <c:v>137</c:v>
                </c:pt>
              </c:numCache>
            </c:numRef>
          </c:val>
          <c:extLst>
            <c:ext xmlns:c16="http://schemas.microsoft.com/office/drawing/2014/chart" uri="{C3380CC4-5D6E-409C-BE32-E72D297353CC}">
              <c16:uniqueId val="{00000001-BF38-4244-99D6-940412BD3CFE}"/>
            </c:ext>
          </c:extLst>
        </c:ser>
        <c:ser>
          <c:idx val="2"/>
          <c:order val="2"/>
          <c:tx>
            <c:strRef>
              <c:f>Waivers!$I$10:$J$10</c:f>
              <c:strCache>
                <c:ptCount val="1"/>
                <c:pt idx="0">
                  <c:v>Background NV2</c:v>
                </c:pt>
              </c:strCache>
            </c:strRef>
          </c:tx>
          <c:invertIfNegative val="0"/>
          <c:cat>
            <c:strRef>
              <c:f>Waivers!$K$1:$M$1</c:f>
              <c:strCache>
                <c:ptCount val="3"/>
                <c:pt idx="0">
                  <c:v>2014-15</c:v>
                </c:pt>
                <c:pt idx="1">
                  <c:v>2015-16</c:v>
                </c:pt>
                <c:pt idx="2">
                  <c:v>2016-17</c:v>
                </c:pt>
              </c:strCache>
            </c:strRef>
          </c:cat>
          <c:val>
            <c:numRef>
              <c:f>Waivers!$K$10:$M$10</c:f>
              <c:numCache>
                <c:formatCode>General</c:formatCode>
                <c:ptCount val="3"/>
                <c:pt idx="0">
                  <c:v>0</c:v>
                </c:pt>
                <c:pt idx="1">
                  <c:v>2</c:v>
                </c:pt>
                <c:pt idx="2">
                  <c:v>8</c:v>
                </c:pt>
              </c:numCache>
            </c:numRef>
          </c:val>
          <c:extLst>
            <c:ext xmlns:c16="http://schemas.microsoft.com/office/drawing/2014/chart" uri="{C3380CC4-5D6E-409C-BE32-E72D297353CC}">
              <c16:uniqueId val="{00000002-BF38-4244-99D6-940412BD3CFE}"/>
            </c:ext>
          </c:extLst>
        </c:ser>
        <c:ser>
          <c:idx val="3"/>
          <c:order val="3"/>
          <c:tx>
            <c:strRef>
              <c:f>Waivers!$I$11:$J$11</c:f>
              <c:strCache>
                <c:ptCount val="1"/>
                <c:pt idx="0">
                  <c:v>Background PV</c:v>
                </c:pt>
              </c:strCache>
            </c:strRef>
          </c:tx>
          <c:invertIfNegative val="0"/>
          <c:cat>
            <c:strRef>
              <c:f>Waivers!$K$1:$M$1</c:f>
              <c:strCache>
                <c:ptCount val="3"/>
                <c:pt idx="0">
                  <c:v>2014-15</c:v>
                </c:pt>
                <c:pt idx="1">
                  <c:v>2015-16</c:v>
                </c:pt>
                <c:pt idx="2">
                  <c:v>2016-17</c:v>
                </c:pt>
              </c:strCache>
            </c:strRef>
          </c:cat>
          <c:val>
            <c:numRef>
              <c:f>Waivers!$K$11:$M$11</c:f>
              <c:numCache>
                <c:formatCode>General</c:formatCode>
                <c:ptCount val="3"/>
                <c:pt idx="0">
                  <c:v>46</c:v>
                </c:pt>
                <c:pt idx="1">
                  <c:v>50</c:v>
                </c:pt>
                <c:pt idx="2">
                  <c:v>63</c:v>
                </c:pt>
              </c:numCache>
            </c:numRef>
          </c:val>
          <c:extLst>
            <c:ext xmlns:c16="http://schemas.microsoft.com/office/drawing/2014/chart" uri="{C3380CC4-5D6E-409C-BE32-E72D297353CC}">
              <c16:uniqueId val="{00000003-BF38-4244-99D6-940412BD3CFE}"/>
            </c:ext>
          </c:extLst>
        </c:ser>
        <c:dLbls>
          <c:showLegendKey val="0"/>
          <c:showVal val="0"/>
          <c:showCatName val="0"/>
          <c:showSerName val="0"/>
          <c:showPercent val="0"/>
          <c:showBubbleSize val="0"/>
        </c:dLbls>
        <c:gapWidth val="95"/>
        <c:overlap val="100"/>
        <c:axId val="394739072"/>
        <c:axId val="394740864"/>
      </c:barChart>
      <c:catAx>
        <c:axId val="394739072"/>
        <c:scaling>
          <c:orientation val="minMax"/>
        </c:scaling>
        <c:delete val="0"/>
        <c:axPos val="b"/>
        <c:numFmt formatCode="General" sourceLinked="0"/>
        <c:majorTickMark val="none"/>
        <c:minorTickMark val="none"/>
        <c:tickLblPos val="nextTo"/>
        <c:crossAx val="394740864"/>
        <c:crosses val="autoZero"/>
        <c:auto val="1"/>
        <c:lblAlgn val="ctr"/>
        <c:lblOffset val="100"/>
        <c:noMultiLvlLbl val="0"/>
      </c:catAx>
      <c:valAx>
        <c:axId val="394740864"/>
        <c:scaling>
          <c:orientation val="minMax"/>
        </c:scaling>
        <c:delete val="0"/>
        <c:axPos val="l"/>
        <c:majorGridlines/>
        <c:numFmt formatCode="#,##0" sourceLinked="0"/>
        <c:majorTickMark val="none"/>
        <c:minorTickMark val="none"/>
        <c:tickLblPos val="nextTo"/>
        <c:crossAx val="394739072"/>
        <c:crosses val="autoZero"/>
        <c:crossBetween val="between"/>
      </c:valAx>
      <c:dTable>
        <c:showHorzBorder val="1"/>
        <c:showVertBorder val="1"/>
        <c:showOutline val="1"/>
        <c:showKeys val="1"/>
      </c:dTable>
    </c:plotArea>
    <c:plotVisOnly val="1"/>
    <c:dispBlanksAs val="gap"/>
    <c:showDLblsOverMax val="0"/>
  </c:chart>
  <c:spPr>
    <a:ln>
      <a:noFill/>
    </a:ln>
  </c:spPr>
  <c:txPr>
    <a:bodyPr/>
    <a:lstStyle/>
    <a:p>
      <a:pPr>
        <a:defRPr sz="700"/>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14DFE7EE5E6314DB6D4D54442AFE825" ma:contentTypeVersion="1" ma:contentTypeDescription="Create a new document." ma:contentTypeScope="" ma:versionID="d5bd7c89a1d71b51489caac940cbffa6">
  <xsd:schema xmlns:xsd="http://www.w3.org/2001/XMLSchema" xmlns:xs="http://www.w3.org/2001/XMLSchema" xmlns:p="http://schemas.microsoft.com/office/2006/metadata/properties" xmlns:ns1="http://schemas.microsoft.com/sharepoint/v3" targetNamespace="http://schemas.microsoft.com/office/2006/metadata/properties" ma:root="true" ma:fieldsID="6f9746fe128b0ca74698fd9d7c13d39e"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internalName="PublishingStartDate">
      <xsd:simpleType>
        <xsd:restriction base="dms:Unknown"/>
      </xsd:simpleType>
    </xsd:element>
    <xsd:element name="PublishingExpirationDate" ma:index="9" nillable="true" ma:displayName="Scheduling End Dat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E27F88D-B583-4FD8-BCA2-68C90C7167B1}">
  <ds:schemaRefs>
    <ds:schemaRef ds:uri="http://schemas.microsoft.com/sharepoint/v3"/>
    <ds:schemaRef ds:uri="http://purl.org/dc/terms/"/>
    <ds:schemaRef ds:uri="http://schemas.openxmlformats.org/package/2006/metadata/core-properties"/>
    <ds:schemaRef ds:uri="http://purl.org/dc/dcmitype/"/>
    <ds:schemaRef ds:uri="http://schemas.microsoft.com/office/2006/documentManagement/types"/>
    <ds:schemaRef ds:uri="http://purl.org/dc/elements/1.1/"/>
    <ds:schemaRef ds:uri="http://schemas.microsoft.com/office/2006/metadata/properties"/>
    <ds:schemaRef ds:uri="http://schemas.microsoft.com/office/infopath/2007/PartnerControls"/>
    <ds:schemaRef ds:uri="http://www.w3.org/XML/1998/namespace"/>
  </ds:schemaRefs>
</ds:datastoreItem>
</file>

<file path=customXml/itemProps2.xml><?xml version="1.0" encoding="utf-8"?>
<ds:datastoreItem xmlns:ds="http://schemas.openxmlformats.org/officeDocument/2006/customXml" ds:itemID="{F433AC3C-35C1-46E4-B5C4-A49002A3C0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B664B39-1B62-4240-B874-62222A321CB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E3DC9C1C</Template>
  <TotalTime>0</TotalTime>
  <Pages>11</Pages>
  <Words>3751</Words>
  <Characters>21383</Characters>
  <Application>Microsoft Office Word</Application>
  <DocSecurity>4</DocSecurity>
  <Lines>178</Lines>
  <Paragraphs>50</Paragraphs>
  <ScaleCrop>false</ScaleCrop>
  <HeadingPairs>
    <vt:vector size="2" baseType="variant">
      <vt:variant>
        <vt:lpstr>Title</vt:lpstr>
      </vt:variant>
      <vt:variant>
        <vt:i4>1</vt:i4>
      </vt:variant>
    </vt:vector>
  </HeadingPairs>
  <TitlesOfParts>
    <vt:vector size="1" baseType="lpstr">
      <vt:lpstr>Protective Security Policy Framework 2016-17 Compliance Report</vt:lpstr>
    </vt:vector>
  </TitlesOfParts>
  <LinksUpToDate>false</LinksUpToDate>
  <CharactersWithSpaces>25084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Protective Security Policy Framework 2016-17 Compliance Report</dc:title>
  <dc:creator/>
  <cp:lastModifiedBy/>
  <cp:revision>1</cp:revision>
  <dcterms:created xsi:type="dcterms:W3CDTF">2019-09-05T05:27:00Z</dcterms:created>
  <dcterms:modified xsi:type="dcterms:W3CDTF">2019-09-05T05:27:00Z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0x010100814DFE7EE5E6314DB6D4D54442AFE825</vt:lpwstr>
  </property>
  <property fmtid="{D5CDD505-2E9C-101B-9397-08002B2CF9AE}" pid="3" name="TemplateUrl">
    <vt:lpwstr/>
  </property>
  <property fmtid="{D5CDD505-2E9C-101B-9397-08002B2CF9AE}" pid="4" name="Order">
    <vt:r8>700</vt:r8>
  </property>
  <property fmtid="{D5CDD505-2E9C-101B-9397-08002B2CF9AE}" pid="5" name="_SourceUrl">
    <vt:lpwstr/>
  </property>
  <property fmtid="{D5CDD505-2E9C-101B-9397-08002B2CF9AE}" pid="6" name="_SharedFileIndex">
    <vt:lpwstr/>
  </property>
  <property fmtid="{D5CDD505-2E9C-101B-9397-08002B2CF9AE}" pid="7" name="xd_Signature">
    <vt:bool>false</vt:bool>
  </property>
  <property fmtid="{D5CDD505-2E9C-101B-9397-08002B2CF9AE}" pid="8" name="xd_ProgID">
    <vt:lpwstr/>
  </property>
</Properties>
</file>