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theme/themeOverride1.xml" ContentType="application/vnd.openxmlformats-officedocument.themeOverride+xml"/>
  <Override PartName="/word/charts/chart4.xml" ContentType="application/vnd.openxmlformats-officedocument.drawingml.chart+xml"/>
  <Override PartName="/word/theme/themeOverride2.xml" ContentType="application/vnd.openxmlformats-officedocument.themeOverride+xml"/>
  <Override PartName="/word/charts/chart5.xml" ContentType="application/vnd.openxmlformats-officedocument.drawingml.chart+xml"/>
  <Override PartName="/word/theme/themeOverride3.xml" ContentType="application/vnd.openxmlformats-officedocument.themeOverride+xml"/>
  <Override PartName="/word/charts/chart6.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01746D1" w14:textId="730B1FAC" w:rsidR="00394664" w:rsidRDefault="00881480" w:rsidP="00C279C1">
      <w:pPr>
        <w:ind w:left="-851"/>
        <w:sectPr w:rsidR="00394664" w:rsidSect="003C4A25">
          <w:headerReference w:type="default" r:id="rId8"/>
          <w:footerReference w:type="default" r:id="rId9"/>
          <w:pgSz w:w="11907" w:h="16839" w:code="9"/>
          <w:pgMar w:top="142" w:right="964" w:bottom="964" w:left="964" w:header="142" w:footer="311" w:gutter="0"/>
          <w:cols w:space="708"/>
          <w:docGrid w:linePitch="360"/>
        </w:sectPr>
      </w:pPr>
      <w:r>
        <w:rPr>
          <w:noProof/>
          <w:w w:val="100"/>
          <w:lang w:eastAsia="en-AU"/>
        </w:rPr>
        <mc:AlternateContent>
          <mc:Choice Requires="wps">
            <w:drawing>
              <wp:anchor distT="0" distB="0" distL="114300" distR="114300" simplePos="0" relativeHeight="251771392" behindDoc="0" locked="0" layoutInCell="1" allowOverlap="1" wp14:anchorId="514E9540" wp14:editId="01B19522">
                <wp:simplePos x="0" y="0"/>
                <wp:positionH relativeFrom="column">
                  <wp:posOffset>2302510</wp:posOffset>
                </wp:positionH>
                <wp:positionV relativeFrom="paragraph">
                  <wp:posOffset>5034915</wp:posOffset>
                </wp:positionV>
                <wp:extent cx="4371975" cy="390525"/>
                <wp:effectExtent l="0" t="0" r="9525" b="9525"/>
                <wp:wrapNone/>
                <wp:docPr id="24" name="Text Box 24"/>
                <wp:cNvGraphicFramePr/>
                <a:graphic xmlns:a="http://schemas.openxmlformats.org/drawingml/2006/main">
                  <a:graphicData uri="http://schemas.microsoft.com/office/word/2010/wordprocessingShape">
                    <wps:wsp>
                      <wps:cNvSpPr txBox="1"/>
                      <wps:spPr>
                        <a:xfrm>
                          <a:off x="0" y="0"/>
                          <a:ext cx="4371975" cy="390525"/>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2631DB7" w14:textId="2A531117" w:rsidR="00CE6F1C" w:rsidRPr="003C4A25" w:rsidRDefault="00CE6F1C" w:rsidP="00B22F73">
                            <w:pPr>
                              <w:pStyle w:val="Subtitle"/>
                            </w:pPr>
                            <w:r w:rsidRPr="003C4A25">
                              <w:t>2017</w:t>
                            </w:r>
                            <w:r>
                              <w:t>–</w:t>
                            </w:r>
                            <w:r w:rsidRPr="003C4A25">
                              <w:t>18 Compliance Report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514E9540" id="_x0000_t202" coordsize="21600,21600" o:spt="202" path="m,l,21600r21600,l21600,xe">
                <v:stroke joinstyle="miter"/>
                <v:path gradientshapeok="t" o:connecttype="rect"/>
              </v:shapetype>
              <v:shape id="Text Box 24" o:spid="_x0000_s1026" type="#_x0000_t202" style="position:absolute;left:0;text-align:left;margin-left:181.3pt;margin-top:396.45pt;width:344.25pt;height:30.75pt;z-index:25177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" fillcolor="white [3212]" stroked="f" strokeweight=".5pt">
                <v:textbox>
                  <w:txbxContent>
                    <w:p w14:paraId="02631DB7" w14:textId="2A531117" w:rsidR="00CE6F1C" w:rsidRPr="003C4A25" w:rsidRDefault="00CE6F1C" w:rsidP="00B22F73">
                      <w:pPr>
                        <w:pStyle w:val="Subtitle"/>
                      </w:pPr>
                      <w:r w:rsidRPr="003C4A25">
                        <w:t>2017</w:t>
                      </w:r>
                      <w:r>
                        <w:t>–</w:t>
                      </w:r>
                      <w:r w:rsidRPr="003C4A25">
                        <w:t>18 Compliance Report</w:t>
                      </w:r>
                    </w:p>
                  </w:txbxContent>
                </v:textbox>
              </v:shape>
            </w:pict>
          </mc:Fallback>
        </mc:AlternateContent>
      </w:r>
      <w:r w:rsidR="00335C26">
        <w:rPr>
          <w:noProof/>
          <w:lang w:eastAsia="en-AU"/>
        </w:rPr>
        <w:drawing>
          <wp:anchor distT="0" distB="0" distL="114300" distR="114300" simplePos="0" relativeHeight="251714048" behindDoc="1" locked="0" layoutInCell="1" allowOverlap="1" wp14:anchorId="54438EE7" wp14:editId="0CCAF409">
            <wp:simplePos x="0" y="0"/>
            <wp:positionH relativeFrom="column">
              <wp:align>center</wp:align>
            </wp:positionH>
            <wp:positionV relativeFrom="page">
              <wp:align>center</wp:align>
            </wp:positionV>
            <wp:extent cx="7533165" cy="106560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715 PSFP cover.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7533165" cy="10656000"/>
                    </a:xfrm>
                    <a:prstGeom prst="rect">
                      <a:avLst/>
                    </a:prstGeom>
                  </pic:spPr>
                </pic:pic>
              </a:graphicData>
            </a:graphic>
            <wp14:sizeRelH relativeFrom="page">
              <wp14:pctWidth>0</wp14:pctWidth>
            </wp14:sizeRelH>
            <wp14:sizeRelV relativeFrom="page">
              <wp14:pctHeight>0</wp14:pctHeight>
            </wp14:sizeRelV>
          </wp:anchor>
        </w:drawing>
      </w:r>
    </w:p>
    <w:p w14:paraId="56017EBF" w14:textId="77777777" w:rsidR="00FD54AD" w:rsidRPr="007C48B7" w:rsidRDefault="00FD54AD" w:rsidP="00B22F73">
      <w:pPr>
        <w:pStyle w:val="Heading1"/>
      </w:pPr>
      <w:r w:rsidRPr="007C48B7">
        <w:lastRenderedPageBreak/>
        <w:t>Protective Security Policy Framework</w:t>
      </w:r>
    </w:p>
    <w:p w14:paraId="501746D3" w14:textId="441D87F1" w:rsidR="00151A0A" w:rsidRPr="007C48B7" w:rsidRDefault="00FD54AD" w:rsidP="00B22F73">
      <w:pPr>
        <w:pStyle w:val="Subtitle"/>
      </w:pPr>
      <w:r w:rsidRPr="007C48B7">
        <w:t>2017–18 Compliance Report</w:t>
      </w:r>
    </w:p>
    <w:p w14:paraId="6FDDF1D0" w14:textId="4E623BF2" w:rsidR="00B22F73" w:rsidRDefault="00B22F73" w:rsidP="00B22F73">
      <w:pPr>
        <w:pStyle w:val="Heading2"/>
      </w:pPr>
      <w:r>
        <w:t>Introduction</w:t>
      </w:r>
    </w:p>
    <w:p w14:paraId="4A54991B" w14:textId="5AA9FFC0" w:rsidR="006D5928" w:rsidRDefault="00A46CAA" w:rsidP="006D5928">
      <w:r>
        <w:t>Protecting the</w:t>
      </w:r>
      <w:r w:rsidR="006D5928">
        <w:t xml:space="preserve"> security of the Commonwealth’s people, information and assets is fundamental to the secure and efficient delivery of government business. It is essential </w:t>
      </w:r>
      <w:r w:rsidR="006B0712">
        <w:t>to build</w:t>
      </w:r>
      <w:r w:rsidR="007741E9">
        <w:t>ing</w:t>
      </w:r>
      <w:r w:rsidR="000002DF">
        <w:t xml:space="preserve"> and maintain</w:t>
      </w:r>
      <w:r w:rsidR="007741E9">
        <w:t>ing</w:t>
      </w:r>
      <w:r w:rsidR="006D5928">
        <w:t xml:space="preserve"> trust and confidence between </w:t>
      </w:r>
      <w:r w:rsidR="006B0712">
        <w:t xml:space="preserve">different levels of </w:t>
      </w:r>
      <w:r w:rsidR="006D5928">
        <w:t>government, the Australian people and our international partners.</w:t>
      </w:r>
    </w:p>
    <w:p w14:paraId="3BBFDE2E" w14:textId="17A31522" w:rsidR="007741E9" w:rsidRDefault="006D5928" w:rsidP="006D5928">
      <w:r>
        <w:t>The P</w:t>
      </w:r>
      <w:r w:rsidR="000F2E46">
        <w:t xml:space="preserve">rotective </w:t>
      </w:r>
      <w:r>
        <w:t>S</w:t>
      </w:r>
      <w:r w:rsidR="000F2E46">
        <w:t xml:space="preserve">ecurity </w:t>
      </w:r>
      <w:r>
        <w:t>P</w:t>
      </w:r>
      <w:r w:rsidR="000F2E46">
        <w:t xml:space="preserve">olicy </w:t>
      </w:r>
      <w:r>
        <w:t>F</w:t>
      </w:r>
      <w:r w:rsidR="000F2E46">
        <w:t>ramework (PSPF)</w:t>
      </w:r>
      <w:r>
        <w:t xml:space="preserve"> is administered by th</w:t>
      </w:r>
      <w:r w:rsidR="00FD3B3E">
        <w:t>e Attorney</w:t>
      </w:r>
      <w:r w:rsidR="00FD3B3E">
        <w:noBreakHyphen/>
        <w:t xml:space="preserve">General’s </w:t>
      </w:r>
      <w:r w:rsidR="000F2E46">
        <w:t>Department </w:t>
      </w:r>
      <w:r w:rsidR="008B0BFC">
        <w:t xml:space="preserve">(AGD) and applies to </w:t>
      </w:r>
      <w:r>
        <w:t>non-corporate Commonwealth entities</w:t>
      </w:r>
      <w:r w:rsidR="007741E9">
        <w:t xml:space="preserve"> </w:t>
      </w:r>
      <w:r>
        <w:t xml:space="preserve">(NCCEs) </w:t>
      </w:r>
      <w:r w:rsidR="00B14865">
        <w:t xml:space="preserve">that are </w:t>
      </w:r>
      <w:r>
        <w:t xml:space="preserve">subject to the </w:t>
      </w:r>
      <w:r>
        <w:rPr>
          <w:i/>
        </w:rPr>
        <w:t>Public Governance, Performance and Accountability Act 2013</w:t>
      </w:r>
      <w:r>
        <w:t xml:space="preserve"> (PGPA Act)</w:t>
      </w:r>
      <w:r w:rsidR="00B22F73">
        <w:t>.</w:t>
      </w:r>
      <w:r w:rsidR="007741E9">
        <w:rPr>
          <w:rStyle w:val="FootnoteReference"/>
        </w:rPr>
        <w:footnoteReference w:id="1"/>
      </w:r>
      <w:r>
        <w:t xml:space="preserve"> The PSPF </w:t>
      </w:r>
      <w:r w:rsidR="007741E9">
        <w:t xml:space="preserve">also </w:t>
      </w:r>
      <w:r>
        <w:t xml:space="preserve">represents better practice for corporate Commonwealth entities (CCEs) and wholly-owned Commonwealth companies under the PGPA Act. </w:t>
      </w:r>
    </w:p>
    <w:p w14:paraId="2A827208" w14:textId="22379E08" w:rsidR="006D5928" w:rsidRDefault="00B14865" w:rsidP="006D5928">
      <w:r>
        <w:t xml:space="preserve">For </w:t>
      </w:r>
      <w:r w:rsidR="000C13C7">
        <w:t>the 2017–</w:t>
      </w:r>
      <w:r w:rsidR="006B0712">
        <w:t xml:space="preserve">18 </w:t>
      </w:r>
      <w:r>
        <w:t xml:space="preserve">reporting period, the PSPF </w:t>
      </w:r>
      <w:r w:rsidR="006D5928">
        <w:t>mandate</w:t>
      </w:r>
      <w:r w:rsidR="006B0712">
        <w:t>d</w:t>
      </w:r>
      <w:r w:rsidR="006D5928">
        <w:t xml:space="preserve"> 36 security requirements </w:t>
      </w:r>
      <w:r w:rsidR="006B0712">
        <w:t xml:space="preserve">to </w:t>
      </w:r>
      <w:r w:rsidR="006D5928">
        <w:t xml:space="preserve">support government entities </w:t>
      </w:r>
      <w:r w:rsidR="006B0712">
        <w:t>identifying</w:t>
      </w:r>
      <w:r w:rsidR="006D5928">
        <w:t xml:space="preserve"> threats and </w:t>
      </w:r>
      <w:r w:rsidR="006B0712">
        <w:t xml:space="preserve">managing </w:t>
      </w:r>
      <w:r w:rsidR="006D5928">
        <w:t>risks that have the potential to:</w:t>
      </w:r>
    </w:p>
    <w:p w14:paraId="695D72D9" w14:textId="5E15701D" w:rsidR="006D5928" w:rsidRDefault="006D5928" w:rsidP="006D5928">
      <w:pPr>
        <w:pStyle w:val="ListParagraph"/>
        <w:numPr>
          <w:ilvl w:val="0"/>
          <w:numId w:val="6"/>
        </w:numPr>
      </w:pPr>
      <w:r>
        <w:t xml:space="preserve">harm </w:t>
      </w:r>
      <w:r w:rsidR="007741E9">
        <w:t xml:space="preserve">staff </w:t>
      </w:r>
      <w:r>
        <w:t>or the public</w:t>
      </w:r>
    </w:p>
    <w:p w14:paraId="410BD5C9" w14:textId="42848BF2" w:rsidR="006D5928" w:rsidRDefault="006D5928" w:rsidP="006D5928">
      <w:pPr>
        <w:pStyle w:val="ListParagraph"/>
        <w:numPr>
          <w:ilvl w:val="0"/>
          <w:numId w:val="6"/>
        </w:numPr>
      </w:pPr>
      <w:r>
        <w:t xml:space="preserve">compromise official </w:t>
      </w:r>
      <w:r w:rsidR="007741E9">
        <w:t xml:space="preserve">information or </w:t>
      </w:r>
      <w:r w:rsidR="006B0712">
        <w:t>assets</w:t>
      </w:r>
      <w:r>
        <w:t>, or</w:t>
      </w:r>
    </w:p>
    <w:p w14:paraId="7E154985" w14:textId="71F988F8" w:rsidR="006D5928" w:rsidRDefault="007741E9" w:rsidP="006D5928">
      <w:pPr>
        <w:pStyle w:val="ListParagraph"/>
        <w:numPr>
          <w:ilvl w:val="0"/>
          <w:numId w:val="6"/>
        </w:numPr>
      </w:pPr>
      <w:proofErr w:type="gramStart"/>
      <w:r>
        <w:t>interrupt</w:t>
      </w:r>
      <w:proofErr w:type="gramEnd"/>
      <w:r>
        <w:t xml:space="preserve"> </w:t>
      </w:r>
      <w:r w:rsidR="006D5928">
        <w:t>progress toward</w:t>
      </w:r>
      <w:r w:rsidR="006B0712">
        <w:t>s</w:t>
      </w:r>
      <w:r w:rsidR="006D5928">
        <w:t xml:space="preserve"> meeting government policy objectives.</w:t>
      </w:r>
    </w:p>
    <w:p w14:paraId="5689F686" w14:textId="77777777" w:rsidR="00CA2DA8" w:rsidRDefault="006D5928" w:rsidP="00CA2DA8">
      <w:r>
        <w:t>Entities are required to undertake an annual self-assessment of their PSPF compliance and report on their security posture, providing details of measures taken to address identified key risks</w:t>
      </w:r>
      <w:r w:rsidR="008B0BFC">
        <w:t>.</w:t>
      </w:r>
      <w:r w:rsidR="00CA2DA8">
        <w:t xml:space="preserve"> The 36 requirements, and compliance with these requirements, </w:t>
      </w:r>
      <w:proofErr w:type="gramStart"/>
      <w:r w:rsidR="00CA2DA8">
        <w:t>is</w:t>
      </w:r>
      <w:proofErr w:type="gramEnd"/>
      <w:r w:rsidR="00CA2DA8">
        <w:t xml:space="preserve"> set out at </w:t>
      </w:r>
      <w:r w:rsidR="00CA2DA8">
        <w:rPr>
          <w:b/>
        </w:rPr>
        <w:t>Attachment A</w:t>
      </w:r>
      <w:r w:rsidR="00CA2DA8">
        <w:t>.</w:t>
      </w:r>
    </w:p>
    <w:p w14:paraId="1E648C7D" w14:textId="77777777" w:rsidR="00CA2DA8" w:rsidRDefault="00CA2DA8" w:rsidP="003C4A25">
      <w:pPr>
        <w:pStyle w:val="Heading3"/>
      </w:pPr>
      <w:r>
        <w:t>Imple</w:t>
      </w:r>
      <w:bookmarkStart w:id="0" w:name="_GoBack"/>
      <w:bookmarkEnd w:id="0"/>
      <w:r>
        <w:t>menting a new framework</w:t>
      </w:r>
    </w:p>
    <w:p w14:paraId="3EB31763" w14:textId="4E919DCA" w:rsidR="00CA2DA8" w:rsidRDefault="000C13C7" w:rsidP="00CA2DA8">
      <w:r>
        <w:t>The 2017–</w:t>
      </w:r>
      <w:r w:rsidR="00CA2DA8">
        <w:t xml:space="preserve">18 compliance report will be the final reporting period using the old framework.  On 1 October 2018, a new PSPF commenced which takes into account recommendations contained in the </w:t>
      </w:r>
      <w:r w:rsidR="00CA2DA8">
        <w:rPr>
          <w:i/>
        </w:rPr>
        <w:t>Independent Review of Whole-of-Government Internal Regulation</w:t>
      </w:r>
      <w:r w:rsidR="00CA2DA8">
        <w:t xml:space="preserve"> (Belcher Review). The reforms to the PSPF improve clarity, reduce unnecessary ‘red tape’ and foster a strengthened security culture across government. Entities will assess their security performance against 16 core requirements. The reforms to the PSPF do not fundamentally change entities</w:t>
      </w:r>
      <w:r w:rsidR="00A46CAA">
        <w:t>’</w:t>
      </w:r>
      <w:r w:rsidR="00CA2DA8">
        <w:t xml:space="preserve"> responsibilities to protect their people, information and assets. </w:t>
      </w:r>
    </w:p>
    <w:p w14:paraId="779516DD" w14:textId="55BAA162" w:rsidR="00CA2DA8" w:rsidRDefault="00CA2DA8" w:rsidP="00CA2DA8">
      <w:r>
        <w:t>From 2018</w:t>
      </w:r>
      <w:r w:rsidR="000C13C7">
        <w:t>–</w:t>
      </w:r>
      <w:r>
        <w:t xml:space="preserve">19, entities will report on their PSPF implementation using a security maturity model </w:t>
      </w:r>
      <w:r w:rsidR="00A46CAA">
        <w:t xml:space="preserve">to assess the maturity of their protective security practices </w:t>
      </w:r>
      <w:r>
        <w:t xml:space="preserve">instead of a compliance model. A security maturity model aims to embed </w:t>
      </w:r>
      <w:r w:rsidR="00A46CAA">
        <w:t>a stronger security</w:t>
      </w:r>
      <w:r>
        <w:t xml:space="preserve"> culture by encouraging entities to continuously engage in identifying and assessing the risks present in their security environment. It also provides entities with the tools to assess their security performance in a more graded and relevant way, including how effectively they manage key risks and vulnerabilities.</w:t>
      </w:r>
      <w:r w:rsidR="00191E5B">
        <w:t xml:space="preserve"> </w:t>
      </w:r>
    </w:p>
    <w:p w14:paraId="2F6DBF64" w14:textId="06D18647" w:rsidR="009401C5" w:rsidRDefault="00D7059E" w:rsidP="005A33DD">
      <w:r>
        <w:t xml:space="preserve">Alongside the new maturity model, other recent developments to strengthen our security culture have been the establishment of the Chief Security </w:t>
      </w:r>
      <w:r w:rsidR="00D608F4">
        <w:t>Officer f</w:t>
      </w:r>
      <w:r>
        <w:t xml:space="preserve">orums (SES level forums held twice a year) and reinvigorated communities of practice on security culture, vetting and personnel to </w:t>
      </w:r>
      <w:r w:rsidR="005A33DD">
        <w:t xml:space="preserve">provide a dedicated </w:t>
      </w:r>
      <w:proofErr w:type="gramStart"/>
      <w:r w:rsidR="005A33DD">
        <w:t>forum</w:t>
      </w:r>
      <w:proofErr w:type="gramEnd"/>
      <w:r w:rsidR="005A33DD">
        <w:t xml:space="preserve"> for security practitioners to exchange idea</w:t>
      </w:r>
      <w:r w:rsidR="002B2224">
        <w:t>s</w:t>
      </w:r>
      <w:r w:rsidR="005A33DD">
        <w:t xml:space="preserve"> and lessons. </w:t>
      </w:r>
    </w:p>
    <w:p w14:paraId="224B0E08" w14:textId="320EBAFF" w:rsidR="001B6D50" w:rsidRDefault="001B6D50" w:rsidP="00FD54AD">
      <w:pPr>
        <w:pStyle w:val="Heading2"/>
      </w:pPr>
      <w:r>
        <w:lastRenderedPageBreak/>
        <w:t>Key Findings</w:t>
      </w:r>
      <w:r w:rsidR="00B22F73">
        <w:t>: 2017–</w:t>
      </w:r>
      <w:r w:rsidR="00CA2DA8">
        <w:t>18</w:t>
      </w:r>
    </w:p>
    <w:p w14:paraId="4288185D" w14:textId="2F0850DE" w:rsidR="007C48B7" w:rsidRPr="008B0BFC" w:rsidRDefault="007C48B7" w:rsidP="00463C44">
      <w:pPr>
        <w:pStyle w:val="Heading4"/>
      </w:pPr>
      <w:r w:rsidRPr="008B0BFC">
        <w:t>PSPF compliance</w:t>
      </w:r>
    </w:p>
    <w:p w14:paraId="7A1B7555" w14:textId="133B981C" w:rsidR="007C48B7" w:rsidRPr="007741E9" w:rsidRDefault="001E6911" w:rsidP="007C48B7">
      <w:r>
        <w:rPr>
          <w:noProof/>
          <w:w w:val="100"/>
          <w:lang w:eastAsia="en-AU"/>
        </w:rPr>
        <mc:AlternateContent>
          <mc:Choice Requires="wps">
            <w:drawing>
              <wp:anchor distT="0" distB="0" distL="114300" distR="114300" simplePos="0" relativeHeight="251556352" behindDoc="0" locked="0" layoutInCell="1" allowOverlap="1" wp14:anchorId="5229030B" wp14:editId="4D726275">
                <wp:simplePos x="0" y="0"/>
                <wp:positionH relativeFrom="margin">
                  <wp:align>center</wp:align>
                </wp:positionH>
                <wp:positionV relativeFrom="paragraph">
                  <wp:posOffset>513715</wp:posOffset>
                </wp:positionV>
                <wp:extent cx="4478400" cy="266400"/>
                <wp:effectExtent l="0" t="0" r="0" b="635"/>
                <wp:wrapNone/>
                <wp:docPr id="6" name="Text Box 6"/>
                <wp:cNvGraphicFramePr/>
                <a:graphic xmlns:a="http://schemas.openxmlformats.org/drawingml/2006/main">
                  <a:graphicData uri="http://schemas.microsoft.com/office/word/2010/wordprocessingShape">
                    <wps:wsp>
                      <wps:cNvSpPr txBox="1"/>
                      <wps:spPr>
                        <a:xfrm>
                          <a:off x="0" y="0"/>
                          <a:ext cx="4478400" cy="2664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FEDCB82" w14:textId="557A04BE" w:rsidR="00CE6F1C" w:rsidRPr="00B8468D" w:rsidRDefault="00CE6F1C" w:rsidP="00FC6FEF">
                            <w:pPr>
                              <w:jc w:val="center"/>
                              <w:rPr>
                                <w:b/>
                                <w:color w:val="4F81BD" w:themeColor="accent1"/>
                                <w:sz w:val="20"/>
                              </w:rPr>
                            </w:pPr>
                            <w:r w:rsidRPr="00B8468D">
                              <w:rPr>
                                <w:b/>
                                <w:color w:val="4F81BD" w:themeColor="accent1"/>
                                <w:sz w:val="20"/>
                              </w:rPr>
                              <w:t>Figure 1: Proportion of NCCEs fully compliant with all PSPF requirements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5229030B" id="Text Box 6" o:spid="_x0000_s1027" type="#_x0000_t202" style="position:absolute;margin-left:0;margin-top:40.45pt;width:352.65pt;height:21pt;z-index:25155635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" fillcolor="white [3201]" stroked="f" strokeweight=".5pt">
                <v:textbox>
                  <w:txbxContent>
                    <w:p w14:paraId="4FEDCB82" w14:textId="557A04BE" w:rsidR="00CE6F1C" w:rsidRPr="00B8468D" w:rsidRDefault="00CE6F1C" w:rsidP="00FC6FEF">
                      <w:pPr>
                        <w:jc w:val="center"/>
                        <w:rPr>
                          <w:b/>
                          <w:color w:val="4F81BD" w:themeColor="accent1"/>
                          <w:sz w:val="20"/>
                        </w:rPr>
                      </w:pPr>
                      <w:r w:rsidRPr="00B8468D">
                        <w:rPr>
                          <w:b/>
                          <w:color w:val="4F81BD" w:themeColor="accent1"/>
                          <w:sz w:val="20"/>
                        </w:rPr>
                        <w:t>Figure 1: Proportion of NCCEs fully compliant with all PSPF requirements</w:t>
                      </w:r>
                    </w:p>
                  </w:txbxContent>
                </v:textbox>
                <w10:wrap anchorx="margin"/>
              </v:shape>
            </w:pict>
          </mc:Fallback>
        </mc:AlternateContent>
      </w:r>
      <w:r>
        <w:rPr>
          <w:noProof/>
          <w:w w:val="100"/>
          <w:lang w:eastAsia="en-AU"/>
        </w:rPr>
        <mc:AlternateContent>
          <mc:Choice Requires="wps">
            <w:drawing>
              <wp:anchor distT="180340" distB="180340" distL="114300" distR="114300" simplePos="0" relativeHeight="251549184" behindDoc="1" locked="0" layoutInCell="1" allowOverlap="1" wp14:anchorId="20CD05AF" wp14:editId="1B8120E4">
                <wp:simplePos x="0" y="0"/>
                <wp:positionH relativeFrom="margin">
                  <wp:posOffset>932815</wp:posOffset>
                </wp:positionH>
                <wp:positionV relativeFrom="paragraph">
                  <wp:posOffset>2884170</wp:posOffset>
                </wp:positionV>
                <wp:extent cx="4492800" cy="421200"/>
                <wp:effectExtent l="0" t="0" r="3175" b="0"/>
                <wp:wrapTopAndBottom/>
                <wp:docPr id="4" name="Text Box 4"/>
                <wp:cNvGraphicFramePr/>
                <a:graphic xmlns:a="http://schemas.openxmlformats.org/drawingml/2006/main">
                  <a:graphicData uri="http://schemas.microsoft.com/office/word/2010/wordprocessingShape">
                    <wps:wsp>
                      <wps:cNvSpPr txBox="1"/>
                      <wps:spPr>
                        <a:xfrm>
                          <a:off x="0" y="0"/>
                          <a:ext cx="4492800" cy="421200"/>
                        </a:xfrm>
                        <a:prstGeom prst="rect">
                          <a:avLst/>
                        </a:prstGeom>
                        <a:solidFill>
                          <a:schemeClr val="tx2">
                            <a:lumMod val="20000"/>
                            <a:lumOff val="8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C3F786F" w14:textId="3AC29EB4" w:rsidR="00CE6F1C" w:rsidRPr="00B7209B" w:rsidRDefault="00CE6F1C">
                            <w:pPr>
                              <w:rPr>
                                <w:sz w:val="18"/>
                              </w:rPr>
                            </w:pPr>
                            <w:r w:rsidRPr="00B7209B">
                              <w:rPr>
                                <w:sz w:val="18"/>
                              </w:rPr>
                              <w:t>I</w:t>
                            </w:r>
                            <w:r>
                              <w:rPr>
                                <w:sz w:val="18"/>
                              </w:rPr>
                              <w:t>n 2017–</w:t>
                            </w:r>
                            <w:r w:rsidRPr="00B7209B">
                              <w:rPr>
                                <w:sz w:val="18"/>
                              </w:rPr>
                              <w:t xml:space="preserve">18 the proportion of </w:t>
                            </w:r>
                            <w:r>
                              <w:rPr>
                                <w:sz w:val="18"/>
                              </w:rPr>
                              <w:t>NCCE</w:t>
                            </w:r>
                            <w:r w:rsidRPr="00B7209B">
                              <w:rPr>
                                <w:sz w:val="18"/>
                              </w:rPr>
                              <w:t xml:space="preserve"> reports indicating full compliance with all PSPF requirements was 40.4</w:t>
                            </w:r>
                            <w:r>
                              <w:rPr>
                                <w:sz w:val="18"/>
                              </w:rPr>
                              <w:t>3</w:t>
                            </w:r>
                            <w:r w:rsidRPr="00B7209B">
                              <w:rPr>
                                <w:sz w:val="18"/>
                              </w:rPr>
                              <w:t>%, up from 34.4</w:t>
                            </w:r>
                            <w:r>
                              <w:rPr>
                                <w:sz w:val="18"/>
                              </w:rPr>
                              <w:t>1% in 2016–17.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0CD05AF" id="Text Box 4" o:spid="_x0000_s1028" type="#_x0000_t202" style="position:absolute;margin-left:73.45pt;margin-top:227.1pt;width:353.75pt;height:33.15pt;z-index:-251767296;visibility:visible;mso-wrap-style:square;mso-width-percent:0;mso-height-percent:0;mso-wrap-distance-left:9pt;mso-wrap-distance-top:14.2pt;mso-wrap-distance-right:9pt;mso-wrap-distance-bottom:14.2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" fillcolor="#c6d9f1 [671]" stroked="f" strokeweight=".5pt">
                <v:textbox>
                  <w:txbxContent>
                    <w:p w14:paraId="0C3F786F" w14:textId="3AC29EB4" w:rsidR="00CE6F1C" w:rsidRPr="00B7209B" w:rsidRDefault="00CE6F1C">
                      <w:pPr>
                        <w:rPr>
                          <w:sz w:val="18"/>
                        </w:rPr>
                      </w:pPr>
                      <w:r w:rsidRPr="00B7209B">
                        <w:rPr>
                          <w:sz w:val="18"/>
                        </w:rPr>
                        <w:t>I</w:t>
                      </w:r>
                      <w:r>
                        <w:rPr>
                          <w:sz w:val="18"/>
                        </w:rPr>
                        <w:t>n 2017–</w:t>
                      </w:r>
                      <w:r w:rsidRPr="00B7209B">
                        <w:rPr>
                          <w:sz w:val="18"/>
                        </w:rPr>
                        <w:t xml:space="preserve">18 the proportion of </w:t>
                      </w:r>
                      <w:r>
                        <w:rPr>
                          <w:sz w:val="18"/>
                        </w:rPr>
                        <w:t>NCCE</w:t>
                      </w:r>
                      <w:r w:rsidRPr="00B7209B">
                        <w:rPr>
                          <w:sz w:val="18"/>
                        </w:rPr>
                        <w:t xml:space="preserve"> reports indicating full compliance with all PSPF requirements was 40.4</w:t>
                      </w:r>
                      <w:r>
                        <w:rPr>
                          <w:sz w:val="18"/>
                        </w:rPr>
                        <w:t>3</w:t>
                      </w:r>
                      <w:r w:rsidRPr="00B7209B">
                        <w:rPr>
                          <w:sz w:val="18"/>
                        </w:rPr>
                        <w:t>%, up from 34.4</w:t>
                      </w:r>
                      <w:r>
                        <w:rPr>
                          <w:sz w:val="18"/>
                        </w:rPr>
                        <w:t>1% in 2016–17.</w:t>
                      </w:r>
                    </w:p>
                  </w:txbxContent>
                </v:textbox>
                <w10:wrap type="topAndBottom" anchorx="margin"/>
              </v:shape>
            </w:pict>
          </mc:Fallback>
        </mc:AlternateContent>
      </w:r>
      <w:r>
        <w:rPr>
          <w:noProof/>
          <w:lang w:eastAsia="en-AU"/>
        </w:rPr>
        <w:drawing>
          <wp:anchor distT="0" distB="180340" distL="114300" distR="114300" simplePos="0" relativeHeight="251544064" behindDoc="1" locked="0" layoutInCell="1" allowOverlap="1" wp14:anchorId="7E106D9E" wp14:editId="3E226F30">
            <wp:simplePos x="0" y="0"/>
            <wp:positionH relativeFrom="margin">
              <wp:posOffset>925195</wp:posOffset>
            </wp:positionH>
            <wp:positionV relativeFrom="margin">
              <wp:posOffset>1188720</wp:posOffset>
            </wp:positionV>
            <wp:extent cx="4496400" cy="2181600"/>
            <wp:effectExtent l="0" t="0" r="0" b="0"/>
            <wp:wrapTopAndBottom/>
            <wp:docPr id="1" name="Chart 1" descr="Proportion of entities fully compliant with all PSPF requriements" title="Chart_FullCompliance%"/>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14:sizeRelH relativeFrom="page">
              <wp14:pctWidth>0</wp14:pctWidth>
            </wp14:sizeRelH>
            <wp14:sizeRelV relativeFrom="page">
              <wp14:pctHeight>0</wp14:pctHeight>
            </wp14:sizeRelV>
          </wp:anchor>
        </w:drawing>
      </w:r>
      <w:r w:rsidR="007C48B7">
        <w:t>As in 2016–17, all NCCEs submitted a PSPF compliance report for the 2017–18 reporting period. In addition to this, eight CCEs voluntarily submitted compliance re</w:t>
      </w:r>
      <w:r w:rsidR="000C13C7">
        <w:t>ports (up from six CCEs in 2016–</w:t>
      </w:r>
      <w:r w:rsidR="007C48B7">
        <w:t>17).</w:t>
      </w:r>
    </w:p>
    <w:p w14:paraId="0A713E03" w14:textId="1554A0C4" w:rsidR="007C48B7" w:rsidRDefault="007C48B7" w:rsidP="007C48B7">
      <w:r>
        <w:t>The 2017–18 reporting period shows an increase in the number of NCCEs reporting full compliance with all mandatory PSPF requirements from 34.41% fully compliant NCCEs in 2016</w:t>
      </w:r>
      <w:r w:rsidR="000C13C7">
        <w:t>–1</w:t>
      </w:r>
      <w:r>
        <w:t>7</w:t>
      </w:r>
      <w:r w:rsidR="00B22F73">
        <w:t xml:space="preserve"> (n=</w:t>
      </w:r>
      <w:r w:rsidR="004D1290">
        <w:t>93</w:t>
      </w:r>
      <w:r w:rsidR="00B22F73">
        <w:t>)</w:t>
      </w:r>
      <w:r>
        <w:t xml:space="preserve"> to 40.43% fully compliant NCCEs in 2017–18</w:t>
      </w:r>
      <w:r w:rsidR="00B22F73">
        <w:t xml:space="preserve"> (n=94)</w:t>
      </w:r>
      <w:r>
        <w:t>.</w:t>
      </w:r>
    </w:p>
    <w:p w14:paraId="19AEF74E" w14:textId="11AD2824" w:rsidR="00F45D77" w:rsidRDefault="00463C44" w:rsidP="005955A3">
      <w:r>
        <w:rPr>
          <w:noProof/>
          <w:w w:val="100"/>
          <w:lang w:eastAsia="en-AU"/>
        </w:rPr>
        <mc:AlternateContent>
          <mc:Choice Requires="wps">
            <w:drawing>
              <wp:anchor distT="0" distB="0" distL="114300" distR="114300" simplePos="0" relativeHeight="251608576" behindDoc="1" locked="0" layoutInCell="1" allowOverlap="1" wp14:anchorId="75E271F3" wp14:editId="29A70D33">
                <wp:simplePos x="0" y="0"/>
                <wp:positionH relativeFrom="margin">
                  <wp:posOffset>921385</wp:posOffset>
                </wp:positionH>
                <wp:positionV relativeFrom="paragraph">
                  <wp:posOffset>3763645</wp:posOffset>
                </wp:positionV>
                <wp:extent cx="4493895" cy="542925"/>
                <wp:effectExtent l="0" t="0" r="1905" b="9525"/>
                <wp:wrapTopAndBottom/>
                <wp:docPr id="8" name="Text Box 8"/>
                <wp:cNvGraphicFramePr/>
                <a:graphic xmlns:a="http://schemas.openxmlformats.org/drawingml/2006/main">
                  <a:graphicData uri="http://schemas.microsoft.com/office/word/2010/wordprocessingShape">
                    <wps:wsp>
                      <wps:cNvSpPr txBox="1"/>
                      <wps:spPr>
                        <a:xfrm>
                          <a:off x="0" y="0"/>
                          <a:ext cx="4493895" cy="542925"/>
                        </a:xfrm>
                        <a:prstGeom prst="rect">
                          <a:avLst/>
                        </a:prstGeom>
                        <a:solidFill>
                          <a:schemeClr val="tx2">
                            <a:lumMod val="20000"/>
                            <a:lumOff val="8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3FAC445" w14:textId="6636A9A5" w:rsidR="00CE6F1C" w:rsidRPr="00B7209B" w:rsidRDefault="00CE6F1C" w:rsidP="004B72C5">
                            <w:pPr>
                              <w:rPr>
                                <w:sz w:val="18"/>
                              </w:rPr>
                            </w:pPr>
                            <w:r w:rsidRPr="004B72C5">
                              <w:rPr>
                                <w:sz w:val="18"/>
                              </w:rPr>
                              <w:t xml:space="preserve">On average </w:t>
                            </w:r>
                            <w:r>
                              <w:rPr>
                                <w:sz w:val="18"/>
                              </w:rPr>
                              <w:t>NCCE</w:t>
                            </w:r>
                            <w:r w:rsidRPr="004B72C5">
                              <w:rPr>
                                <w:sz w:val="18"/>
                              </w:rPr>
                              <w:t xml:space="preserve"> reports indicated compliance with 33</w:t>
                            </w:r>
                            <w:r>
                              <w:rPr>
                                <w:sz w:val="18"/>
                              </w:rPr>
                              <w:t xml:space="preserve">.2 of the 36 PSPF requirements, </w:t>
                            </w:r>
                            <w:r w:rsidRPr="004B72C5">
                              <w:rPr>
                                <w:sz w:val="18"/>
                              </w:rPr>
                              <w:t>above 2016-17 c</w:t>
                            </w:r>
                            <w:r>
                              <w:rPr>
                                <w:sz w:val="18"/>
                              </w:rPr>
                              <w:t xml:space="preserve">ompliance of </w:t>
                            </w:r>
                            <w:r w:rsidRPr="004B72C5">
                              <w:rPr>
                                <w:sz w:val="18"/>
                              </w:rPr>
                              <w:t xml:space="preserve">32.8 of </w:t>
                            </w:r>
                            <w:r>
                              <w:rPr>
                                <w:sz w:val="18"/>
                              </w:rPr>
                              <w:t xml:space="preserve">the </w:t>
                            </w:r>
                            <w:r w:rsidRPr="004B72C5">
                              <w:rPr>
                                <w:sz w:val="18"/>
                              </w:rPr>
                              <w:t>36 r</w:t>
                            </w:r>
                            <w:r>
                              <w:rPr>
                                <w:sz w:val="18"/>
                              </w:rPr>
                              <w:t>equirements</w:t>
                            </w:r>
                            <w:r w:rsidRPr="004B72C5">
                              <w:rPr>
                                <w:sz w:val="18"/>
                              </w:rPr>
                              <w:t>.</w:t>
                            </w:r>
                            <w:r>
                              <w:rPr>
                                <w:sz w:val="18"/>
                              </w:rPr>
                              <w:t xml:space="preserve"> This represents an average of 92.17% compliance with the PSPF requirements.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5E271F3" id="Text Box 8" o:spid="_x0000_s1029" type="#_x0000_t202" style="position:absolute;margin-left:72.55pt;margin-top:296.35pt;width:353.85pt;height:42.75pt;z-index:-2517079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" fillcolor="#c6d9f1 [671]" stroked="f" strokeweight=".5pt">
                <v:textbox>
                  <w:txbxContent>
                    <w:p w14:paraId="53FAC445" w14:textId="6636A9A5" w:rsidR="00CE6F1C" w:rsidRPr="00B7209B" w:rsidRDefault="00CE6F1C" w:rsidP="004B72C5">
                      <w:pPr>
                        <w:rPr>
                          <w:sz w:val="18"/>
                        </w:rPr>
                      </w:pPr>
                      <w:r w:rsidRPr="004B72C5">
                        <w:rPr>
                          <w:sz w:val="18"/>
                        </w:rPr>
                        <w:t xml:space="preserve">On average </w:t>
                      </w:r>
                      <w:r>
                        <w:rPr>
                          <w:sz w:val="18"/>
                        </w:rPr>
                        <w:t>NCCE</w:t>
                      </w:r>
                      <w:r w:rsidRPr="004B72C5">
                        <w:rPr>
                          <w:sz w:val="18"/>
                        </w:rPr>
                        <w:t xml:space="preserve"> reports indicated compliance with 33</w:t>
                      </w:r>
                      <w:r>
                        <w:rPr>
                          <w:sz w:val="18"/>
                        </w:rPr>
                        <w:t xml:space="preserve">.2 of the 36 PSPF requirements, </w:t>
                      </w:r>
                      <w:r w:rsidRPr="004B72C5">
                        <w:rPr>
                          <w:sz w:val="18"/>
                        </w:rPr>
                        <w:t>above 2016-17 c</w:t>
                      </w:r>
                      <w:r>
                        <w:rPr>
                          <w:sz w:val="18"/>
                        </w:rPr>
                        <w:t xml:space="preserve">ompliance of </w:t>
                      </w:r>
                      <w:r w:rsidRPr="004B72C5">
                        <w:rPr>
                          <w:sz w:val="18"/>
                        </w:rPr>
                        <w:t xml:space="preserve">32.8 of </w:t>
                      </w:r>
                      <w:r>
                        <w:rPr>
                          <w:sz w:val="18"/>
                        </w:rPr>
                        <w:t xml:space="preserve">the </w:t>
                      </w:r>
                      <w:r w:rsidRPr="004B72C5">
                        <w:rPr>
                          <w:sz w:val="18"/>
                        </w:rPr>
                        <w:t>36 r</w:t>
                      </w:r>
                      <w:r>
                        <w:rPr>
                          <w:sz w:val="18"/>
                        </w:rPr>
                        <w:t>equirements</w:t>
                      </w:r>
                      <w:r w:rsidRPr="004B72C5">
                        <w:rPr>
                          <w:sz w:val="18"/>
                        </w:rPr>
                        <w:t>.</w:t>
                      </w:r>
                      <w:r>
                        <w:rPr>
                          <w:sz w:val="18"/>
                        </w:rPr>
                        <w:t xml:space="preserve"> This represents an average of 92.17% compliance with the PSPF requirements.</w:t>
                      </w:r>
                    </w:p>
                  </w:txbxContent>
                </v:textbox>
                <w10:wrap type="topAndBottom" anchorx="margin"/>
              </v:shape>
            </w:pict>
          </mc:Fallback>
        </mc:AlternateContent>
      </w:r>
      <w:r w:rsidR="001E6911">
        <w:rPr>
          <w:noProof/>
          <w:lang w:eastAsia="en-AU"/>
        </w:rPr>
        <w:drawing>
          <wp:anchor distT="0" distB="0" distL="114300" distR="114300" simplePos="0" relativeHeight="251581952" behindDoc="0" locked="0" layoutInCell="1" allowOverlap="1" wp14:anchorId="6305D733" wp14:editId="21FB3FBF">
            <wp:simplePos x="0" y="0"/>
            <wp:positionH relativeFrom="margin">
              <wp:posOffset>892810</wp:posOffset>
            </wp:positionH>
            <wp:positionV relativeFrom="paragraph">
              <wp:posOffset>1350010</wp:posOffset>
            </wp:positionV>
            <wp:extent cx="4438650" cy="2200275"/>
            <wp:effectExtent l="0" t="0" r="0" b="0"/>
            <wp:wrapTopAndBottom/>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14:sizeRelH relativeFrom="page">
              <wp14:pctWidth>0</wp14:pctWidth>
            </wp14:sizeRelH>
            <wp14:sizeRelV relativeFrom="page">
              <wp14:pctHeight>0</wp14:pctHeight>
            </wp14:sizeRelV>
          </wp:anchor>
        </w:drawing>
      </w:r>
      <w:r w:rsidR="001E6911">
        <w:rPr>
          <w:noProof/>
          <w:w w:val="100"/>
          <w:lang w:eastAsia="en-AU"/>
        </w:rPr>
        <mc:AlternateContent>
          <mc:Choice Requires="wps">
            <w:drawing>
              <wp:anchor distT="0" distB="0" distL="114300" distR="114300" simplePos="0" relativeHeight="251632128" behindDoc="0" locked="0" layoutInCell="1" allowOverlap="1" wp14:anchorId="4689773E" wp14:editId="57BECAAE">
                <wp:simplePos x="0" y="0"/>
                <wp:positionH relativeFrom="margin">
                  <wp:align>center</wp:align>
                </wp:positionH>
                <wp:positionV relativeFrom="paragraph">
                  <wp:posOffset>1311910</wp:posOffset>
                </wp:positionV>
                <wp:extent cx="4676400" cy="248400"/>
                <wp:effectExtent l="0" t="0" r="0" b="0"/>
                <wp:wrapTopAndBottom/>
                <wp:docPr id="9" name="Text Box 9"/>
                <wp:cNvGraphicFramePr/>
                <a:graphic xmlns:a="http://schemas.openxmlformats.org/drawingml/2006/main">
                  <a:graphicData uri="http://schemas.microsoft.com/office/word/2010/wordprocessingShape">
                    <wps:wsp>
                      <wps:cNvSpPr txBox="1"/>
                      <wps:spPr>
                        <a:xfrm>
                          <a:off x="0" y="0"/>
                          <a:ext cx="4676400" cy="2484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18CD8C0" w14:textId="27308BC1" w:rsidR="00CE6F1C" w:rsidRPr="00B8468D" w:rsidRDefault="00CE6F1C" w:rsidP="00C3014F">
                            <w:pPr>
                              <w:jc w:val="center"/>
                              <w:rPr>
                                <w:b/>
                                <w:color w:val="4F81BD" w:themeColor="accent1"/>
                                <w:sz w:val="20"/>
                              </w:rPr>
                            </w:pPr>
                            <w:r>
                              <w:rPr>
                                <w:b/>
                                <w:color w:val="4F81BD" w:themeColor="accent1"/>
                                <w:sz w:val="20"/>
                              </w:rPr>
                              <w:t>Figure 2</w:t>
                            </w:r>
                            <w:r w:rsidRPr="00B8468D">
                              <w:rPr>
                                <w:b/>
                                <w:color w:val="4F81BD" w:themeColor="accent1"/>
                                <w:sz w:val="20"/>
                              </w:rPr>
                              <w:t xml:space="preserve">: </w:t>
                            </w:r>
                            <w:r>
                              <w:rPr>
                                <w:b/>
                                <w:color w:val="4F81BD" w:themeColor="accent1"/>
                                <w:sz w:val="20"/>
                              </w:rPr>
                              <w:t>Average number of PSPF requirements complied with by NCCEs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689773E" id="Text Box 9" o:spid="_x0000_s1030" type="#_x0000_t202" style="position:absolute;margin-left:0;margin-top:103.3pt;width:368.2pt;height:19.55pt;z-index:25163212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" fillcolor="white [3201]" stroked="f" strokeweight=".5pt">
                <v:textbox>
                  <w:txbxContent>
                    <w:p w14:paraId="718CD8C0" w14:textId="27308BC1" w:rsidR="00CE6F1C" w:rsidRPr="00B8468D" w:rsidRDefault="00CE6F1C" w:rsidP="00C3014F">
                      <w:pPr>
                        <w:jc w:val="center"/>
                        <w:rPr>
                          <w:b/>
                          <w:color w:val="4F81BD" w:themeColor="accent1"/>
                          <w:sz w:val="20"/>
                        </w:rPr>
                      </w:pPr>
                      <w:r>
                        <w:rPr>
                          <w:b/>
                          <w:color w:val="4F81BD" w:themeColor="accent1"/>
                          <w:sz w:val="20"/>
                        </w:rPr>
                        <w:t>Figure 2</w:t>
                      </w:r>
                      <w:r w:rsidRPr="00B8468D">
                        <w:rPr>
                          <w:b/>
                          <w:color w:val="4F81BD" w:themeColor="accent1"/>
                          <w:sz w:val="20"/>
                        </w:rPr>
                        <w:t xml:space="preserve">: </w:t>
                      </w:r>
                      <w:r>
                        <w:rPr>
                          <w:b/>
                          <w:color w:val="4F81BD" w:themeColor="accent1"/>
                          <w:sz w:val="20"/>
                        </w:rPr>
                        <w:t>Average number of PSPF requirements complied with by NCCEs</w:t>
                      </w:r>
                    </w:p>
                  </w:txbxContent>
                </v:textbox>
                <w10:wrap type="topAndBottom" anchorx="margin"/>
              </v:shape>
            </w:pict>
          </mc:Fallback>
        </mc:AlternateContent>
      </w:r>
      <w:r w:rsidR="00BA77F2">
        <w:t xml:space="preserve">While full PSPF compliance was only reported by 40.43% of NCCEs, the Government’s security posture is still broadly sound across the areas of </w:t>
      </w:r>
      <w:r w:rsidR="0002533E">
        <w:t xml:space="preserve">security governance, </w:t>
      </w:r>
      <w:r w:rsidR="00BA77F2">
        <w:t>personnel</w:t>
      </w:r>
      <w:r w:rsidR="0002533E">
        <w:t xml:space="preserve"> security</w:t>
      </w:r>
      <w:r w:rsidR="00BA77F2">
        <w:t>, information</w:t>
      </w:r>
      <w:r w:rsidR="0002533E">
        <w:t xml:space="preserve"> security </w:t>
      </w:r>
      <w:r w:rsidR="00BA77F2">
        <w:t xml:space="preserve">and </w:t>
      </w:r>
      <w:r w:rsidR="0002533E">
        <w:t>physical security</w:t>
      </w:r>
      <w:r w:rsidR="00BA77F2">
        <w:t xml:space="preserve">. </w:t>
      </w:r>
      <w:r w:rsidR="003B476D">
        <w:t>On average</w:t>
      </w:r>
      <w:r w:rsidR="000C13C7">
        <w:t xml:space="preserve"> in 2017–</w:t>
      </w:r>
      <w:r w:rsidR="00646CA1">
        <w:t>18</w:t>
      </w:r>
      <w:r w:rsidR="003B476D">
        <w:t>, NCCEs</w:t>
      </w:r>
      <w:r w:rsidR="00A90196" w:rsidRPr="009C3C96">
        <w:t xml:space="preserve"> reported compliance with </w:t>
      </w:r>
      <w:r w:rsidR="00EE4053">
        <w:fldChar w:fldCharType="begin"/>
      </w:r>
      <w:r w:rsidR="00EE4053">
        <w:instrText xml:space="preserve"> LINK </w:instrText>
      </w:r>
      <w:r w:rsidR="005955A3">
        <w:instrText xml:space="preserve">Excel.SheetBinaryMacroEnabled.12 "C:\\Users\\gleadp\\AppData\\Roaming\\Hewlett-Packard\\HP TRIM\\Offline Records (AG)\\PSPF compliance reporting 2016-2017 - WOG reports\\PSPF Compliance reporting.XLSB" "Charts compliance by entity18!R2C16" </w:instrText>
      </w:r>
      <w:r w:rsidR="00EE4053">
        <w:instrText xml:space="preserve">\a \f 5 \h  \* MERGEFORMAT </w:instrText>
      </w:r>
      <w:r w:rsidR="00EE4053">
        <w:fldChar w:fldCharType="separate"/>
      </w:r>
      <w:r w:rsidR="005955A3" w:rsidRPr="005955A3">
        <w:t>92.17%</w:t>
      </w:r>
      <w:r w:rsidR="00EE4053">
        <w:fldChar w:fldCharType="end"/>
      </w:r>
      <w:r w:rsidR="00A90196" w:rsidRPr="009C3C96">
        <w:t xml:space="preserve"> of the PSPF</w:t>
      </w:r>
      <w:r w:rsidR="00A90196">
        <w:t xml:space="preserve">'s requirements, </w:t>
      </w:r>
      <w:r w:rsidR="00A90196" w:rsidRPr="009C3C96">
        <w:t>equivalent to 3</w:t>
      </w:r>
      <w:r w:rsidR="00CF7BB0">
        <w:t>3.2</w:t>
      </w:r>
      <w:r w:rsidR="00A90196" w:rsidRPr="009C3C96">
        <w:t xml:space="preserve"> of </w:t>
      </w:r>
      <w:r w:rsidR="00925592">
        <w:t xml:space="preserve">the </w:t>
      </w:r>
      <w:r w:rsidR="00A90196" w:rsidRPr="009C3C96">
        <w:t>36 PSPF requirements</w:t>
      </w:r>
      <w:r w:rsidR="00AE24F2">
        <w:t xml:space="preserve"> (shown as ‘2017–18 compliance average’ in </w:t>
      </w:r>
      <w:r w:rsidR="00AE24F2" w:rsidRPr="00086078">
        <w:t>Figures 3</w:t>
      </w:r>
      <w:r w:rsidR="00086078" w:rsidRPr="00086078">
        <w:t>,</w:t>
      </w:r>
      <w:r w:rsidR="00AE24F2" w:rsidRPr="00086078">
        <w:t xml:space="preserve"> 4</w:t>
      </w:r>
      <w:r w:rsidR="00086078" w:rsidRPr="00086078">
        <w:t>,</w:t>
      </w:r>
      <w:r w:rsidR="00086078">
        <w:t xml:space="preserve"> 5, 6 and 7</w:t>
      </w:r>
      <w:r w:rsidR="00AE24F2">
        <w:t>)</w:t>
      </w:r>
      <w:r w:rsidR="00A90196" w:rsidRPr="009C3C96">
        <w:t xml:space="preserve">. </w:t>
      </w:r>
      <w:r w:rsidR="00CF7BB0">
        <w:t>T</w:t>
      </w:r>
      <w:r w:rsidR="00A90196">
        <w:t xml:space="preserve">his </w:t>
      </w:r>
      <w:r w:rsidR="00BA77F2">
        <w:t xml:space="preserve">builds on the </w:t>
      </w:r>
      <w:r w:rsidR="00A90196" w:rsidRPr="009C3C96">
        <w:t>2016</w:t>
      </w:r>
      <w:r w:rsidR="00A90196">
        <w:t>–</w:t>
      </w:r>
      <w:r w:rsidR="00A90196" w:rsidRPr="009C3C96">
        <w:t>17</w:t>
      </w:r>
      <w:r w:rsidR="004B72C5">
        <w:t xml:space="preserve"> average</w:t>
      </w:r>
      <w:r w:rsidR="004F0CAB">
        <w:t xml:space="preserve"> </w:t>
      </w:r>
      <w:r w:rsidR="00A90196" w:rsidRPr="009C3C96">
        <w:t xml:space="preserve">compliance </w:t>
      </w:r>
      <w:r w:rsidR="004B72C5">
        <w:t xml:space="preserve">of </w:t>
      </w:r>
      <w:r w:rsidR="00326E97">
        <w:fldChar w:fldCharType="begin"/>
      </w:r>
      <w:r w:rsidR="00326E97">
        <w:instrText xml:space="preserve"> LINK Excel.SheetBinaryMacroEnabled.12 "C:\\Users\\gleadp\\AppData\\Roaming\\Hewlett-Packard\\HP TRIM\\Offline Records (AG)\\PSPF compliance reporting 2016-2017 - WOG reports\\PSPF Compliance reporting.XLSB" "Charts compliance by entity18!R2C15" \a \f 5 \h  \* MERGEFORMAT </w:instrText>
      </w:r>
      <w:r w:rsidR="00326E97">
        <w:fldChar w:fldCharType="separate"/>
      </w:r>
      <w:r w:rsidR="00326E97" w:rsidRPr="00EE4053">
        <w:t>91.22%</w:t>
      </w:r>
      <w:r w:rsidR="00326E97">
        <w:fldChar w:fldCharType="end"/>
      </w:r>
      <w:r w:rsidR="00BA77F2">
        <w:t xml:space="preserve"> by all NCCEs</w:t>
      </w:r>
      <w:r w:rsidR="006B0712">
        <w:t>,</w:t>
      </w:r>
      <w:r w:rsidR="00167B62">
        <w:t xml:space="preserve"> equivalent to</w:t>
      </w:r>
      <w:r w:rsidR="00326E97">
        <w:t xml:space="preserve"> </w:t>
      </w:r>
      <w:r w:rsidR="00167B62" w:rsidRPr="009C3C96">
        <w:t>3</w:t>
      </w:r>
      <w:r w:rsidR="00167B62">
        <w:t xml:space="preserve">2.8 </w:t>
      </w:r>
      <w:r w:rsidR="004B72C5">
        <w:t xml:space="preserve">of </w:t>
      </w:r>
      <w:r w:rsidR="00326E97">
        <w:t xml:space="preserve">the </w:t>
      </w:r>
      <w:r w:rsidR="004B72C5">
        <w:t xml:space="preserve">36 </w:t>
      </w:r>
      <w:r w:rsidR="004F0CAB">
        <w:t xml:space="preserve">PSPF </w:t>
      </w:r>
      <w:r w:rsidR="004B72C5">
        <w:t>requirements</w:t>
      </w:r>
      <w:r w:rsidR="00326E97">
        <w:t>.</w:t>
      </w:r>
      <w:r w:rsidR="00BA77F2">
        <w:t xml:space="preserve"> </w:t>
      </w:r>
    </w:p>
    <w:p w14:paraId="67A51E62" w14:textId="08BEF0B4" w:rsidR="00AA741A" w:rsidRPr="000C6BC3" w:rsidRDefault="00AA741A" w:rsidP="00463C44">
      <w:pPr>
        <w:pStyle w:val="Heading4"/>
      </w:pPr>
      <w:r w:rsidRPr="000C6BC3">
        <w:t>Key risk areas</w:t>
      </w:r>
    </w:p>
    <w:p w14:paraId="675D3D3A" w14:textId="2F2E9FDB" w:rsidR="00BC2215" w:rsidRDefault="00BE2397" w:rsidP="00F93F1A">
      <w:r>
        <w:t>Of the four focus areas for protective security, i</w:t>
      </w:r>
      <w:r w:rsidR="00543170">
        <w:t>nformation security remains an ongoing challenge for the Australian Government</w:t>
      </w:r>
      <w:r w:rsidR="00AA741A">
        <w:t xml:space="preserve">, with </w:t>
      </w:r>
      <w:r w:rsidR="005E07C5">
        <w:t xml:space="preserve">NCCEs </w:t>
      </w:r>
      <w:r w:rsidR="00F01A27">
        <w:t>reporting</w:t>
      </w:r>
      <w:r w:rsidR="005E07C5">
        <w:t xml:space="preserve"> an average compliance of 85.26% for</w:t>
      </w:r>
      <w:r w:rsidR="00AA741A">
        <w:t xml:space="preserve"> the PSPF </w:t>
      </w:r>
      <w:r w:rsidR="004F0CAB">
        <w:t xml:space="preserve">information </w:t>
      </w:r>
      <w:r w:rsidR="00AA741A">
        <w:t>requirements. Of note, in 2017</w:t>
      </w:r>
      <w:r w:rsidR="000C13C7">
        <w:t>–1</w:t>
      </w:r>
      <w:r w:rsidR="00AA741A">
        <w:t xml:space="preserve">8, </w:t>
      </w:r>
      <w:r>
        <w:t xml:space="preserve">there was a 5.19% reduction in </w:t>
      </w:r>
      <w:r w:rsidR="005E07C5">
        <w:t xml:space="preserve">average </w:t>
      </w:r>
      <w:r w:rsidR="00AA741A">
        <w:t>c</w:t>
      </w:r>
      <w:r w:rsidR="0035501A">
        <w:t xml:space="preserve">ompliance </w:t>
      </w:r>
      <w:r w:rsidR="002D1338">
        <w:t xml:space="preserve">levels </w:t>
      </w:r>
      <w:r w:rsidR="005E07C5">
        <w:t>with INFOSEC3. INFOSEC</w:t>
      </w:r>
      <w:r w:rsidR="00D608F4">
        <w:t>-</w:t>
      </w:r>
      <w:r w:rsidR="005E07C5">
        <w:t xml:space="preserve">3 </w:t>
      </w:r>
      <w:r w:rsidR="00A46CAA">
        <w:t>contains</w:t>
      </w:r>
      <w:r w:rsidR="008B0BFC">
        <w:t xml:space="preserve"> policies and procedures for the security classification and protectiv</w:t>
      </w:r>
      <w:r>
        <w:t xml:space="preserve">e control of </w:t>
      </w:r>
      <w:r w:rsidRPr="00752FE0">
        <w:t>information assets</w:t>
      </w:r>
      <w:r w:rsidR="003E4077">
        <w:t>. Issues identified by NCCEs included gaps in their approaches to ensuring</w:t>
      </w:r>
      <w:r w:rsidR="006410F9" w:rsidRPr="00752FE0">
        <w:t xml:space="preserve"> appropriate levels of protection are in place for information assets</w:t>
      </w:r>
      <w:r w:rsidR="003E4077">
        <w:t xml:space="preserve">, and </w:t>
      </w:r>
      <w:r w:rsidR="007612AE">
        <w:t>the introduction</w:t>
      </w:r>
      <w:r w:rsidR="003E4077">
        <w:t xml:space="preserve"> of new information assets </w:t>
      </w:r>
      <w:r w:rsidR="00655CCB">
        <w:t>(</w:t>
      </w:r>
      <w:r w:rsidR="003E4077">
        <w:t xml:space="preserve">for example, introduction of </w:t>
      </w:r>
      <w:r w:rsidR="00655CCB">
        <w:t>tablets with voice and video conferencing capabilities)</w:t>
      </w:r>
      <w:r w:rsidR="003E4077">
        <w:t xml:space="preserve"> </w:t>
      </w:r>
      <w:r w:rsidR="008E369B">
        <w:t xml:space="preserve">requiring </w:t>
      </w:r>
      <w:r w:rsidR="004F0CAB">
        <w:t xml:space="preserve">entities </w:t>
      </w:r>
      <w:r w:rsidR="005E07C5">
        <w:t>to</w:t>
      </w:r>
      <w:r w:rsidR="006410F9">
        <w:t xml:space="preserve"> </w:t>
      </w:r>
      <w:r w:rsidR="005E07C5">
        <w:t>review their</w:t>
      </w:r>
      <w:r w:rsidR="008B0BFC">
        <w:t xml:space="preserve"> policies and procedures</w:t>
      </w:r>
      <w:r w:rsidR="003E4077">
        <w:t xml:space="preserve"> to ensure they have appropriate</w:t>
      </w:r>
      <w:r w:rsidR="008B0BFC">
        <w:t xml:space="preserve"> security classification and protective control of </w:t>
      </w:r>
      <w:r w:rsidR="00655CCB">
        <w:t xml:space="preserve">these </w:t>
      </w:r>
      <w:r w:rsidR="008B0BFC">
        <w:t>information assets</w:t>
      </w:r>
      <w:r w:rsidR="006410F9">
        <w:t>.</w:t>
      </w:r>
      <w:r w:rsidR="005C1764">
        <w:t xml:space="preserve"> </w:t>
      </w:r>
      <w:r w:rsidR="00BC2215" w:rsidRPr="005F74FD">
        <w:t>Th</w:t>
      </w:r>
      <w:r w:rsidR="00BC2215">
        <w:t xml:space="preserve">e affected entities reported that they have measures in place to mitigate </w:t>
      </w:r>
      <w:r w:rsidR="005E07C5">
        <w:t xml:space="preserve">the associated risks from the identified </w:t>
      </w:r>
      <w:r w:rsidR="00BC2215">
        <w:t>non-compliance.</w:t>
      </w:r>
    </w:p>
    <w:p w14:paraId="0E110BB7" w14:textId="20FE4791" w:rsidR="00543170" w:rsidRDefault="002D1338" w:rsidP="00F93F1A">
      <w:r>
        <w:t xml:space="preserve">Levels </w:t>
      </w:r>
      <w:r w:rsidR="00986923">
        <w:t>of c</w:t>
      </w:r>
      <w:r w:rsidR="00771F2B">
        <w:t>ompliance with INFOSEC</w:t>
      </w:r>
      <w:r w:rsidR="00D608F4">
        <w:t>-</w:t>
      </w:r>
      <w:r w:rsidR="00771F2B">
        <w:t>4</w:t>
      </w:r>
      <w:r w:rsidR="002F4061">
        <w:t xml:space="preserve">, </w:t>
      </w:r>
      <w:r w:rsidR="00771F2B" w:rsidRPr="00771F2B">
        <w:t xml:space="preserve">relating to cyber and ICT system security, including the Australian Signals Directorate’s </w:t>
      </w:r>
      <w:r w:rsidR="00771F2B" w:rsidRPr="00F93F1A">
        <w:rPr>
          <w:i/>
        </w:rPr>
        <w:t xml:space="preserve">Strategies to Mitigate Targeted Cyber </w:t>
      </w:r>
      <w:r w:rsidR="00EB2A30">
        <w:rPr>
          <w:i/>
        </w:rPr>
        <w:t>Incidents</w:t>
      </w:r>
      <w:r w:rsidR="002F4061">
        <w:t xml:space="preserve">, </w:t>
      </w:r>
      <w:r w:rsidR="00986923">
        <w:t>remain</w:t>
      </w:r>
      <w:r w:rsidR="00A666E2">
        <w:t xml:space="preserve"> relatively</w:t>
      </w:r>
      <w:r w:rsidR="002B4657">
        <w:t xml:space="preserve"> </w:t>
      </w:r>
      <w:r w:rsidR="00986923">
        <w:t>steady,</w:t>
      </w:r>
      <w:r w:rsidR="00A666E2">
        <w:t xml:space="preserve"> </w:t>
      </w:r>
      <w:r w:rsidR="002B4657">
        <w:t xml:space="preserve">but </w:t>
      </w:r>
      <w:r w:rsidR="009E7BF0">
        <w:t xml:space="preserve">continue to </w:t>
      </w:r>
      <w:r w:rsidR="00986923">
        <w:t>present</w:t>
      </w:r>
      <w:r w:rsidR="002B4657">
        <w:t xml:space="preserve"> a</w:t>
      </w:r>
      <w:r w:rsidR="00260378">
        <w:t>n</w:t>
      </w:r>
      <w:r w:rsidR="002B4657">
        <w:t xml:space="preserve"> area of ris</w:t>
      </w:r>
      <w:r w:rsidR="00C83AD7">
        <w:t>k for the Australian Government</w:t>
      </w:r>
      <w:r w:rsidR="00A666E2">
        <w:t xml:space="preserve"> </w:t>
      </w:r>
      <w:r w:rsidR="005955A3">
        <w:t xml:space="preserve">with </w:t>
      </w:r>
      <w:r w:rsidR="002F4061">
        <w:t xml:space="preserve">a level of compliance at </w:t>
      </w:r>
      <w:r w:rsidR="005955A3">
        <w:t>61.70</w:t>
      </w:r>
      <w:r w:rsidR="002B4657">
        <w:t>%.</w:t>
      </w:r>
    </w:p>
    <w:p w14:paraId="671B2C54" w14:textId="1B8E6BC4" w:rsidR="00077ADB" w:rsidRPr="00814D2B" w:rsidRDefault="00077ADB" w:rsidP="001B6D50"/>
    <w:p w14:paraId="1C8083EC" w14:textId="77777777" w:rsidR="005179F9" w:rsidRDefault="005179F9">
      <w:pPr>
        <w:spacing w:after="0" w:line="240" w:lineRule="auto"/>
        <w:rPr>
          <w:b/>
          <w:color w:val="4F81BD" w:themeColor="accent1"/>
          <w:sz w:val="20"/>
        </w:rPr>
      </w:pPr>
      <w:r>
        <w:rPr>
          <w:b/>
          <w:color w:val="4F81BD" w:themeColor="accent1"/>
          <w:sz w:val="20"/>
        </w:rPr>
        <w:br w:type="page"/>
      </w:r>
    </w:p>
    <w:p w14:paraId="3CE815C0" w14:textId="77777777" w:rsidR="00463C44" w:rsidRDefault="00463C44" w:rsidP="00463C44">
      <w:pPr>
        <w:pStyle w:val="Heading2"/>
      </w:pPr>
      <w:r>
        <w:t>Compliance by PSPF requirement</w:t>
      </w:r>
    </w:p>
    <w:p w14:paraId="2E9742FD" w14:textId="3E4E3047" w:rsidR="00463C44" w:rsidRPr="004F67B8" w:rsidRDefault="004D6320" w:rsidP="00463C44">
      <w:r>
        <w:rPr>
          <w:noProof/>
          <w:w w:val="100"/>
          <w:lang w:eastAsia="en-AU"/>
        </w:rPr>
        <mc:AlternateContent>
          <mc:Choice Requires="wps">
            <w:drawing>
              <wp:anchor distT="0" distB="180340" distL="114300" distR="114300" simplePos="0" relativeHeight="251676160" behindDoc="1" locked="0" layoutInCell="1" allowOverlap="1" wp14:anchorId="03D65EC9" wp14:editId="14C7A69B">
                <wp:simplePos x="0" y="0"/>
                <wp:positionH relativeFrom="margin">
                  <wp:posOffset>578485</wp:posOffset>
                </wp:positionH>
                <wp:positionV relativeFrom="paragraph">
                  <wp:posOffset>5271135</wp:posOffset>
                </wp:positionV>
                <wp:extent cx="5180400" cy="619200"/>
                <wp:effectExtent l="0" t="0" r="1270" b="9525"/>
                <wp:wrapTopAndBottom/>
                <wp:docPr id="16" name="Text Box 16"/>
                <wp:cNvGraphicFramePr/>
                <a:graphic xmlns:a="http://schemas.openxmlformats.org/drawingml/2006/main">
                  <a:graphicData uri="http://schemas.microsoft.com/office/word/2010/wordprocessingShape">
                    <wps:wsp>
                      <wps:cNvSpPr txBox="1"/>
                      <wps:spPr>
                        <a:xfrm>
                          <a:off x="0" y="0"/>
                          <a:ext cx="5180400" cy="619200"/>
                        </a:xfrm>
                        <a:prstGeom prst="rect">
                          <a:avLst/>
                        </a:prstGeom>
                        <a:solidFill>
                          <a:schemeClr val="tx2">
                            <a:lumMod val="20000"/>
                            <a:lumOff val="8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2008486" w14:textId="4FD34D47" w:rsidR="00CE6F1C" w:rsidRDefault="00CE6F1C" w:rsidP="005179F9">
                            <w:pPr>
                              <w:spacing w:after="120" w:line="240" w:lineRule="auto"/>
                              <w:rPr>
                                <w:sz w:val="18"/>
                              </w:rPr>
                            </w:pPr>
                            <w:r>
                              <w:rPr>
                                <w:sz w:val="18"/>
                              </w:rPr>
                              <w:t>Compliance with information security requirements remains the lowest across all four PSPF requirement areas, at 85.26%.</w:t>
                            </w:r>
                          </w:p>
                          <w:p w14:paraId="350A4B9B" w14:textId="4A9006EF" w:rsidR="00CE6F1C" w:rsidRPr="00B7209B" w:rsidRDefault="00CE6F1C" w:rsidP="005179F9">
                            <w:pPr>
                              <w:spacing w:after="120" w:line="240" w:lineRule="auto"/>
                              <w:rPr>
                                <w:sz w:val="18"/>
                              </w:rPr>
                            </w:pPr>
                            <w:r>
                              <w:rPr>
                                <w:sz w:val="18"/>
                              </w:rPr>
                              <w:t>NB: percentages in Figure 3 have been rounded to the nearest whole percentage.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3D65EC9" id="Text Box 16" o:spid="_x0000_s1031" type="#_x0000_t202" style="position:absolute;margin-left:45.55pt;margin-top:415.05pt;width:407.9pt;height:48.75pt;z-index:-251640320;visibility:visible;mso-wrap-style:square;mso-width-percent:0;mso-height-percent:0;mso-wrap-distance-left:9pt;mso-wrap-distance-top:0;mso-wrap-distance-right:9pt;mso-wrap-distance-bottom:14.2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" fillcolor="#c6d9f1 [671]" stroked="f" strokeweight=".5pt">
                <v:textbox>
                  <w:txbxContent>
                    <w:p w14:paraId="32008486" w14:textId="4FD34D47" w:rsidR="00CE6F1C" w:rsidRDefault="00CE6F1C" w:rsidP="005179F9">
                      <w:pPr>
                        <w:spacing w:after="120" w:line="240" w:lineRule="auto"/>
                        <w:rPr>
                          <w:sz w:val="18"/>
                        </w:rPr>
                      </w:pPr>
                      <w:r>
                        <w:rPr>
                          <w:sz w:val="18"/>
                        </w:rPr>
                        <w:t>Compliance with information security requirements remains the lowest across all four PSPF requirement areas, at 85.26%.</w:t>
                      </w:r>
                    </w:p>
                    <w:p w14:paraId="350A4B9B" w14:textId="4A9006EF" w:rsidR="00CE6F1C" w:rsidRPr="00B7209B" w:rsidRDefault="00CE6F1C" w:rsidP="005179F9">
                      <w:pPr>
                        <w:spacing w:after="120" w:line="240" w:lineRule="auto"/>
                        <w:rPr>
                          <w:sz w:val="18"/>
                        </w:rPr>
                      </w:pPr>
                      <w:r>
                        <w:rPr>
                          <w:sz w:val="18"/>
                        </w:rPr>
                        <w:t>NB: percentages in Figure 3 have been rounded to the nearest whole percentage.</w:t>
                      </w:r>
                    </w:p>
                  </w:txbxContent>
                </v:textbox>
                <w10:wrap type="topAndBottom" anchorx="margin"/>
              </v:shape>
            </w:pict>
          </mc:Fallback>
        </mc:AlternateContent>
      </w:r>
      <w:r>
        <w:rPr>
          <w:noProof/>
          <w:lang w:eastAsia="en-AU"/>
        </w:rPr>
        <w:drawing>
          <wp:anchor distT="0" distB="0" distL="114300" distR="114300" simplePos="0" relativeHeight="251783680" behindDoc="0" locked="0" layoutInCell="1" allowOverlap="1" wp14:anchorId="0CA5CD01" wp14:editId="05A46DD2">
            <wp:simplePos x="0" y="0"/>
            <wp:positionH relativeFrom="column">
              <wp:posOffset>197485</wp:posOffset>
            </wp:positionH>
            <wp:positionV relativeFrom="paragraph">
              <wp:posOffset>1510665</wp:posOffset>
            </wp:positionV>
            <wp:extent cx="5934075" cy="3626485"/>
            <wp:effectExtent l="0" t="0" r="9525" b="0"/>
            <wp:wrapTopAndBottom/>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34075" cy="3626485"/>
                    </a:xfrm>
                    <a:prstGeom prst="rect">
                      <a:avLst/>
                    </a:prstGeom>
                    <a:noFill/>
                    <a:ln>
                      <a:noFill/>
                    </a:ln>
                  </pic:spPr>
                </pic:pic>
              </a:graphicData>
            </a:graphic>
          </wp:anchor>
        </w:drawing>
      </w:r>
      <w:r>
        <w:rPr>
          <w:noProof/>
          <w:lang w:eastAsia="en-AU"/>
        </w:rPr>
        <mc:AlternateContent>
          <mc:Choice Requires="wps">
            <w:drawing>
              <wp:anchor distT="0" distB="0" distL="114300" distR="114300" simplePos="0" relativeHeight="251785728" behindDoc="0" locked="0" layoutInCell="1" allowOverlap="1" wp14:anchorId="4529491F" wp14:editId="4ADDB30F">
                <wp:simplePos x="0" y="0"/>
                <wp:positionH relativeFrom="column">
                  <wp:posOffset>197485</wp:posOffset>
                </wp:positionH>
                <wp:positionV relativeFrom="paragraph">
                  <wp:posOffset>1508760</wp:posOffset>
                </wp:positionV>
                <wp:extent cx="5934075" cy="190500"/>
                <wp:effectExtent l="0" t="0" r="9525" b="0"/>
                <wp:wrapTopAndBottom/>
                <wp:docPr id="13" name="Text Box 13"/>
                <wp:cNvGraphicFramePr/>
                <a:graphic xmlns:a="http://schemas.openxmlformats.org/drawingml/2006/main">
                  <a:graphicData uri="http://schemas.microsoft.com/office/word/2010/wordprocessingShape">
                    <wps:wsp>
                      <wps:cNvSpPr txBox="1"/>
                      <wps:spPr>
                        <a:xfrm>
                          <a:off x="0" y="0"/>
                          <a:ext cx="5934075" cy="190500"/>
                        </a:xfrm>
                        <a:prstGeom prst="rect">
                          <a:avLst/>
                        </a:prstGeom>
                        <a:solidFill>
                          <a:prstClr val="white"/>
                        </a:solidFill>
                        <a:ln>
                          <a:noFill/>
                        </a:ln>
                        <a:effectLst/>
                      </wps:spPr>
                      <wps:txbx>
                        <w:txbxContent>
                          <w:p w14:paraId="12DFE279" w14:textId="1015D614" w:rsidR="00CE6F1C" w:rsidRPr="004D6320" w:rsidRDefault="00CE6F1C" w:rsidP="004D6320">
                            <w:pPr>
                              <w:jc w:val="center"/>
                              <w:rPr>
                                <w:b/>
                                <w:color w:val="4F81BD" w:themeColor="accent1"/>
                                <w:sz w:val="20"/>
                              </w:rPr>
                            </w:pPr>
                            <w:r w:rsidRPr="004D6320">
                              <w:rPr>
                                <w:b/>
                                <w:color w:val="4F81BD" w:themeColor="accent1"/>
                                <w:sz w:val="20"/>
                              </w:rPr>
                              <w:t>Figure 3: Proportion of PSPF requirements that NCCEs complied with by requirement areas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shape w14:anchorId="4529491F" id="Text Box 13" o:spid="_x0000_s1032" type="#_x0000_t202" style="position:absolute;margin-left:15.55pt;margin-top:118.8pt;width:467.25pt;height:15pt;z-index:2517857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" stroked="f">
                <v:textbox inset="0,0,0,0">
                  <w:txbxContent>
                    <w:p w14:paraId="12DFE279" w14:textId="1015D614" w:rsidR="00CE6F1C" w:rsidRPr="004D6320" w:rsidRDefault="00CE6F1C" w:rsidP="004D6320">
                      <w:pPr>
                        <w:jc w:val="center"/>
                        <w:rPr>
                          <w:b/>
                          <w:color w:val="4F81BD" w:themeColor="accent1"/>
                          <w:sz w:val="20"/>
                        </w:rPr>
                      </w:pPr>
                      <w:r w:rsidRPr="004D6320">
                        <w:rPr>
                          <w:b/>
                          <w:color w:val="4F81BD" w:themeColor="accent1"/>
                          <w:sz w:val="20"/>
                        </w:rPr>
                        <w:t>Figure 3: Proportion of PSPF requirements that NCCEs complied with by requirement areas</w:t>
                      </w:r>
                    </w:p>
                  </w:txbxContent>
                </v:textbox>
                <w10:wrap type="topAndBottom"/>
              </v:shape>
            </w:pict>
          </mc:Fallback>
        </mc:AlternateContent>
      </w:r>
      <w:r w:rsidR="00463C44" w:rsidRPr="00C2490E">
        <w:t xml:space="preserve">The PSPF’s 36 mandatory requirements </w:t>
      </w:r>
      <w:r w:rsidR="00463C44">
        <w:t xml:space="preserve">cover </w:t>
      </w:r>
      <w:r w:rsidR="00463C44" w:rsidRPr="00C2490E">
        <w:t>four key areas: security governance, information security</w:t>
      </w:r>
      <w:r w:rsidR="00463C44">
        <w:t xml:space="preserve">, </w:t>
      </w:r>
      <w:r w:rsidR="00463C44" w:rsidRPr="00C2490E">
        <w:t xml:space="preserve">personnel security, and physical security. </w:t>
      </w:r>
      <w:r w:rsidR="00463C44">
        <w:t xml:space="preserve">This report provides an update on average compliance rates for all NCCEs across each of the four key areas and then further detail on compliance against each of the 36 individual requirements (which is primarily set out in the annexure). </w:t>
      </w:r>
      <w:r w:rsidR="00463C44" w:rsidRPr="00C2490E">
        <w:t xml:space="preserve">The level of </w:t>
      </w:r>
      <w:r w:rsidR="00463C44">
        <w:t xml:space="preserve">NCCE </w:t>
      </w:r>
      <w:r w:rsidR="00463C44" w:rsidRPr="00C2490E">
        <w:t xml:space="preserve">compliance across all four </w:t>
      </w:r>
      <w:r w:rsidR="00463C44">
        <w:t>key</w:t>
      </w:r>
      <w:r w:rsidR="00463C44" w:rsidRPr="00C2490E">
        <w:t xml:space="preserve"> areas is generally high.</w:t>
      </w:r>
      <w:r w:rsidR="00463C44">
        <w:t xml:space="preserve"> Compliance with information security policy has the lowest level of compliance at </w:t>
      </w:r>
      <w:r w:rsidR="00463C44">
        <w:fldChar w:fldCharType="begin"/>
      </w:r>
      <w:r w:rsidR="00463C44">
        <w:instrText xml:space="preserve"> LINK Excel.SheetBinaryMacroEnabled.12 "C:\\Users\\gleadp\\AppData\\Roaming\\Hewlett-Packard\\HP TRIM\\Offline Records (AG)\\PSPF compliance reporting 2016-2017 - WOG reports\\PSPF Compliance reporting.XLSB" "Charts compliance by contro18!R4C13" \a \f 5 \h  \* MERGEFORMAT </w:instrText>
      </w:r>
      <w:r w:rsidR="00463C44">
        <w:fldChar w:fldCharType="separate"/>
      </w:r>
      <w:r w:rsidR="00463C44" w:rsidRPr="002A433E">
        <w:t>85.26%</w:t>
      </w:r>
      <w:r w:rsidR="00463C44">
        <w:fldChar w:fldCharType="end"/>
      </w:r>
      <w:r w:rsidR="00463C44">
        <w:t xml:space="preserve"> of the total 7 information security requirements. This equates to an average entity compliance with 6 of the total 7 information security requirements. </w:t>
      </w:r>
    </w:p>
    <w:p w14:paraId="06AE219D" w14:textId="50498C2E" w:rsidR="00CF2A14" w:rsidRDefault="00CF2A14" w:rsidP="00CF2A14">
      <w:pPr>
        <w:pStyle w:val="Heading3"/>
      </w:pPr>
      <w:r>
        <w:t>Security governance</w:t>
      </w:r>
    </w:p>
    <w:p w14:paraId="614C3DF4" w14:textId="57025408" w:rsidR="00CF2A14" w:rsidRDefault="00CF2A14" w:rsidP="00CF2A14">
      <w:r>
        <w:t xml:space="preserve">Compliance with PSPF security governance requirements remained high, a trend consistent with past reporting periods. The average level of compliance across all 13 security governance requirements was higher than any other area </w:t>
      </w:r>
      <w:r w:rsidR="004F0CAB">
        <w:t xml:space="preserve">in </w:t>
      </w:r>
      <w:r>
        <w:t>the 2017</w:t>
      </w:r>
      <w:r w:rsidR="000C13C7">
        <w:t>–1</w:t>
      </w:r>
      <w:r>
        <w:t>8 reporting period. The average level of compliance increased from 92.14%</w:t>
      </w:r>
      <w:r w:rsidR="00F17C49">
        <w:t xml:space="preserve"> </w:t>
      </w:r>
      <w:r>
        <w:t>in 2016–17</w:t>
      </w:r>
      <w:r w:rsidR="00C76052">
        <w:t>, equating to an average compliance with</w:t>
      </w:r>
      <w:r>
        <w:t xml:space="preserve"> </w:t>
      </w:r>
      <w:r w:rsidR="00C76052">
        <w:t>12 of the 13 security governance</w:t>
      </w:r>
      <w:r w:rsidR="001041B0">
        <w:t xml:space="preserve"> requirements</w:t>
      </w:r>
      <w:r w:rsidR="00C76052">
        <w:t xml:space="preserve"> </w:t>
      </w:r>
      <w:r>
        <w:t xml:space="preserve">to 94.11% in 2017–18, equating to </w:t>
      </w:r>
      <w:r w:rsidR="00C76052">
        <w:t xml:space="preserve">an average </w:t>
      </w:r>
      <w:r>
        <w:t xml:space="preserve">compliance with 12.2 of the 13 </w:t>
      </w:r>
      <w:r w:rsidR="004F0CAB">
        <w:t xml:space="preserve">security </w:t>
      </w:r>
      <w:r w:rsidR="001041B0">
        <w:t xml:space="preserve">governance </w:t>
      </w:r>
      <w:r>
        <w:t>requirements.</w:t>
      </w:r>
    </w:p>
    <w:p w14:paraId="274B3E6B" w14:textId="3996CAE8" w:rsidR="005B7130" w:rsidRPr="00D608F4" w:rsidRDefault="00CF2A14" w:rsidP="00CF2A14">
      <w:r w:rsidRPr="00D608F4">
        <w:t xml:space="preserve">Of note, </w:t>
      </w:r>
      <w:r w:rsidR="00E75FD4" w:rsidRPr="00D608F4">
        <w:t>all</w:t>
      </w:r>
      <w:r w:rsidR="0008138D" w:rsidRPr="00D608F4">
        <w:t xml:space="preserve"> </w:t>
      </w:r>
      <w:r w:rsidR="00583FC7" w:rsidRPr="00D608F4">
        <w:t>NCCEs</w:t>
      </w:r>
      <w:r w:rsidR="001041B0" w:rsidRPr="00D608F4">
        <w:t xml:space="preserve"> reported </w:t>
      </w:r>
      <w:r w:rsidRPr="00D608F4">
        <w:t>100%</w:t>
      </w:r>
      <w:r w:rsidR="00830A5E" w:rsidRPr="00D608F4">
        <w:t xml:space="preserve"> compliance </w:t>
      </w:r>
      <w:r w:rsidR="00583FC7" w:rsidRPr="00D608F4">
        <w:t xml:space="preserve">with three PSPF requirements, all </w:t>
      </w:r>
      <w:r w:rsidR="003705A1" w:rsidRPr="00D608F4">
        <w:t>of which</w:t>
      </w:r>
      <w:r w:rsidR="008E369B" w:rsidRPr="00D608F4">
        <w:t xml:space="preserve"> </w:t>
      </w:r>
      <w:r w:rsidR="002965B1" w:rsidRPr="00D608F4">
        <w:t xml:space="preserve">were </w:t>
      </w:r>
      <w:r w:rsidR="00583FC7" w:rsidRPr="00D608F4">
        <w:t>security governance</w:t>
      </w:r>
      <w:r w:rsidR="003705A1" w:rsidRPr="00D608F4">
        <w:t xml:space="preserve"> requirements</w:t>
      </w:r>
      <w:r w:rsidR="00583FC7" w:rsidRPr="00D608F4">
        <w:t xml:space="preserve">. These </w:t>
      </w:r>
      <w:r w:rsidR="00E75FD4" w:rsidRPr="00D608F4">
        <w:t xml:space="preserve">requirements </w:t>
      </w:r>
      <w:r w:rsidR="005B7130" w:rsidRPr="00D608F4">
        <w:t>we</w:t>
      </w:r>
      <w:r w:rsidR="003705A1" w:rsidRPr="00D608F4">
        <w:t>re</w:t>
      </w:r>
      <w:r w:rsidR="00F25608" w:rsidRPr="00D608F4">
        <w:t>:</w:t>
      </w:r>
      <w:r w:rsidR="005179F9" w:rsidRPr="00D608F4">
        <w:t xml:space="preserve"> </w:t>
      </w:r>
    </w:p>
    <w:p w14:paraId="542683CA" w14:textId="358A385A" w:rsidR="005B7130" w:rsidRPr="00D608F4" w:rsidRDefault="00583FC7" w:rsidP="005B7130">
      <w:pPr>
        <w:pStyle w:val="ListParagraph"/>
        <w:numPr>
          <w:ilvl w:val="0"/>
          <w:numId w:val="23"/>
        </w:numPr>
      </w:pPr>
      <w:r w:rsidRPr="00D608F4">
        <w:t>GOV</w:t>
      </w:r>
      <w:r w:rsidR="00686698" w:rsidRPr="00D608F4">
        <w:t>-</w:t>
      </w:r>
      <w:r w:rsidR="005B7130" w:rsidRPr="00D608F4">
        <w:t xml:space="preserve">2 </w:t>
      </w:r>
      <w:r w:rsidRPr="00D608F4">
        <w:t>relating to</w:t>
      </w:r>
      <w:r w:rsidR="005B7130" w:rsidRPr="00D608F4">
        <w:t xml:space="preserve"> the requirement to</w:t>
      </w:r>
      <w:r w:rsidRPr="00D608F4">
        <w:t xml:space="preserve"> </w:t>
      </w:r>
      <w:r w:rsidR="00E75FD4" w:rsidRPr="00D608F4">
        <w:t>appoint</w:t>
      </w:r>
      <w:r w:rsidR="00B412C4" w:rsidRPr="00D608F4">
        <w:t xml:space="preserve"> an entity security executive and supporting advisers </w:t>
      </w:r>
    </w:p>
    <w:p w14:paraId="20614275" w14:textId="5A41B699" w:rsidR="005B7130" w:rsidRPr="00D608F4" w:rsidRDefault="00830A5E" w:rsidP="00CA2635">
      <w:pPr>
        <w:pStyle w:val="ListParagraph"/>
        <w:numPr>
          <w:ilvl w:val="0"/>
          <w:numId w:val="23"/>
        </w:numPr>
      </w:pPr>
      <w:r w:rsidRPr="00D608F4">
        <w:t>GOV</w:t>
      </w:r>
      <w:r w:rsidRPr="00D608F4">
        <w:noBreakHyphen/>
        <w:t>7</w:t>
      </w:r>
      <w:r w:rsidR="00CF2A14" w:rsidRPr="00D608F4">
        <w:t xml:space="preserve"> relating to </w:t>
      </w:r>
      <w:r w:rsidR="005B7130" w:rsidRPr="00D608F4">
        <w:t xml:space="preserve">the obligation to undertake </w:t>
      </w:r>
      <w:r w:rsidR="00CF2A14" w:rsidRPr="00D608F4">
        <w:t xml:space="preserve">annual PSPF compliance reporting, and </w:t>
      </w:r>
    </w:p>
    <w:p w14:paraId="6AB04839" w14:textId="176982FD" w:rsidR="005B7130" w:rsidRPr="00D608F4" w:rsidRDefault="005B7130" w:rsidP="00CA2635">
      <w:pPr>
        <w:pStyle w:val="ListParagraph"/>
        <w:numPr>
          <w:ilvl w:val="0"/>
          <w:numId w:val="23"/>
        </w:numPr>
      </w:pPr>
      <w:r w:rsidRPr="00D608F4">
        <w:t>GOV</w:t>
      </w:r>
      <w:r w:rsidRPr="00D608F4">
        <w:noBreakHyphen/>
        <w:t>13</w:t>
      </w:r>
      <w:r w:rsidR="00830A5E" w:rsidRPr="00D608F4">
        <w:t xml:space="preserve"> </w:t>
      </w:r>
      <w:r w:rsidR="00CF2A14" w:rsidRPr="00D608F4">
        <w:t>relating to</w:t>
      </w:r>
      <w:r w:rsidRPr="00D608F4">
        <w:t xml:space="preserve"> implementing appropriate </w:t>
      </w:r>
      <w:r w:rsidR="00CF2A14" w:rsidRPr="00D608F4">
        <w:t>fraud control</w:t>
      </w:r>
      <w:r w:rsidRPr="00D608F4">
        <w:t>s</w:t>
      </w:r>
      <w:r w:rsidR="00CF2A14" w:rsidRPr="00D608F4">
        <w:t xml:space="preserve">. </w:t>
      </w:r>
    </w:p>
    <w:p w14:paraId="44F1A324" w14:textId="73564DC3" w:rsidR="00CF2A14" w:rsidRDefault="001041B0" w:rsidP="005B7130">
      <w:r w:rsidRPr="00FC6FEF">
        <w:t>Overall, t</w:t>
      </w:r>
      <w:r w:rsidR="00CF2A14" w:rsidRPr="00FC6FEF">
        <w:t xml:space="preserve">he level of compliance remained stable or improved across all 13 </w:t>
      </w:r>
      <w:r w:rsidR="00E75FD4" w:rsidRPr="00FC6FEF">
        <w:t xml:space="preserve">security </w:t>
      </w:r>
      <w:r w:rsidR="00CF2A14" w:rsidRPr="00FC6FEF">
        <w:t>governance requirements, including a 5.42% increase in the level of compliance with GOV</w:t>
      </w:r>
      <w:r w:rsidR="00CF2A14" w:rsidRPr="00FC6FEF">
        <w:noBreakHyphen/>
        <w:t>11, the policy on establishing and maintaining an appropriate business continuity plan.</w:t>
      </w:r>
      <w:r w:rsidR="00B412C4" w:rsidRPr="00FC6FEF">
        <w:rPr>
          <w:rFonts w:cs="Times New Roman"/>
          <w:w w:val="100"/>
          <w:kern w:val="0"/>
          <w:sz w:val="18"/>
        </w:rPr>
        <w:t xml:space="preserve"> </w:t>
      </w:r>
      <w:r w:rsidR="00B412C4" w:rsidRPr="00FC6FEF">
        <w:t xml:space="preserve">This increase in </w:t>
      </w:r>
      <w:r w:rsidR="00E75FD4" w:rsidRPr="00FC6FEF">
        <w:t xml:space="preserve">GOV-11 </w:t>
      </w:r>
      <w:r w:rsidR="005445F7" w:rsidRPr="00FC6FEF">
        <w:t xml:space="preserve">compliance in </w:t>
      </w:r>
      <w:r w:rsidR="00B412C4" w:rsidRPr="00FC6FEF">
        <w:t>the 2017</w:t>
      </w:r>
      <w:r w:rsidR="000C13C7">
        <w:t>–1</w:t>
      </w:r>
      <w:r w:rsidR="00B412C4" w:rsidRPr="00FC6FEF">
        <w:t xml:space="preserve">8 </w:t>
      </w:r>
      <w:proofErr w:type="gramStart"/>
      <w:r w:rsidR="00B412C4" w:rsidRPr="00FC6FEF">
        <w:t>period</w:t>
      </w:r>
      <w:proofErr w:type="gramEnd"/>
      <w:r w:rsidR="00B412C4" w:rsidRPr="00FC6FEF">
        <w:t xml:space="preserve"> </w:t>
      </w:r>
      <w:r w:rsidR="008E369B" w:rsidRPr="00FC6FEF">
        <w:t>can be</w:t>
      </w:r>
      <w:r w:rsidR="00B412C4" w:rsidRPr="00FC6FEF">
        <w:t xml:space="preserve"> attributed to seven of the nine</w:t>
      </w:r>
      <w:r w:rsidR="00E75FD4" w:rsidRPr="00FC6FEF">
        <w:t xml:space="preserve"> entities reporting non-compliance</w:t>
      </w:r>
      <w:r w:rsidR="00B412C4" w:rsidRPr="00FC6FEF">
        <w:t xml:space="preserve"> </w:t>
      </w:r>
      <w:r w:rsidR="00E75FD4" w:rsidRPr="00FC6FEF">
        <w:t xml:space="preserve">with GOV-11 in </w:t>
      </w:r>
      <w:r w:rsidR="00B412C4" w:rsidRPr="00FC6FEF">
        <w:t>2016</w:t>
      </w:r>
      <w:r w:rsidR="000C13C7">
        <w:t>–1</w:t>
      </w:r>
      <w:r w:rsidR="00B412C4" w:rsidRPr="00FC6FEF">
        <w:t>7 implementing B</w:t>
      </w:r>
      <w:r w:rsidR="005B7130" w:rsidRPr="00FC6FEF">
        <w:t xml:space="preserve">usiness </w:t>
      </w:r>
      <w:r w:rsidR="00B412C4" w:rsidRPr="00FC6FEF">
        <w:t>C</w:t>
      </w:r>
      <w:r w:rsidR="005B7130" w:rsidRPr="00FC6FEF">
        <w:t xml:space="preserve">ontinuity </w:t>
      </w:r>
      <w:r w:rsidR="00B412C4" w:rsidRPr="00FC6FEF">
        <w:t>M</w:t>
      </w:r>
      <w:r w:rsidR="00C960EE" w:rsidRPr="00FC6FEF">
        <w:t>anagement</w:t>
      </w:r>
      <w:r w:rsidR="00B412C4" w:rsidRPr="00FC6FEF">
        <w:t xml:space="preserve"> programs </w:t>
      </w:r>
      <w:r w:rsidR="00E75FD4" w:rsidRPr="00FC6FEF">
        <w:t>during 2017</w:t>
      </w:r>
      <w:r w:rsidR="000C13C7">
        <w:t>–1</w:t>
      </w:r>
      <w:r w:rsidR="00E75FD4" w:rsidRPr="00FC6FEF">
        <w:t>8</w:t>
      </w:r>
      <w:r w:rsidR="00B412C4" w:rsidRPr="00FC6FEF">
        <w:t>.</w:t>
      </w:r>
    </w:p>
    <w:p w14:paraId="2EFE89FB" w14:textId="77777777" w:rsidR="00CF2A14" w:rsidRDefault="00CF2A14" w:rsidP="00CF2A14">
      <w:pPr>
        <w:pStyle w:val="Heading3"/>
      </w:pPr>
      <w:r>
        <w:t>Personnel security</w:t>
      </w:r>
    </w:p>
    <w:p w14:paraId="76002E88" w14:textId="76B8BED7" w:rsidR="00CF2A14" w:rsidRDefault="00CF2A14" w:rsidP="00CF2A14">
      <w:r>
        <w:t xml:space="preserve">There was a marginal increase in the overall level of compliance with personnel security requirements, </w:t>
      </w:r>
      <w:r w:rsidR="00F17C49">
        <w:t>improving from 92.59% compliance</w:t>
      </w:r>
      <w:r w:rsidR="00550749">
        <w:t>,</w:t>
      </w:r>
      <w:r w:rsidR="00F17C49">
        <w:t xml:space="preserve"> equating to </w:t>
      </w:r>
      <w:r>
        <w:t xml:space="preserve">an average of 8.3 of the 9 personnel security requirements in 2016–17 to </w:t>
      </w:r>
      <w:r w:rsidR="00F17C49">
        <w:t>93.97% compliance</w:t>
      </w:r>
      <w:r w:rsidR="00550749">
        <w:t>,</w:t>
      </w:r>
      <w:r w:rsidR="00F17C49">
        <w:t xml:space="preserve"> equating to </w:t>
      </w:r>
      <w:r w:rsidR="00996F04">
        <w:t xml:space="preserve">an average of </w:t>
      </w:r>
      <w:r>
        <w:t xml:space="preserve">8.5 </w:t>
      </w:r>
      <w:r w:rsidR="001041B0">
        <w:t xml:space="preserve">of the 9 </w:t>
      </w:r>
      <w:r w:rsidR="00F17C49">
        <w:t xml:space="preserve">personnel security requirements </w:t>
      </w:r>
      <w:r>
        <w:t>for the 2017</w:t>
      </w:r>
      <w:r w:rsidR="000C13C7">
        <w:t>–1</w:t>
      </w:r>
      <w:r>
        <w:t xml:space="preserve">8 reporting period. Compliance </w:t>
      </w:r>
      <w:r w:rsidR="002D1338">
        <w:t xml:space="preserve">levels </w:t>
      </w:r>
      <w:r>
        <w:t>for PERSEC</w:t>
      </w:r>
      <w:r>
        <w:noBreakHyphen/>
        <w:t>7, outlin</w:t>
      </w:r>
      <w:r w:rsidR="00830A5E">
        <w:t>ing</w:t>
      </w:r>
      <w:r>
        <w:t xml:space="preserve"> the policy on security clearances and procedures, remained the lowest across all nine personnel security requirements at 89.36%, which is consistent with trends across the compliance </w:t>
      </w:r>
      <w:r w:rsidR="00996F04">
        <w:t xml:space="preserve">levels </w:t>
      </w:r>
      <w:r>
        <w:t>with PERSEC policies over the last four reporting periods.</w:t>
      </w:r>
    </w:p>
    <w:p w14:paraId="00061B22" w14:textId="77777777" w:rsidR="00CF2A14" w:rsidRDefault="00CF2A14" w:rsidP="00CF2A14">
      <w:pPr>
        <w:pStyle w:val="Heading4"/>
      </w:pPr>
      <w:r>
        <w:t>Personnel security waivers</w:t>
      </w:r>
    </w:p>
    <w:p w14:paraId="054BA745" w14:textId="1A23E37F" w:rsidR="00CF2A14" w:rsidRDefault="00CF2A14" w:rsidP="00CF2A14">
      <w:r>
        <w:t xml:space="preserve">Access to classified resources is subject to personnel successfully undergoing a vetting process and holding a valid security clearance. Where </w:t>
      </w:r>
      <w:r w:rsidR="00C949F2">
        <w:t xml:space="preserve">security </w:t>
      </w:r>
      <w:r>
        <w:t xml:space="preserve">clearance </w:t>
      </w:r>
      <w:r w:rsidR="00C949F2">
        <w:t xml:space="preserve">eligibility </w:t>
      </w:r>
      <w:r>
        <w:t>requirements are waived, government may face increased malicious insider risks. There are two types of waiver:</w:t>
      </w:r>
    </w:p>
    <w:p w14:paraId="425CB339" w14:textId="77777777" w:rsidR="00CF2A14" w:rsidRDefault="00CF2A14" w:rsidP="00CF2A14">
      <w:pPr>
        <w:pStyle w:val="ListParagraph"/>
        <w:numPr>
          <w:ilvl w:val="0"/>
          <w:numId w:val="6"/>
        </w:numPr>
      </w:pPr>
      <w:r>
        <w:t xml:space="preserve">waiver of the </w:t>
      </w:r>
      <w:r w:rsidRPr="00E50DF6">
        <w:rPr>
          <w:b/>
        </w:rPr>
        <w:t>Australian citizenship requirement</w:t>
      </w:r>
      <w:r>
        <w:t>, and</w:t>
      </w:r>
    </w:p>
    <w:p w14:paraId="795458D4" w14:textId="77777777" w:rsidR="00CF2A14" w:rsidRDefault="00CF2A14" w:rsidP="00CF2A14">
      <w:pPr>
        <w:pStyle w:val="ListParagraph"/>
        <w:numPr>
          <w:ilvl w:val="0"/>
          <w:numId w:val="6"/>
        </w:numPr>
      </w:pPr>
      <w:proofErr w:type="gramStart"/>
      <w:r>
        <w:t>waiver</w:t>
      </w:r>
      <w:proofErr w:type="gramEnd"/>
      <w:r>
        <w:t xml:space="preserve"> of the </w:t>
      </w:r>
      <w:r w:rsidRPr="00E50DF6">
        <w:rPr>
          <w:b/>
        </w:rPr>
        <w:t>checkable background requirement</w:t>
      </w:r>
      <w:r>
        <w:t>.</w:t>
      </w:r>
    </w:p>
    <w:p w14:paraId="609D0714" w14:textId="0D3FD1BF" w:rsidR="00F160AD" w:rsidRDefault="00F160AD" w:rsidP="00CF2A14">
      <w:r w:rsidRPr="00F160AD">
        <w:t xml:space="preserve">A waiver can only be issued if there is an exceptional business requirement and the entity has conducted a risk assessment. An eligibility waiver is role-specific, non-transferable, finite and subject to the annual review. Security clearances granted on the basis of </w:t>
      </w:r>
      <w:r w:rsidR="00C949F2">
        <w:t xml:space="preserve">a citizenship or </w:t>
      </w:r>
      <w:r w:rsidRPr="00F160AD">
        <w:t xml:space="preserve">checkable background waiver cannot be transferred to a new position or entity unless the exceptional business requirement and risk assessment provisions are undertaken and accepted for the new position or entity. </w:t>
      </w:r>
    </w:p>
    <w:p w14:paraId="430ED9DE" w14:textId="25B7C310" w:rsidR="00015BB2" w:rsidRDefault="00CF2A14" w:rsidP="00CF2A14">
      <w:r>
        <w:t>The number of citizenship and checkable background waivers decreased substantially from the previous reporting period.</w:t>
      </w:r>
      <w:r w:rsidRPr="003718E8">
        <w:t xml:space="preserve"> </w:t>
      </w:r>
      <w:r>
        <w:t>Clearance holders wit</w:t>
      </w:r>
      <w:r w:rsidR="00732795">
        <w:t>h a waiver make up less than 0.1</w:t>
      </w:r>
      <w:r>
        <w:t xml:space="preserve">% of the </w:t>
      </w:r>
      <w:r w:rsidR="00C949F2">
        <w:t xml:space="preserve">approximately </w:t>
      </w:r>
      <w:r w:rsidR="00732795">
        <w:t>400,000</w:t>
      </w:r>
      <w:r>
        <w:t xml:space="preserve"> active clearances across entities.</w:t>
      </w:r>
      <w:r>
        <w:rPr>
          <w:rStyle w:val="FootnoteReference"/>
        </w:rPr>
        <w:footnoteReference w:id="2"/>
      </w:r>
    </w:p>
    <w:p w14:paraId="50C4D3B6" w14:textId="0B6E79DC" w:rsidR="00CF2A14" w:rsidRPr="007D4A4B" w:rsidRDefault="00CF2A14" w:rsidP="007D4A4B">
      <w:pPr>
        <w:pStyle w:val="Heading5"/>
      </w:pPr>
      <w:r w:rsidRPr="007D4A4B">
        <w:t>Waivers of the Australian citizenship requirement</w:t>
      </w:r>
    </w:p>
    <w:tbl>
      <w:tblPr>
        <w:tblStyle w:val="TableGrid"/>
        <w:tblpPr w:leftFromText="180" w:rightFromText="180" w:vertAnchor="text" w:horzAnchor="margin" w:tblpXSpec="right" w:tblpY="107"/>
        <w:tblW w:w="4114" w:type="dxa"/>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1843"/>
        <w:gridCol w:w="1276"/>
        <w:gridCol w:w="995"/>
      </w:tblGrid>
      <w:tr w:rsidR="00615D73" w:rsidRPr="00717FDE" w14:paraId="51809764" w14:textId="77777777" w:rsidTr="007D4A4B">
        <w:trPr>
          <w:trHeight w:val="464"/>
        </w:trPr>
        <w:tc>
          <w:tcPr>
            <w:tcW w:w="1843" w:type="dxa"/>
            <w:noWrap/>
            <w:vAlign w:val="bottom"/>
            <w:hideMark/>
          </w:tcPr>
          <w:p w14:paraId="1CF28F7E" w14:textId="1D47700A" w:rsidR="00615D73" w:rsidRPr="007D4A4B" w:rsidRDefault="00A069DA" w:rsidP="007D4A4B">
            <w:pPr>
              <w:spacing w:after="0" w:line="240" w:lineRule="auto"/>
            </w:pPr>
            <w:r w:rsidRPr="007D4A4B">
              <w:rPr>
                <w:noProof/>
                <w:lang w:eastAsia="en-AU"/>
              </w:rPr>
              <mc:AlternateContent>
                <mc:Choice Requires="wps">
                  <w:drawing>
                    <wp:anchor distT="0" distB="0" distL="114300" distR="114300" simplePos="0" relativeHeight="251664896" behindDoc="0" locked="0" layoutInCell="1" allowOverlap="1" wp14:anchorId="67A9ABB9" wp14:editId="1BC1EA61">
                      <wp:simplePos x="0" y="0"/>
                      <wp:positionH relativeFrom="column">
                        <wp:posOffset>-113030</wp:posOffset>
                      </wp:positionH>
                      <wp:positionV relativeFrom="paragraph">
                        <wp:posOffset>-377825</wp:posOffset>
                      </wp:positionV>
                      <wp:extent cx="2743200" cy="266700"/>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74320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F858CAE" w14:textId="6AFA530B" w:rsidR="00CE6F1C" w:rsidRPr="007D4A4B" w:rsidRDefault="00CE6F1C" w:rsidP="007D4A4B">
                                  <w:pPr>
                                    <w:jc w:val="center"/>
                                    <w:rPr>
                                      <w:b/>
                                      <w:color w:val="4F81BD" w:themeColor="accent1"/>
                                      <w:sz w:val="20"/>
                                    </w:rPr>
                                  </w:pPr>
                                  <w:r w:rsidRPr="007D4A4B">
                                    <w:rPr>
                                      <w:b/>
                                      <w:color w:val="4F81BD" w:themeColor="accent1"/>
                                      <w:sz w:val="20"/>
                                    </w:rPr>
                                    <w:t>Table 1: Clearances with a citizenship waiver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67A9ABB9" id="Text Box 12" o:spid="_x0000_s1033" type="#_x0000_t202" style="position:absolute;margin-left:-8.9pt;margin-top:-29.75pt;width:3in;height:21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" filled="f" stroked="f" strokeweight=".5pt">
                      <v:textbox>
                        <w:txbxContent>
                          <w:p w14:paraId="1F858CAE" w14:textId="6AFA530B" w:rsidR="00CE6F1C" w:rsidRPr="007D4A4B" w:rsidRDefault="00CE6F1C" w:rsidP="007D4A4B">
                            <w:pPr>
                              <w:jc w:val="center"/>
                              <w:rPr>
                                <w:b/>
                                <w:color w:val="4F81BD" w:themeColor="accent1"/>
                                <w:sz w:val="20"/>
                              </w:rPr>
                            </w:pPr>
                            <w:r w:rsidRPr="007D4A4B">
                              <w:rPr>
                                <w:b/>
                                <w:color w:val="4F81BD" w:themeColor="accent1"/>
                                <w:sz w:val="20"/>
                              </w:rPr>
                              <w:t>Table 1: Clearances with a citizenship waiver</w:t>
                            </w:r>
                          </w:p>
                        </w:txbxContent>
                      </v:textbox>
                    </v:shape>
                  </w:pict>
                </mc:Fallback>
              </mc:AlternateContent>
            </w:r>
            <w:r w:rsidR="00615D73" w:rsidRPr="007D4A4B">
              <w:rPr>
                <w:rFonts w:asciiTheme="minorHAnsi" w:hAnsiTheme="minorHAnsi"/>
                <w:b/>
                <w:sz w:val="18"/>
              </w:rPr>
              <w:t>Citizenship waivers</w:t>
            </w:r>
            <w:r w:rsidR="00615D73" w:rsidRPr="007D4A4B">
              <w:t> </w:t>
            </w:r>
          </w:p>
        </w:tc>
        <w:tc>
          <w:tcPr>
            <w:tcW w:w="1276" w:type="dxa"/>
            <w:noWrap/>
            <w:vAlign w:val="bottom"/>
            <w:hideMark/>
          </w:tcPr>
          <w:p w14:paraId="20778EEC" w14:textId="77777777" w:rsidR="00615D73" w:rsidRPr="007D4A4B" w:rsidRDefault="00615D73" w:rsidP="007D4A4B">
            <w:pPr>
              <w:spacing w:after="0" w:line="240" w:lineRule="auto"/>
              <w:jc w:val="right"/>
              <w:rPr>
                <w:rFonts w:asciiTheme="minorHAnsi" w:hAnsiTheme="minorHAnsi"/>
                <w:b/>
                <w:sz w:val="18"/>
              </w:rPr>
            </w:pPr>
            <w:r w:rsidRPr="007D4A4B">
              <w:rPr>
                <w:rFonts w:asciiTheme="minorHAnsi" w:hAnsiTheme="minorHAnsi"/>
                <w:b/>
                <w:sz w:val="18"/>
              </w:rPr>
              <w:t>2016–17</w:t>
            </w:r>
          </w:p>
        </w:tc>
        <w:tc>
          <w:tcPr>
            <w:tcW w:w="995" w:type="dxa"/>
            <w:shd w:val="clear" w:color="auto" w:fill="C6D9F1" w:themeFill="text2" w:themeFillTint="33"/>
            <w:noWrap/>
            <w:vAlign w:val="bottom"/>
            <w:hideMark/>
          </w:tcPr>
          <w:p w14:paraId="25B2A56A" w14:textId="77777777" w:rsidR="00615D73" w:rsidRPr="007D4A4B" w:rsidRDefault="00615D73" w:rsidP="007D4A4B">
            <w:pPr>
              <w:spacing w:after="0" w:line="240" w:lineRule="auto"/>
              <w:jc w:val="right"/>
              <w:rPr>
                <w:rFonts w:asciiTheme="minorHAnsi" w:hAnsiTheme="minorHAnsi"/>
                <w:b/>
                <w:sz w:val="18"/>
              </w:rPr>
            </w:pPr>
            <w:r w:rsidRPr="007D4A4B">
              <w:rPr>
                <w:rFonts w:asciiTheme="minorHAnsi" w:hAnsiTheme="minorHAnsi"/>
                <w:b/>
                <w:sz w:val="18"/>
              </w:rPr>
              <w:t>2017–18</w:t>
            </w:r>
          </w:p>
        </w:tc>
      </w:tr>
      <w:tr w:rsidR="00615D73" w:rsidRPr="00717FDE" w14:paraId="09AA243F" w14:textId="77777777" w:rsidTr="007D4A4B">
        <w:trPr>
          <w:trHeight w:val="369"/>
        </w:trPr>
        <w:tc>
          <w:tcPr>
            <w:tcW w:w="1843" w:type="dxa"/>
            <w:noWrap/>
            <w:vAlign w:val="bottom"/>
            <w:hideMark/>
          </w:tcPr>
          <w:p w14:paraId="4D3CC6E5" w14:textId="77777777" w:rsidR="00615D73" w:rsidRPr="000E37F7" w:rsidRDefault="00615D73" w:rsidP="007D4A4B">
            <w:pPr>
              <w:spacing w:after="0" w:line="240" w:lineRule="auto"/>
              <w:jc w:val="right"/>
              <w:rPr>
                <w:rFonts w:asciiTheme="minorHAnsi" w:hAnsiTheme="minorHAnsi"/>
                <w:b/>
                <w:sz w:val="18"/>
              </w:rPr>
            </w:pPr>
            <w:r>
              <w:rPr>
                <w:rFonts w:asciiTheme="minorHAnsi" w:hAnsiTheme="minorHAnsi"/>
                <w:b/>
                <w:sz w:val="18"/>
              </w:rPr>
              <w:t>B</w:t>
            </w:r>
            <w:r w:rsidRPr="000E37F7">
              <w:rPr>
                <w:rFonts w:asciiTheme="minorHAnsi" w:hAnsiTheme="minorHAnsi"/>
                <w:b/>
                <w:sz w:val="18"/>
              </w:rPr>
              <w:t>aseline</w:t>
            </w:r>
          </w:p>
        </w:tc>
        <w:tc>
          <w:tcPr>
            <w:tcW w:w="1276" w:type="dxa"/>
            <w:noWrap/>
            <w:vAlign w:val="bottom"/>
            <w:hideMark/>
          </w:tcPr>
          <w:p w14:paraId="2FA72ACA" w14:textId="77777777" w:rsidR="00615D73" w:rsidRPr="007D4A4B" w:rsidRDefault="00615D73" w:rsidP="007D4A4B">
            <w:pPr>
              <w:spacing w:after="0" w:line="240" w:lineRule="auto"/>
              <w:jc w:val="right"/>
              <w:rPr>
                <w:rFonts w:asciiTheme="minorHAnsi" w:hAnsiTheme="minorHAnsi"/>
                <w:sz w:val="18"/>
              </w:rPr>
            </w:pPr>
            <w:r w:rsidRPr="007D4A4B">
              <w:rPr>
                <w:rFonts w:asciiTheme="minorHAnsi" w:hAnsiTheme="minorHAnsi"/>
                <w:sz w:val="18"/>
              </w:rPr>
              <w:t>124</w:t>
            </w:r>
          </w:p>
        </w:tc>
        <w:tc>
          <w:tcPr>
            <w:tcW w:w="995" w:type="dxa"/>
            <w:shd w:val="clear" w:color="auto" w:fill="C6D9F1" w:themeFill="text2" w:themeFillTint="33"/>
            <w:noWrap/>
            <w:vAlign w:val="bottom"/>
            <w:hideMark/>
          </w:tcPr>
          <w:p w14:paraId="3B215AEE" w14:textId="77777777" w:rsidR="00615D73" w:rsidRPr="007D4A4B" w:rsidRDefault="00615D73" w:rsidP="007D4A4B">
            <w:pPr>
              <w:spacing w:after="0" w:line="240" w:lineRule="auto"/>
              <w:jc w:val="right"/>
              <w:rPr>
                <w:rFonts w:asciiTheme="minorHAnsi" w:hAnsiTheme="minorHAnsi"/>
                <w:sz w:val="18"/>
              </w:rPr>
            </w:pPr>
            <w:r w:rsidRPr="007D4A4B">
              <w:rPr>
                <w:rFonts w:asciiTheme="minorHAnsi" w:hAnsiTheme="minorHAnsi"/>
                <w:sz w:val="18"/>
              </w:rPr>
              <w:t>181</w:t>
            </w:r>
          </w:p>
        </w:tc>
      </w:tr>
      <w:tr w:rsidR="00615D73" w:rsidRPr="00717FDE" w14:paraId="6AD8DEA1" w14:textId="77777777" w:rsidTr="007D4A4B">
        <w:trPr>
          <w:trHeight w:val="369"/>
        </w:trPr>
        <w:tc>
          <w:tcPr>
            <w:tcW w:w="1843" w:type="dxa"/>
            <w:noWrap/>
            <w:vAlign w:val="bottom"/>
            <w:hideMark/>
          </w:tcPr>
          <w:p w14:paraId="5F3D38CF" w14:textId="77777777" w:rsidR="00615D73" w:rsidRPr="000E37F7" w:rsidRDefault="00615D73" w:rsidP="007D4A4B">
            <w:pPr>
              <w:spacing w:after="0" w:line="240" w:lineRule="auto"/>
              <w:jc w:val="right"/>
              <w:rPr>
                <w:rFonts w:asciiTheme="minorHAnsi" w:hAnsiTheme="minorHAnsi"/>
                <w:b/>
                <w:sz w:val="18"/>
              </w:rPr>
            </w:pPr>
            <w:r w:rsidRPr="000E37F7">
              <w:rPr>
                <w:rFonts w:asciiTheme="minorHAnsi" w:hAnsiTheme="minorHAnsi"/>
                <w:b/>
                <w:sz w:val="18"/>
              </w:rPr>
              <w:t>NV1</w:t>
            </w:r>
          </w:p>
        </w:tc>
        <w:tc>
          <w:tcPr>
            <w:tcW w:w="1276" w:type="dxa"/>
            <w:noWrap/>
            <w:vAlign w:val="bottom"/>
            <w:hideMark/>
          </w:tcPr>
          <w:p w14:paraId="4AB958AE" w14:textId="77777777" w:rsidR="00615D73" w:rsidRPr="007D4A4B" w:rsidRDefault="00615D73" w:rsidP="007D4A4B">
            <w:pPr>
              <w:spacing w:after="0" w:line="240" w:lineRule="auto"/>
              <w:jc w:val="right"/>
              <w:rPr>
                <w:rFonts w:asciiTheme="minorHAnsi" w:hAnsiTheme="minorHAnsi"/>
                <w:sz w:val="18"/>
              </w:rPr>
            </w:pPr>
            <w:r w:rsidRPr="007D4A4B">
              <w:rPr>
                <w:rFonts w:asciiTheme="minorHAnsi" w:hAnsiTheme="minorHAnsi"/>
                <w:sz w:val="18"/>
              </w:rPr>
              <w:t>175</w:t>
            </w:r>
          </w:p>
        </w:tc>
        <w:tc>
          <w:tcPr>
            <w:tcW w:w="995" w:type="dxa"/>
            <w:shd w:val="clear" w:color="auto" w:fill="C6D9F1" w:themeFill="text2" w:themeFillTint="33"/>
            <w:noWrap/>
            <w:vAlign w:val="bottom"/>
            <w:hideMark/>
          </w:tcPr>
          <w:p w14:paraId="438BF23D" w14:textId="77777777" w:rsidR="00615D73" w:rsidRPr="007D4A4B" w:rsidRDefault="00615D73" w:rsidP="007D4A4B">
            <w:pPr>
              <w:spacing w:after="0" w:line="240" w:lineRule="auto"/>
              <w:jc w:val="right"/>
              <w:rPr>
                <w:rFonts w:asciiTheme="minorHAnsi" w:hAnsiTheme="minorHAnsi"/>
                <w:sz w:val="18"/>
              </w:rPr>
            </w:pPr>
            <w:r w:rsidRPr="007D4A4B">
              <w:rPr>
                <w:rFonts w:asciiTheme="minorHAnsi" w:hAnsiTheme="minorHAnsi"/>
                <w:sz w:val="18"/>
              </w:rPr>
              <w:t>68</w:t>
            </w:r>
          </w:p>
        </w:tc>
      </w:tr>
      <w:tr w:rsidR="00615D73" w:rsidRPr="00717FDE" w14:paraId="527EF777" w14:textId="77777777" w:rsidTr="007D4A4B">
        <w:trPr>
          <w:trHeight w:val="369"/>
        </w:trPr>
        <w:tc>
          <w:tcPr>
            <w:tcW w:w="1843" w:type="dxa"/>
            <w:noWrap/>
            <w:vAlign w:val="bottom"/>
            <w:hideMark/>
          </w:tcPr>
          <w:p w14:paraId="1CE1C9D7" w14:textId="77777777" w:rsidR="00615D73" w:rsidRPr="000E37F7" w:rsidRDefault="00615D73" w:rsidP="007D4A4B">
            <w:pPr>
              <w:spacing w:after="0" w:line="240" w:lineRule="auto"/>
              <w:jc w:val="right"/>
              <w:rPr>
                <w:rFonts w:asciiTheme="minorHAnsi" w:hAnsiTheme="minorHAnsi"/>
                <w:b/>
                <w:sz w:val="18"/>
              </w:rPr>
            </w:pPr>
            <w:r w:rsidRPr="000E37F7">
              <w:rPr>
                <w:rFonts w:asciiTheme="minorHAnsi" w:hAnsiTheme="minorHAnsi"/>
                <w:b/>
                <w:sz w:val="18"/>
              </w:rPr>
              <w:t>NV2</w:t>
            </w:r>
          </w:p>
        </w:tc>
        <w:tc>
          <w:tcPr>
            <w:tcW w:w="1276" w:type="dxa"/>
            <w:noWrap/>
            <w:vAlign w:val="bottom"/>
            <w:hideMark/>
          </w:tcPr>
          <w:p w14:paraId="1D09009E" w14:textId="77777777" w:rsidR="00615D73" w:rsidRPr="007D4A4B" w:rsidRDefault="00615D73" w:rsidP="007D4A4B">
            <w:pPr>
              <w:spacing w:after="0" w:line="240" w:lineRule="auto"/>
              <w:jc w:val="right"/>
              <w:rPr>
                <w:rFonts w:asciiTheme="minorHAnsi" w:hAnsiTheme="minorHAnsi"/>
                <w:sz w:val="18"/>
              </w:rPr>
            </w:pPr>
            <w:r w:rsidRPr="007D4A4B">
              <w:rPr>
                <w:rFonts w:asciiTheme="minorHAnsi" w:hAnsiTheme="minorHAnsi"/>
                <w:sz w:val="18"/>
              </w:rPr>
              <w:t>14</w:t>
            </w:r>
          </w:p>
        </w:tc>
        <w:tc>
          <w:tcPr>
            <w:tcW w:w="995" w:type="dxa"/>
            <w:shd w:val="clear" w:color="auto" w:fill="C6D9F1" w:themeFill="text2" w:themeFillTint="33"/>
            <w:noWrap/>
            <w:vAlign w:val="bottom"/>
            <w:hideMark/>
          </w:tcPr>
          <w:p w14:paraId="7D697A1F" w14:textId="77777777" w:rsidR="00615D73" w:rsidRPr="007D4A4B" w:rsidRDefault="00615D73" w:rsidP="007D4A4B">
            <w:pPr>
              <w:spacing w:after="0" w:line="240" w:lineRule="auto"/>
              <w:jc w:val="right"/>
              <w:rPr>
                <w:rFonts w:asciiTheme="minorHAnsi" w:hAnsiTheme="minorHAnsi"/>
                <w:sz w:val="18"/>
              </w:rPr>
            </w:pPr>
            <w:r w:rsidRPr="007D4A4B">
              <w:rPr>
                <w:rFonts w:asciiTheme="minorHAnsi" w:hAnsiTheme="minorHAnsi"/>
                <w:sz w:val="18"/>
              </w:rPr>
              <w:t>19</w:t>
            </w:r>
          </w:p>
        </w:tc>
      </w:tr>
      <w:tr w:rsidR="00615D73" w:rsidRPr="00717FDE" w14:paraId="6539880D" w14:textId="77777777" w:rsidTr="007D4A4B">
        <w:trPr>
          <w:trHeight w:val="369"/>
        </w:trPr>
        <w:tc>
          <w:tcPr>
            <w:tcW w:w="1843" w:type="dxa"/>
            <w:noWrap/>
            <w:vAlign w:val="bottom"/>
            <w:hideMark/>
          </w:tcPr>
          <w:p w14:paraId="6BE861FA" w14:textId="77777777" w:rsidR="00615D73" w:rsidRPr="000E37F7" w:rsidRDefault="00615D73" w:rsidP="007D4A4B">
            <w:pPr>
              <w:spacing w:after="0" w:line="240" w:lineRule="auto"/>
              <w:jc w:val="right"/>
              <w:rPr>
                <w:rFonts w:asciiTheme="minorHAnsi" w:hAnsiTheme="minorHAnsi"/>
                <w:b/>
                <w:sz w:val="18"/>
              </w:rPr>
            </w:pPr>
            <w:r w:rsidRPr="000E37F7">
              <w:rPr>
                <w:rFonts w:asciiTheme="minorHAnsi" w:hAnsiTheme="minorHAnsi"/>
                <w:b/>
                <w:sz w:val="18"/>
              </w:rPr>
              <w:t>PV</w:t>
            </w:r>
          </w:p>
        </w:tc>
        <w:tc>
          <w:tcPr>
            <w:tcW w:w="1276" w:type="dxa"/>
            <w:noWrap/>
            <w:vAlign w:val="bottom"/>
            <w:hideMark/>
          </w:tcPr>
          <w:p w14:paraId="4D03942D" w14:textId="77777777" w:rsidR="00615D73" w:rsidRPr="007D4A4B" w:rsidRDefault="00615D73" w:rsidP="007D4A4B">
            <w:pPr>
              <w:spacing w:after="0" w:line="240" w:lineRule="auto"/>
              <w:jc w:val="right"/>
              <w:rPr>
                <w:rFonts w:asciiTheme="minorHAnsi" w:hAnsiTheme="minorHAnsi"/>
                <w:sz w:val="18"/>
              </w:rPr>
            </w:pPr>
            <w:r w:rsidRPr="007D4A4B">
              <w:rPr>
                <w:rFonts w:asciiTheme="minorHAnsi" w:hAnsiTheme="minorHAnsi"/>
                <w:sz w:val="18"/>
              </w:rPr>
              <w:t>4</w:t>
            </w:r>
          </w:p>
        </w:tc>
        <w:tc>
          <w:tcPr>
            <w:tcW w:w="995" w:type="dxa"/>
            <w:shd w:val="clear" w:color="auto" w:fill="C6D9F1" w:themeFill="text2" w:themeFillTint="33"/>
            <w:noWrap/>
            <w:vAlign w:val="bottom"/>
            <w:hideMark/>
          </w:tcPr>
          <w:p w14:paraId="1D5872D1" w14:textId="77777777" w:rsidR="00615D73" w:rsidRPr="007D4A4B" w:rsidRDefault="00615D73" w:rsidP="007D4A4B">
            <w:pPr>
              <w:spacing w:after="0" w:line="240" w:lineRule="auto"/>
              <w:jc w:val="right"/>
              <w:rPr>
                <w:rFonts w:asciiTheme="minorHAnsi" w:hAnsiTheme="minorHAnsi"/>
                <w:sz w:val="18"/>
              </w:rPr>
            </w:pPr>
            <w:r w:rsidRPr="007D4A4B">
              <w:rPr>
                <w:rFonts w:asciiTheme="minorHAnsi" w:hAnsiTheme="minorHAnsi"/>
                <w:sz w:val="18"/>
              </w:rPr>
              <w:t>14</w:t>
            </w:r>
          </w:p>
        </w:tc>
      </w:tr>
      <w:tr w:rsidR="00615D73" w:rsidRPr="00717FDE" w14:paraId="2D1F7B30" w14:textId="77777777" w:rsidTr="007D4A4B">
        <w:trPr>
          <w:trHeight w:val="369"/>
        </w:trPr>
        <w:tc>
          <w:tcPr>
            <w:tcW w:w="1843" w:type="dxa"/>
            <w:noWrap/>
            <w:vAlign w:val="bottom"/>
            <w:hideMark/>
          </w:tcPr>
          <w:p w14:paraId="6B25498A" w14:textId="275D62D1" w:rsidR="00615D73" w:rsidRPr="000E37F7" w:rsidRDefault="00615D73" w:rsidP="007D4A4B">
            <w:pPr>
              <w:spacing w:after="0" w:line="240" w:lineRule="auto"/>
              <w:jc w:val="right"/>
              <w:rPr>
                <w:rFonts w:asciiTheme="minorHAnsi" w:hAnsiTheme="minorHAnsi"/>
                <w:b/>
                <w:sz w:val="18"/>
              </w:rPr>
            </w:pPr>
            <w:r w:rsidRPr="000E37F7">
              <w:rPr>
                <w:rFonts w:asciiTheme="minorHAnsi" w:hAnsiTheme="minorHAnsi"/>
                <w:b/>
                <w:sz w:val="18"/>
              </w:rPr>
              <w:t>Total</w:t>
            </w:r>
          </w:p>
        </w:tc>
        <w:tc>
          <w:tcPr>
            <w:tcW w:w="1276" w:type="dxa"/>
            <w:noWrap/>
            <w:vAlign w:val="bottom"/>
            <w:hideMark/>
          </w:tcPr>
          <w:p w14:paraId="108325C7" w14:textId="77777777" w:rsidR="00615D73" w:rsidRPr="007D4A4B" w:rsidRDefault="00615D73" w:rsidP="007D4A4B">
            <w:pPr>
              <w:spacing w:after="0" w:line="240" w:lineRule="auto"/>
              <w:jc w:val="right"/>
              <w:rPr>
                <w:rFonts w:asciiTheme="minorHAnsi" w:hAnsiTheme="minorHAnsi"/>
                <w:b/>
                <w:bCs/>
                <w:sz w:val="18"/>
              </w:rPr>
            </w:pPr>
            <w:r w:rsidRPr="007D4A4B">
              <w:rPr>
                <w:rFonts w:asciiTheme="minorHAnsi" w:hAnsiTheme="minorHAnsi"/>
                <w:b/>
                <w:bCs/>
                <w:sz w:val="18"/>
              </w:rPr>
              <w:t>317</w:t>
            </w:r>
          </w:p>
        </w:tc>
        <w:tc>
          <w:tcPr>
            <w:tcW w:w="995" w:type="dxa"/>
            <w:shd w:val="clear" w:color="auto" w:fill="C6D9F1" w:themeFill="text2" w:themeFillTint="33"/>
            <w:noWrap/>
            <w:vAlign w:val="bottom"/>
            <w:hideMark/>
          </w:tcPr>
          <w:p w14:paraId="124CF353" w14:textId="77777777" w:rsidR="00615D73" w:rsidRPr="007D4A4B" w:rsidRDefault="00615D73" w:rsidP="007D4A4B">
            <w:pPr>
              <w:spacing w:after="0" w:line="240" w:lineRule="auto"/>
              <w:jc w:val="right"/>
              <w:rPr>
                <w:rFonts w:asciiTheme="minorHAnsi" w:hAnsiTheme="minorHAnsi"/>
                <w:b/>
                <w:bCs/>
                <w:sz w:val="18"/>
              </w:rPr>
            </w:pPr>
            <w:r w:rsidRPr="007D4A4B">
              <w:rPr>
                <w:rFonts w:asciiTheme="minorHAnsi" w:hAnsiTheme="minorHAnsi"/>
                <w:b/>
                <w:bCs/>
                <w:sz w:val="18"/>
              </w:rPr>
              <w:t>282</w:t>
            </w:r>
          </w:p>
        </w:tc>
      </w:tr>
    </w:tbl>
    <w:p w14:paraId="3C6CAD4F" w14:textId="77777777" w:rsidR="00A47E87" w:rsidRDefault="00A47E87" w:rsidP="00A47E87">
      <w:pPr>
        <w:ind w:right="5159"/>
      </w:pPr>
      <w:r w:rsidRPr="00E94FA1">
        <w:rPr>
          <w:noProof/>
          <w:w w:val="100"/>
          <w:lang w:eastAsia="en-AU"/>
        </w:rPr>
        <mc:AlternateContent>
          <mc:Choice Requires="wps">
            <w:drawing>
              <wp:anchor distT="0" distB="0" distL="114300" distR="114300" simplePos="0" relativeHeight="251679232" behindDoc="0" locked="0" layoutInCell="1" allowOverlap="1" wp14:anchorId="580898F2" wp14:editId="53FA0A11">
                <wp:simplePos x="0" y="0"/>
                <wp:positionH relativeFrom="column">
                  <wp:posOffset>3197860</wp:posOffset>
                </wp:positionH>
                <wp:positionV relativeFrom="paragraph">
                  <wp:posOffset>1706245</wp:posOffset>
                </wp:positionV>
                <wp:extent cx="3330000" cy="799200"/>
                <wp:effectExtent l="0" t="0" r="3810" b="1270"/>
                <wp:wrapSquare wrapText="bothSides"/>
                <wp:docPr id="15" name="Text Box 15"/>
                <wp:cNvGraphicFramePr/>
                <a:graphic xmlns:a="http://schemas.openxmlformats.org/drawingml/2006/main">
                  <a:graphicData uri="http://schemas.microsoft.com/office/word/2010/wordprocessingShape">
                    <wps:wsp>
                      <wps:cNvSpPr txBox="1"/>
                      <wps:spPr>
                        <a:xfrm>
                          <a:off x="0" y="0"/>
                          <a:ext cx="3330000" cy="799200"/>
                        </a:xfrm>
                        <a:prstGeom prst="rect">
                          <a:avLst/>
                        </a:prstGeom>
                        <a:solidFill>
                          <a:srgbClr val="1F497D">
                            <a:lumMod val="20000"/>
                            <a:lumOff val="80000"/>
                          </a:srgbClr>
                        </a:solidFill>
                        <a:ln w="6350">
                          <a:noFill/>
                        </a:ln>
                        <a:effectLst/>
                      </wps:spPr>
                      <wps:txbx>
                        <w:txbxContent>
                          <w:p w14:paraId="013B90CC" w14:textId="013ECD8C" w:rsidR="00CE6F1C" w:rsidRPr="00B7209B" w:rsidRDefault="00CE6F1C" w:rsidP="00E94FA1">
                            <w:pPr>
                              <w:spacing w:after="120" w:line="240" w:lineRule="auto"/>
                              <w:rPr>
                                <w:sz w:val="18"/>
                              </w:rPr>
                            </w:pPr>
                            <w:r>
                              <w:rPr>
                                <w:sz w:val="18"/>
                              </w:rPr>
                              <w:t xml:space="preserve">There was a reduction in the number of security clearances with a citizenship waiver from the previous year (282 in 2017-18, down from 317 in 2016-17). </w:t>
                            </w:r>
                            <w:r w:rsidR="00FB7E37">
                              <w:rPr>
                                <w:sz w:val="18"/>
                              </w:rPr>
                              <w:t>A significant portion</w:t>
                            </w:r>
                            <w:r>
                              <w:rPr>
                                <w:sz w:val="18"/>
                              </w:rPr>
                              <w:t xml:space="preserve"> </w:t>
                            </w:r>
                            <w:r w:rsidR="00FB7E37">
                              <w:rPr>
                                <w:sz w:val="18"/>
                              </w:rPr>
                              <w:t xml:space="preserve">of this </w:t>
                            </w:r>
                            <w:r>
                              <w:rPr>
                                <w:sz w:val="18"/>
                              </w:rPr>
                              <w:t>reduction can be attributed to a single entity resolving security clearance processes from the 2016-17 reporting period.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580898F2" id="Text Box 15" o:spid="_x0000_s1034" type="#_x0000_t202" style="position:absolute;margin-left:251.8pt;margin-top:134.35pt;width:262.2pt;height:62.9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" fillcolor="#c6d9f1" stroked="f" strokeweight=".5pt">
                <v:textbox>
                  <w:txbxContent>
                    <w:p w14:paraId="013B90CC" w14:textId="013ECD8C" w:rsidR="00CE6F1C" w:rsidRPr="00B7209B" w:rsidRDefault="00CE6F1C" w:rsidP="00E94FA1">
                      <w:pPr>
                        <w:spacing w:after="120" w:line="240" w:lineRule="auto"/>
                        <w:rPr>
                          <w:sz w:val="18"/>
                        </w:rPr>
                      </w:pPr>
                      <w:r>
                        <w:rPr>
                          <w:sz w:val="18"/>
                        </w:rPr>
                        <w:t xml:space="preserve">There was a reduction in the number of security clearances with a citizenship waiver from the previous year (282 in 2017-18, down from 317 in 2016-17). </w:t>
                      </w:r>
                      <w:r w:rsidR="00FB7E37">
                        <w:rPr>
                          <w:sz w:val="18"/>
                        </w:rPr>
                        <w:t>A significant portion</w:t>
                      </w:r>
                      <w:r>
                        <w:rPr>
                          <w:sz w:val="18"/>
                        </w:rPr>
                        <w:t xml:space="preserve"> </w:t>
                      </w:r>
                      <w:r w:rsidR="00FB7E37">
                        <w:rPr>
                          <w:sz w:val="18"/>
                        </w:rPr>
                        <w:t xml:space="preserve">of this </w:t>
                      </w:r>
                      <w:r>
                        <w:rPr>
                          <w:sz w:val="18"/>
                        </w:rPr>
                        <w:t>reduction can be attributed to a single entity resolving security clearance processes from the 2016-17 reporting period.</w:t>
                      </w:r>
                    </w:p>
                  </w:txbxContent>
                </v:textbox>
                <w10:wrap type="square"/>
              </v:shape>
            </w:pict>
          </mc:Fallback>
        </mc:AlternateContent>
      </w:r>
      <w:r w:rsidR="00CF2A14">
        <w:t>In 2017–18, there were 282 waivers of the Australian</w:t>
      </w:r>
      <w:r w:rsidR="00CB5165">
        <w:t xml:space="preserve"> </w:t>
      </w:r>
      <w:r w:rsidR="00CF2A14">
        <w:t>citizenship requirement for staff of NCCEs. This was a decrease of 35 waivers</w:t>
      </w:r>
      <w:r w:rsidR="007D4A4B">
        <w:t xml:space="preserve"> </w:t>
      </w:r>
      <w:r w:rsidR="00CF2A14">
        <w:t>(11.04%) from the 2016–17 reporting period’s total of 317</w:t>
      </w:r>
      <w:r w:rsidR="00996F04">
        <w:t xml:space="preserve"> waivers</w:t>
      </w:r>
      <w:r w:rsidR="005179F9">
        <w:t xml:space="preserve">. </w:t>
      </w:r>
    </w:p>
    <w:p w14:paraId="1F0AF206" w14:textId="30418A5D" w:rsidR="00015BB2" w:rsidRDefault="00CE6F1C" w:rsidP="00A47E87">
      <w:pPr>
        <w:ind w:right="5159"/>
      </w:pPr>
      <w:r w:rsidRPr="00267CF1">
        <w:t xml:space="preserve">A security risk may exist when a clearance subject </w:t>
      </w:r>
      <w:r>
        <w:t>is</w:t>
      </w:r>
      <w:r w:rsidRPr="00267CF1">
        <w:t xml:space="preserve"> not</w:t>
      </w:r>
      <w:r>
        <w:t xml:space="preserve"> an Australian citizen.</w:t>
      </w:r>
      <w:r w:rsidRPr="00267CF1">
        <w:t xml:space="preserve"> </w:t>
      </w:r>
      <w:r>
        <w:t xml:space="preserve">A </w:t>
      </w:r>
      <w:r w:rsidRPr="00267CF1">
        <w:t xml:space="preserve">clearance subject </w:t>
      </w:r>
      <w:r>
        <w:t xml:space="preserve">who </w:t>
      </w:r>
      <w:r w:rsidRPr="00267CF1">
        <w:t>indicate</w:t>
      </w:r>
      <w:r>
        <w:t>s</w:t>
      </w:r>
      <w:r w:rsidRPr="00267CF1">
        <w:t xml:space="preserve"> a preference for a foreign country over Australia may be prone to act in ways that are harmful to the national interest of Australia.</w:t>
      </w:r>
      <w:r>
        <w:t xml:space="preserve"> </w:t>
      </w:r>
      <w:r w:rsidRPr="00267CF1">
        <w:t>Th</w:t>
      </w:r>
      <w:r>
        <w:t>is</w:t>
      </w:r>
      <w:r w:rsidRPr="00267CF1">
        <w:t xml:space="preserve"> situation could potentially introduce foreign influence that could result in the compromise of security classified information.</w:t>
      </w:r>
    </w:p>
    <w:p w14:paraId="34850C82" w14:textId="5180ACD0" w:rsidR="005A33DD" w:rsidRPr="007D4A4B" w:rsidRDefault="00A069DA" w:rsidP="007D4A4B">
      <w:pPr>
        <w:pStyle w:val="Heading5"/>
      </w:pPr>
      <w:r w:rsidRPr="00CA2635">
        <w:rPr>
          <w:b w:val="0"/>
          <w:noProof/>
          <w:lang w:eastAsia="en-AU"/>
        </w:rPr>
        <mc:AlternateContent>
          <mc:Choice Requires="wps">
            <w:drawing>
              <wp:anchor distT="0" distB="0" distL="114300" distR="114300" simplePos="0" relativeHeight="251660800" behindDoc="1" locked="0" layoutInCell="1" allowOverlap="1" wp14:anchorId="45E25FD8" wp14:editId="149FD87D">
                <wp:simplePos x="0" y="0"/>
                <wp:positionH relativeFrom="margin">
                  <wp:posOffset>3235960</wp:posOffset>
                </wp:positionH>
                <wp:positionV relativeFrom="paragraph">
                  <wp:posOffset>8890</wp:posOffset>
                </wp:positionV>
                <wp:extent cx="3351530" cy="238125"/>
                <wp:effectExtent l="0" t="0" r="0" b="0"/>
                <wp:wrapSquare wrapText="bothSides"/>
                <wp:docPr id="10" name="Text Box 10"/>
                <wp:cNvGraphicFramePr/>
                <a:graphic xmlns:a="http://schemas.openxmlformats.org/drawingml/2006/main">
                  <a:graphicData uri="http://schemas.microsoft.com/office/word/2010/wordprocessingShape">
                    <wps:wsp>
                      <wps:cNvSpPr txBox="1"/>
                      <wps:spPr>
                        <a:xfrm>
                          <a:off x="0" y="0"/>
                          <a:ext cx="3351530" cy="238125"/>
                        </a:xfrm>
                        <a:prstGeom prst="rect">
                          <a:avLst/>
                        </a:prstGeom>
                        <a:noFill/>
                        <a:ln w="6350">
                          <a:noFill/>
                        </a:ln>
                        <a:effectLst/>
                      </wps:spPr>
                      <wps:txbx>
                        <w:txbxContent>
                          <w:p w14:paraId="3342194D" w14:textId="674FBA3A" w:rsidR="00CE6F1C" w:rsidRPr="00B8468D" w:rsidRDefault="00CE6F1C" w:rsidP="00313564">
                            <w:pPr>
                              <w:jc w:val="center"/>
                              <w:rPr>
                                <w:b/>
                                <w:color w:val="4F81BD" w:themeColor="accent1"/>
                                <w:sz w:val="20"/>
                              </w:rPr>
                            </w:pPr>
                            <w:r>
                              <w:rPr>
                                <w:b/>
                                <w:color w:val="4F81BD" w:themeColor="accent1"/>
                                <w:sz w:val="20"/>
                              </w:rPr>
                              <w:t>Table 2: Clearances with a checkable background waiver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5E25FD8" id="Text Box 10" o:spid="_x0000_s1035" type="#_x0000_t202" style="position:absolute;margin-left:254.8pt;margin-top:.7pt;width:263.9pt;height:18.75pt;z-index:-251655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" filled="f" stroked="f" strokeweight=".5pt">
                <v:textbox>
                  <w:txbxContent>
                    <w:p w14:paraId="3342194D" w14:textId="674FBA3A" w:rsidR="00CE6F1C" w:rsidRPr="00B8468D" w:rsidRDefault="00CE6F1C" w:rsidP="00313564">
                      <w:pPr>
                        <w:jc w:val="center"/>
                        <w:rPr>
                          <w:b/>
                          <w:color w:val="4F81BD" w:themeColor="accent1"/>
                          <w:sz w:val="20"/>
                        </w:rPr>
                      </w:pPr>
                      <w:r>
                        <w:rPr>
                          <w:b/>
                          <w:color w:val="4F81BD" w:themeColor="accent1"/>
                          <w:sz w:val="20"/>
                        </w:rPr>
                        <w:t>Table 2: Clearances with a checkable background waiver</w:t>
                      </w:r>
                    </w:p>
                  </w:txbxContent>
                </v:textbox>
                <w10:wrap type="square" anchorx="margin"/>
              </v:shape>
            </w:pict>
          </mc:Fallback>
        </mc:AlternateContent>
      </w:r>
      <w:r w:rsidR="00CF2A14" w:rsidRPr="007D4A4B">
        <w:t>Waivers of the checkable background requirement</w:t>
      </w:r>
    </w:p>
    <w:tbl>
      <w:tblPr>
        <w:tblStyle w:val="TableGrid"/>
        <w:tblpPr w:leftFromText="181" w:rightFromText="181" w:vertAnchor="text" w:horzAnchor="margin" w:tblpXSpec="right" w:tblpY="228"/>
        <w:tblW w:w="4110" w:type="dxa"/>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1956"/>
        <w:gridCol w:w="1077"/>
        <w:gridCol w:w="1077"/>
      </w:tblGrid>
      <w:tr w:rsidR="007E2E11" w:rsidRPr="000E37F7" w14:paraId="1D1B3142" w14:textId="77777777" w:rsidTr="00A069DA">
        <w:trPr>
          <w:trHeight w:val="369"/>
        </w:trPr>
        <w:tc>
          <w:tcPr>
            <w:tcW w:w="1956" w:type="dxa"/>
            <w:noWrap/>
            <w:vAlign w:val="bottom"/>
          </w:tcPr>
          <w:p w14:paraId="6A7B9669" w14:textId="3D4D1739" w:rsidR="007E2E11" w:rsidRPr="000E37F7" w:rsidRDefault="007E2E11" w:rsidP="00A069DA">
            <w:pPr>
              <w:spacing w:after="0" w:line="240" w:lineRule="auto"/>
              <w:rPr>
                <w:rFonts w:asciiTheme="minorHAnsi" w:hAnsiTheme="minorHAnsi"/>
                <w:b/>
                <w:sz w:val="18"/>
              </w:rPr>
            </w:pPr>
            <w:r>
              <w:rPr>
                <w:rFonts w:asciiTheme="minorHAnsi" w:hAnsiTheme="minorHAnsi"/>
                <w:b/>
                <w:sz w:val="18"/>
              </w:rPr>
              <w:t>Checkable Background waiver</w:t>
            </w:r>
          </w:p>
        </w:tc>
        <w:tc>
          <w:tcPr>
            <w:tcW w:w="1077" w:type="dxa"/>
            <w:noWrap/>
            <w:vAlign w:val="bottom"/>
          </w:tcPr>
          <w:p w14:paraId="224620A6" w14:textId="3391627C" w:rsidR="007E2E11" w:rsidRPr="000E37F7" w:rsidRDefault="007E2E11" w:rsidP="00A069DA">
            <w:pPr>
              <w:spacing w:after="0" w:line="240" w:lineRule="auto"/>
              <w:jc w:val="right"/>
              <w:rPr>
                <w:rFonts w:asciiTheme="minorHAnsi" w:hAnsiTheme="minorHAnsi"/>
                <w:b/>
                <w:sz w:val="18"/>
              </w:rPr>
            </w:pPr>
            <w:r w:rsidRPr="000E37F7">
              <w:rPr>
                <w:rFonts w:asciiTheme="minorHAnsi" w:hAnsiTheme="minorHAnsi"/>
                <w:b/>
                <w:sz w:val="18"/>
              </w:rPr>
              <w:t>2016</w:t>
            </w:r>
            <w:r w:rsidR="000C13C7">
              <w:rPr>
                <w:rFonts w:asciiTheme="minorHAnsi" w:hAnsiTheme="minorHAnsi"/>
                <w:b/>
                <w:sz w:val="18"/>
              </w:rPr>
              <w:t>–1</w:t>
            </w:r>
            <w:r w:rsidRPr="000E37F7">
              <w:rPr>
                <w:rFonts w:asciiTheme="minorHAnsi" w:hAnsiTheme="minorHAnsi"/>
                <w:b/>
                <w:sz w:val="18"/>
              </w:rPr>
              <w:t>7</w:t>
            </w:r>
          </w:p>
        </w:tc>
        <w:tc>
          <w:tcPr>
            <w:tcW w:w="1077" w:type="dxa"/>
            <w:shd w:val="clear" w:color="auto" w:fill="C6D9F1" w:themeFill="text2" w:themeFillTint="33"/>
            <w:noWrap/>
            <w:vAlign w:val="bottom"/>
          </w:tcPr>
          <w:p w14:paraId="775F465C" w14:textId="01EDDA87" w:rsidR="007E2E11" w:rsidRPr="000E37F7" w:rsidRDefault="007E2E11" w:rsidP="00A069DA">
            <w:pPr>
              <w:spacing w:after="0" w:line="240" w:lineRule="auto"/>
              <w:jc w:val="right"/>
              <w:rPr>
                <w:rFonts w:asciiTheme="minorHAnsi" w:hAnsiTheme="minorHAnsi"/>
                <w:b/>
                <w:sz w:val="18"/>
              </w:rPr>
            </w:pPr>
            <w:r w:rsidRPr="000E37F7">
              <w:rPr>
                <w:rFonts w:asciiTheme="minorHAnsi" w:hAnsiTheme="minorHAnsi"/>
                <w:b/>
                <w:sz w:val="18"/>
              </w:rPr>
              <w:t>2017</w:t>
            </w:r>
            <w:r w:rsidR="000C13C7">
              <w:rPr>
                <w:rFonts w:asciiTheme="minorHAnsi" w:hAnsiTheme="minorHAnsi"/>
                <w:b/>
                <w:sz w:val="18"/>
              </w:rPr>
              <w:t>–1</w:t>
            </w:r>
            <w:r w:rsidRPr="000E37F7">
              <w:rPr>
                <w:rFonts w:asciiTheme="minorHAnsi" w:hAnsiTheme="minorHAnsi"/>
                <w:b/>
                <w:sz w:val="18"/>
              </w:rPr>
              <w:t>8</w:t>
            </w:r>
          </w:p>
        </w:tc>
      </w:tr>
      <w:tr w:rsidR="007E2E11" w:rsidRPr="000E37F7" w14:paraId="678695F5" w14:textId="77777777" w:rsidTr="00A069DA">
        <w:trPr>
          <w:trHeight w:val="369"/>
        </w:trPr>
        <w:tc>
          <w:tcPr>
            <w:tcW w:w="1956" w:type="dxa"/>
            <w:noWrap/>
            <w:vAlign w:val="bottom"/>
            <w:hideMark/>
          </w:tcPr>
          <w:p w14:paraId="373D71CA" w14:textId="77777777" w:rsidR="007E2E11" w:rsidRPr="000E37F7" w:rsidRDefault="007E2E11" w:rsidP="00A069DA">
            <w:pPr>
              <w:spacing w:after="0" w:line="240" w:lineRule="auto"/>
              <w:jc w:val="right"/>
              <w:rPr>
                <w:rFonts w:asciiTheme="minorHAnsi" w:hAnsiTheme="minorHAnsi"/>
                <w:b/>
                <w:sz w:val="18"/>
              </w:rPr>
            </w:pPr>
            <w:r w:rsidRPr="000E37F7">
              <w:rPr>
                <w:rFonts w:asciiTheme="minorHAnsi" w:hAnsiTheme="minorHAnsi"/>
                <w:b/>
                <w:sz w:val="18"/>
              </w:rPr>
              <w:t>Baseline</w:t>
            </w:r>
          </w:p>
        </w:tc>
        <w:tc>
          <w:tcPr>
            <w:tcW w:w="1077" w:type="dxa"/>
            <w:noWrap/>
            <w:vAlign w:val="bottom"/>
            <w:hideMark/>
          </w:tcPr>
          <w:p w14:paraId="4B4330CB" w14:textId="77777777" w:rsidR="007E2E11" w:rsidRPr="000E37F7" w:rsidRDefault="007E2E11" w:rsidP="00A069DA">
            <w:pPr>
              <w:spacing w:after="0" w:line="240" w:lineRule="auto"/>
              <w:jc w:val="right"/>
              <w:rPr>
                <w:rFonts w:asciiTheme="minorHAnsi" w:hAnsiTheme="minorHAnsi"/>
                <w:sz w:val="18"/>
              </w:rPr>
            </w:pPr>
            <w:r w:rsidRPr="000E37F7">
              <w:rPr>
                <w:rFonts w:asciiTheme="minorHAnsi" w:hAnsiTheme="minorHAnsi"/>
                <w:sz w:val="18"/>
              </w:rPr>
              <w:t>8</w:t>
            </w:r>
          </w:p>
        </w:tc>
        <w:tc>
          <w:tcPr>
            <w:tcW w:w="1077" w:type="dxa"/>
            <w:shd w:val="clear" w:color="auto" w:fill="C6D9F1" w:themeFill="text2" w:themeFillTint="33"/>
            <w:noWrap/>
            <w:vAlign w:val="bottom"/>
            <w:hideMark/>
          </w:tcPr>
          <w:p w14:paraId="6BB3B07D" w14:textId="77777777" w:rsidR="007E2E11" w:rsidRPr="000E37F7" w:rsidRDefault="007E2E11" w:rsidP="00A069DA">
            <w:pPr>
              <w:spacing w:after="0" w:line="240" w:lineRule="auto"/>
              <w:jc w:val="right"/>
              <w:rPr>
                <w:rFonts w:asciiTheme="minorHAnsi" w:hAnsiTheme="minorHAnsi"/>
                <w:sz w:val="18"/>
              </w:rPr>
            </w:pPr>
            <w:r w:rsidRPr="000E37F7">
              <w:rPr>
                <w:rFonts w:asciiTheme="minorHAnsi" w:hAnsiTheme="minorHAnsi"/>
                <w:sz w:val="18"/>
              </w:rPr>
              <w:t>3</w:t>
            </w:r>
          </w:p>
        </w:tc>
      </w:tr>
      <w:tr w:rsidR="007E2E11" w:rsidRPr="000E37F7" w14:paraId="52DF733C" w14:textId="77777777" w:rsidTr="00A069DA">
        <w:trPr>
          <w:trHeight w:val="369"/>
        </w:trPr>
        <w:tc>
          <w:tcPr>
            <w:tcW w:w="1956" w:type="dxa"/>
            <w:noWrap/>
            <w:vAlign w:val="bottom"/>
            <w:hideMark/>
          </w:tcPr>
          <w:p w14:paraId="3133BD15" w14:textId="77777777" w:rsidR="007E2E11" w:rsidRPr="000E37F7" w:rsidRDefault="007E2E11" w:rsidP="00A069DA">
            <w:pPr>
              <w:spacing w:after="0" w:line="240" w:lineRule="auto"/>
              <w:jc w:val="right"/>
              <w:rPr>
                <w:rFonts w:asciiTheme="minorHAnsi" w:hAnsiTheme="minorHAnsi"/>
                <w:b/>
                <w:sz w:val="18"/>
              </w:rPr>
            </w:pPr>
            <w:r w:rsidRPr="000E37F7">
              <w:rPr>
                <w:rFonts w:asciiTheme="minorHAnsi" w:hAnsiTheme="minorHAnsi"/>
                <w:b/>
                <w:sz w:val="18"/>
              </w:rPr>
              <w:t>NV1</w:t>
            </w:r>
          </w:p>
        </w:tc>
        <w:tc>
          <w:tcPr>
            <w:tcW w:w="1077" w:type="dxa"/>
            <w:noWrap/>
            <w:vAlign w:val="bottom"/>
            <w:hideMark/>
          </w:tcPr>
          <w:p w14:paraId="28E9A9BE" w14:textId="77777777" w:rsidR="007E2E11" w:rsidRPr="000E37F7" w:rsidRDefault="007E2E11" w:rsidP="00A069DA">
            <w:pPr>
              <w:spacing w:after="0" w:line="240" w:lineRule="auto"/>
              <w:jc w:val="right"/>
              <w:rPr>
                <w:rFonts w:asciiTheme="minorHAnsi" w:hAnsiTheme="minorHAnsi"/>
                <w:sz w:val="18"/>
              </w:rPr>
            </w:pPr>
            <w:r w:rsidRPr="000E37F7">
              <w:rPr>
                <w:rFonts w:asciiTheme="minorHAnsi" w:hAnsiTheme="minorHAnsi"/>
                <w:sz w:val="18"/>
              </w:rPr>
              <w:t>137</w:t>
            </w:r>
          </w:p>
        </w:tc>
        <w:tc>
          <w:tcPr>
            <w:tcW w:w="1077" w:type="dxa"/>
            <w:shd w:val="clear" w:color="auto" w:fill="C6D9F1" w:themeFill="text2" w:themeFillTint="33"/>
            <w:noWrap/>
            <w:vAlign w:val="bottom"/>
            <w:hideMark/>
          </w:tcPr>
          <w:p w14:paraId="2721B312" w14:textId="77777777" w:rsidR="007E2E11" w:rsidRPr="000E37F7" w:rsidRDefault="007E2E11" w:rsidP="00A069DA">
            <w:pPr>
              <w:spacing w:after="0" w:line="240" w:lineRule="auto"/>
              <w:jc w:val="right"/>
              <w:rPr>
                <w:rFonts w:asciiTheme="minorHAnsi" w:hAnsiTheme="minorHAnsi"/>
                <w:sz w:val="18"/>
              </w:rPr>
            </w:pPr>
            <w:r w:rsidRPr="000E37F7">
              <w:rPr>
                <w:rFonts w:asciiTheme="minorHAnsi" w:hAnsiTheme="minorHAnsi"/>
                <w:sz w:val="18"/>
              </w:rPr>
              <w:t>42</w:t>
            </w:r>
          </w:p>
        </w:tc>
      </w:tr>
      <w:tr w:rsidR="007E2E11" w:rsidRPr="000E37F7" w14:paraId="563EBE97" w14:textId="77777777" w:rsidTr="00A069DA">
        <w:trPr>
          <w:trHeight w:val="369"/>
        </w:trPr>
        <w:tc>
          <w:tcPr>
            <w:tcW w:w="1956" w:type="dxa"/>
            <w:noWrap/>
            <w:vAlign w:val="bottom"/>
            <w:hideMark/>
          </w:tcPr>
          <w:p w14:paraId="61549964" w14:textId="77777777" w:rsidR="007E2E11" w:rsidRPr="000E37F7" w:rsidRDefault="007E2E11" w:rsidP="00A069DA">
            <w:pPr>
              <w:spacing w:after="0" w:line="240" w:lineRule="auto"/>
              <w:jc w:val="right"/>
              <w:rPr>
                <w:rFonts w:asciiTheme="minorHAnsi" w:hAnsiTheme="minorHAnsi"/>
                <w:b/>
                <w:sz w:val="18"/>
              </w:rPr>
            </w:pPr>
            <w:r w:rsidRPr="000E37F7">
              <w:rPr>
                <w:rFonts w:asciiTheme="minorHAnsi" w:hAnsiTheme="minorHAnsi"/>
                <w:b/>
                <w:sz w:val="18"/>
              </w:rPr>
              <w:t>NV2</w:t>
            </w:r>
          </w:p>
        </w:tc>
        <w:tc>
          <w:tcPr>
            <w:tcW w:w="1077" w:type="dxa"/>
            <w:noWrap/>
            <w:vAlign w:val="bottom"/>
            <w:hideMark/>
          </w:tcPr>
          <w:p w14:paraId="058D6DF2" w14:textId="77777777" w:rsidR="007E2E11" w:rsidRPr="000E37F7" w:rsidRDefault="007E2E11" w:rsidP="00A069DA">
            <w:pPr>
              <w:spacing w:after="0" w:line="240" w:lineRule="auto"/>
              <w:jc w:val="right"/>
              <w:rPr>
                <w:rFonts w:asciiTheme="minorHAnsi" w:hAnsiTheme="minorHAnsi"/>
                <w:sz w:val="18"/>
              </w:rPr>
            </w:pPr>
            <w:r w:rsidRPr="000E37F7">
              <w:rPr>
                <w:rFonts w:asciiTheme="minorHAnsi" w:hAnsiTheme="minorHAnsi"/>
                <w:sz w:val="18"/>
              </w:rPr>
              <w:t>8</w:t>
            </w:r>
          </w:p>
        </w:tc>
        <w:tc>
          <w:tcPr>
            <w:tcW w:w="1077" w:type="dxa"/>
            <w:shd w:val="clear" w:color="auto" w:fill="C6D9F1" w:themeFill="text2" w:themeFillTint="33"/>
            <w:noWrap/>
            <w:vAlign w:val="bottom"/>
            <w:hideMark/>
          </w:tcPr>
          <w:p w14:paraId="1DBF7D83" w14:textId="77777777" w:rsidR="007E2E11" w:rsidRPr="000E37F7" w:rsidRDefault="007E2E11" w:rsidP="00A069DA">
            <w:pPr>
              <w:spacing w:after="0" w:line="240" w:lineRule="auto"/>
              <w:jc w:val="right"/>
              <w:rPr>
                <w:rFonts w:asciiTheme="minorHAnsi" w:hAnsiTheme="minorHAnsi"/>
                <w:sz w:val="18"/>
              </w:rPr>
            </w:pPr>
            <w:r w:rsidRPr="000E37F7">
              <w:rPr>
                <w:rFonts w:asciiTheme="minorHAnsi" w:hAnsiTheme="minorHAnsi"/>
                <w:sz w:val="18"/>
              </w:rPr>
              <w:t>3</w:t>
            </w:r>
          </w:p>
        </w:tc>
      </w:tr>
      <w:tr w:rsidR="007E2E11" w:rsidRPr="000E37F7" w14:paraId="590C3529" w14:textId="77777777" w:rsidTr="00A069DA">
        <w:trPr>
          <w:trHeight w:val="369"/>
        </w:trPr>
        <w:tc>
          <w:tcPr>
            <w:tcW w:w="1956" w:type="dxa"/>
            <w:noWrap/>
            <w:vAlign w:val="bottom"/>
            <w:hideMark/>
          </w:tcPr>
          <w:p w14:paraId="402282F1" w14:textId="77777777" w:rsidR="007E2E11" w:rsidRPr="000E37F7" w:rsidRDefault="007E2E11" w:rsidP="00A069DA">
            <w:pPr>
              <w:spacing w:after="0" w:line="240" w:lineRule="auto"/>
              <w:jc w:val="right"/>
              <w:rPr>
                <w:rFonts w:asciiTheme="minorHAnsi" w:hAnsiTheme="minorHAnsi"/>
                <w:b/>
                <w:sz w:val="18"/>
              </w:rPr>
            </w:pPr>
            <w:r w:rsidRPr="000E37F7">
              <w:rPr>
                <w:rFonts w:asciiTheme="minorHAnsi" w:hAnsiTheme="minorHAnsi"/>
                <w:b/>
                <w:sz w:val="18"/>
              </w:rPr>
              <w:t>PV</w:t>
            </w:r>
          </w:p>
        </w:tc>
        <w:tc>
          <w:tcPr>
            <w:tcW w:w="1077" w:type="dxa"/>
            <w:noWrap/>
            <w:vAlign w:val="bottom"/>
            <w:hideMark/>
          </w:tcPr>
          <w:p w14:paraId="07063A76" w14:textId="77777777" w:rsidR="007E2E11" w:rsidRPr="000E37F7" w:rsidRDefault="007E2E11" w:rsidP="00A069DA">
            <w:pPr>
              <w:spacing w:after="0" w:line="240" w:lineRule="auto"/>
              <w:jc w:val="right"/>
              <w:rPr>
                <w:rFonts w:asciiTheme="minorHAnsi" w:hAnsiTheme="minorHAnsi"/>
                <w:sz w:val="18"/>
              </w:rPr>
            </w:pPr>
            <w:r w:rsidRPr="000E37F7">
              <w:rPr>
                <w:rFonts w:asciiTheme="minorHAnsi" w:hAnsiTheme="minorHAnsi"/>
                <w:sz w:val="18"/>
              </w:rPr>
              <w:t>63</w:t>
            </w:r>
          </w:p>
        </w:tc>
        <w:tc>
          <w:tcPr>
            <w:tcW w:w="1077" w:type="dxa"/>
            <w:shd w:val="clear" w:color="auto" w:fill="C6D9F1" w:themeFill="text2" w:themeFillTint="33"/>
            <w:noWrap/>
            <w:vAlign w:val="bottom"/>
            <w:hideMark/>
          </w:tcPr>
          <w:p w14:paraId="14FD6B5B" w14:textId="77777777" w:rsidR="007E2E11" w:rsidRPr="000E37F7" w:rsidRDefault="007E2E11" w:rsidP="00A069DA">
            <w:pPr>
              <w:spacing w:after="0" w:line="240" w:lineRule="auto"/>
              <w:jc w:val="right"/>
              <w:rPr>
                <w:rFonts w:asciiTheme="minorHAnsi" w:hAnsiTheme="minorHAnsi"/>
                <w:sz w:val="18"/>
              </w:rPr>
            </w:pPr>
            <w:r w:rsidRPr="000E37F7">
              <w:rPr>
                <w:rFonts w:asciiTheme="minorHAnsi" w:hAnsiTheme="minorHAnsi"/>
                <w:sz w:val="18"/>
              </w:rPr>
              <w:t>69</w:t>
            </w:r>
          </w:p>
        </w:tc>
      </w:tr>
      <w:tr w:rsidR="007E2E11" w:rsidRPr="000E37F7" w14:paraId="6951EDB3" w14:textId="77777777" w:rsidTr="00A069DA">
        <w:trPr>
          <w:trHeight w:val="369"/>
        </w:trPr>
        <w:tc>
          <w:tcPr>
            <w:tcW w:w="1956" w:type="dxa"/>
            <w:noWrap/>
            <w:vAlign w:val="bottom"/>
            <w:hideMark/>
          </w:tcPr>
          <w:p w14:paraId="44603B17" w14:textId="77777777" w:rsidR="007E2E11" w:rsidRPr="000E37F7" w:rsidRDefault="007E2E11" w:rsidP="00A069DA">
            <w:pPr>
              <w:spacing w:after="0" w:line="240" w:lineRule="auto"/>
              <w:jc w:val="right"/>
              <w:rPr>
                <w:rFonts w:asciiTheme="minorHAnsi" w:hAnsiTheme="minorHAnsi"/>
                <w:b/>
                <w:sz w:val="18"/>
              </w:rPr>
            </w:pPr>
            <w:r w:rsidRPr="000E37F7">
              <w:rPr>
                <w:rFonts w:asciiTheme="minorHAnsi" w:hAnsiTheme="minorHAnsi"/>
                <w:b/>
                <w:sz w:val="18"/>
              </w:rPr>
              <w:t>Background Total</w:t>
            </w:r>
          </w:p>
        </w:tc>
        <w:tc>
          <w:tcPr>
            <w:tcW w:w="1077" w:type="dxa"/>
            <w:noWrap/>
            <w:vAlign w:val="bottom"/>
            <w:hideMark/>
          </w:tcPr>
          <w:p w14:paraId="3AC7A8FD" w14:textId="77777777" w:rsidR="007E2E11" w:rsidRPr="000E37F7" w:rsidRDefault="007E2E11" w:rsidP="00A069DA">
            <w:pPr>
              <w:spacing w:after="0" w:line="240" w:lineRule="auto"/>
              <w:jc w:val="right"/>
              <w:rPr>
                <w:rFonts w:asciiTheme="minorHAnsi" w:hAnsiTheme="minorHAnsi"/>
                <w:b/>
                <w:bCs/>
                <w:sz w:val="18"/>
              </w:rPr>
            </w:pPr>
            <w:r w:rsidRPr="000E37F7">
              <w:rPr>
                <w:rFonts w:asciiTheme="minorHAnsi" w:hAnsiTheme="minorHAnsi"/>
                <w:b/>
                <w:bCs/>
                <w:sz w:val="18"/>
              </w:rPr>
              <w:t>216</w:t>
            </w:r>
          </w:p>
        </w:tc>
        <w:tc>
          <w:tcPr>
            <w:tcW w:w="1077" w:type="dxa"/>
            <w:shd w:val="clear" w:color="auto" w:fill="C6D9F1" w:themeFill="text2" w:themeFillTint="33"/>
            <w:noWrap/>
            <w:vAlign w:val="bottom"/>
            <w:hideMark/>
          </w:tcPr>
          <w:p w14:paraId="18AABE44" w14:textId="77777777" w:rsidR="007E2E11" w:rsidRPr="000E37F7" w:rsidRDefault="007E2E11" w:rsidP="00A069DA">
            <w:pPr>
              <w:spacing w:after="0" w:line="240" w:lineRule="auto"/>
              <w:jc w:val="right"/>
              <w:rPr>
                <w:rFonts w:asciiTheme="minorHAnsi" w:hAnsiTheme="minorHAnsi"/>
                <w:b/>
                <w:bCs/>
                <w:sz w:val="18"/>
              </w:rPr>
            </w:pPr>
            <w:r w:rsidRPr="000E37F7">
              <w:rPr>
                <w:rFonts w:asciiTheme="minorHAnsi" w:hAnsiTheme="minorHAnsi"/>
                <w:b/>
                <w:bCs/>
                <w:sz w:val="18"/>
              </w:rPr>
              <w:t>117</w:t>
            </w:r>
          </w:p>
        </w:tc>
      </w:tr>
    </w:tbl>
    <w:p w14:paraId="696988EC" w14:textId="3A66F502" w:rsidR="00A069DA" w:rsidRDefault="00CE6F1C" w:rsidP="00A069DA">
      <w:pPr>
        <w:ind w:right="5159"/>
      </w:pPr>
      <w:r w:rsidRPr="005A33DD">
        <w:t>Assurance about a person’s background gives confidence that they can be trusted to protect government resources (people, information and assets). A person is considered to have an uncheckabl</w:t>
      </w:r>
      <w:r w:rsidR="00C85ED0">
        <w:t>e background where more than 12 </w:t>
      </w:r>
      <w:r w:rsidRPr="005A33DD">
        <w:t>months (cumulative) of the security clearance background checking period cannot be verified</w:t>
      </w:r>
      <w:r>
        <w:t xml:space="preserve">. </w:t>
      </w:r>
    </w:p>
    <w:p w14:paraId="3D0F479B" w14:textId="3A16A965" w:rsidR="008029C1" w:rsidRDefault="00A069DA" w:rsidP="00A069DA">
      <w:pPr>
        <w:ind w:right="5159"/>
      </w:pPr>
      <w:r w:rsidRPr="00A47E24">
        <w:rPr>
          <w:noProof/>
          <w:w w:val="100"/>
          <w:lang w:eastAsia="en-AU"/>
        </w:rPr>
        <mc:AlternateContent>
          <mc:Choice Requires="wps">
            <w:drawing>
              <wp:anchor distT="0" distB="180340" distL="114300" distR="114300" simplePos="0" relativeHeight="251649536" behindDoc="1" locked="0" layoutInCell="1" allowOverlap="1" wp14:anchorId="3A62A2F1" wp14:editId="4EC7D49A">
                <wp:simplePos x="0" y="0"/>
                <wp:positionH relativeFrom="margin">
                  <wp:posOffset>3359785</wp:posOffset>
                </wp:positionH>
                <wp:positionV relativeFrom="paragraph">
                  <wp:posOffset>233680</wp:posOffset>
                </wp:positionV>
                <wp:extent cx="3136900" cy="666750"/>
                <wp:effectExtent l="0" t="0" r="6350" b="0"/>
                <wp:wrapSquare wrapText="bothSides"/>
                <wp:docPr id="11" name="Text Box 11"/>
                <wp:cNvGraphicFramePr/>
                <a:graphic xmlns:a="http://schemas.openxmlformats.org/drawingml/2006/main">
                  <a:graphicData uri="http://schemas.microsoft.com/office/word/2010/wordprocessingShape">
                    <wps:wsp>
                      <wps:cNvSpPr txBox="1"/>
                      <wps:spPr>
                        <a:xfrm>
                          <a:off x="0" y="0"/>
                          <a:ext cx="3136900" cy="666750"/>
                        </a:xfrm>
                        <a:prstGeom prst="rect">
                          <a:avLst/>
                        </a:prstGeom>
                        <a:solidFill>
                          <a:srgbClr val="1F497D">
                            <a:lumMod val="20000"/>
                            <a:lumOff val="80000"/>
                          </a:srgbClr>
                        </a:solidFill>
                        <a:ln w="6350">
                          <a:noFill/>
                        </a:ln>
                        <a:effectLst/>
                      </wps:spPr>
                      <wps:txbx>
                        <w:txbxContent>
                          <w:p w14:paraId="5A4B7B19" w14:textId="6F113DA8" w:rsidR="00CE6F1C" w:rsidRPr="00B7209B" w:rsidRDefault="00CE6F1C" w:rsidP="00CF2A14">
                            <w:pPr>
                              <w:spacing w:after="120" w:line="240" w:lineRule="auto"/>
                              <w:rPr>
                                <w:sz w:val="18"/>
                              </w:rPr>
                            </w:pPr>
                            <w:r>
                              <w:rPr>
                                <w:sz w:val="18"/>
                              </w:rPr>
                              <w:t>There was a 45.83</w:t>
                            </w:r>
                            <w:r w:rsidRPr="008F1E5E">
                              <w:rPr>
                                <w:sz w:val="18"/>
                              </w:rPr>
                              <w:t>%</w:t>
                            </w:r>
                            <w:r>
                              <w:rPr>
                                <w:sz w:val="18"/>
                              </w:rPr>
                              <w:t xml:space="preserve"> reduction in the number of checkable background waivers from 216 in 2016–17 to 117 in 2017–18. The majority of this reduction was at the NV1 security clearance level and can be attributed to a single entity.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A62A2F1" id="Text Box 11" o:spid="_x0000_s1036" type="#_x0000_t202" style="position:absolute;margin-left:264.55pt;margin-top:18.4pt;width:247pt;height:52.5pt;z-index:-251666944;visibility:visible;mso-wrap-style:square;mso-width-percent:0;mso-height-percent:0;mso-wrap-distance-left:9pt;mso-wrap-distance-top:0;mso-wrap-distance-right:9pt;mso-wrap-distance-bottom:14.2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" fillcolor="#c6d9f1" stroked="f" strokeweight=".5pt">
                <v:textbox>
                  <w:txbxContent>
                    <w:p w14:paraId="5A4B7B19" w14:textId="6F113DA8" w:rsidR="00CE6F1C" w:rsidRPr="00B7209B" w:rsidRDefault="00CE6F1C" w:rsidP="00CF2A14">
                      <w:pPr>
                        <w:spacing w:after="120" w:line="240" w:lineRule="auto"/>
                        <w:rPr>
                          <w:sz w:val="18"/>
                        </w:rPr>
                      </w:pPr>
                      <w:r>
                        <w:rPr>
                          <w:sz w:val="18"/>
                        </w:rPr>
                        <w:t>There was a 45.83</w:t>
                      </w:r>
                      <w:r w:rsidRPr="008F1E5E">
                        <w:rPr>
                          <w:sz w:val="18"/>
                        </w:rPr>
                        <w:t>%</w:t>
                      </w:r>
                      <w:r>
                        <w:rPr>
                          <w:sz w:val="18"/>
                        </w:rPr>
                        <w:t xml:space="preserve"> reduction in the number of checkable background waivers from 216 in 2016–17 to 117 in 2017–18. The majority of this reduction was at the NV1 security clearance level and can be attributed to a single entity. </w:t>
                      </w:r>
                    </w:p>
                  </w:txbxContent>
                </v:textbox>
                <w10:wrap type="square" anchorx="margin"/>
              </v:shape>
            </w:pict>
          </mc:Fallback>
        </mc:AlternateContent>
      </w:r>
      <w:r w:rsidR="00CF2A14">
        <w:t xml:space="preserve">In 2017–18, there were 117 security clearance holders with an uncheckable background. This is a 45.83% decrease in checkable background waivers from </w:t>
      </w:r>
      <w:r w:rsidR="00996F04">
        <w:t xml:space="preserve">the </w:t>
      </w:r>
      <w:r w:rsidR="00CF2A14">
        <w:t xml:space="preserve">2016–17 figures of 216. </w:t>
      </w:r>
    </w:p>
    <w:p w14:paraId="0F9A55D1" w14:textId="4C9FB5D4" w:rsidR="00313564" w:rsidRDefault="00CF2A14" w:rsidP="00A069DA">
      <w:r>
        <w:t>Checkable background waivers are most commonly granted for Positive Vetting (PV) level clearances. This reflects the more onerous</w:t>
      </w:r>
      <w:r w:rsidR="008029C1">
        <w:t xml:space="preserve"> </w:t>
      </w:r>
      <w:r>
        <w:t>background checking requirements accompanying a</w:t>
      </w:r>
      <w:r w:rsidR="007D4A4B">
        <w:t xml:space="preserve"> </w:t>
      </w:r>
      <w:r>
        <w:t>PV level clearance.</w:t>
      </w:r>
      <w:r>
        <w:rPr>
          <w:rStyle w:val="FootnoteReference"/>
        </w:rPr>
        <w:footnoteReference w:id="3"/>
      </w:r>
    </w:p>
    <w:p w14:paraId="7C7B2C48" w14:textId="4A942BD7" w:rsidR="00CF2A14" w:rsidRDefault="00CF2A14" w:rsidP="00166B00">
      <w:pPr>
        <w:pStyle w:val="Heading3"/>
      </w:pPr>
      <w:r>
        <w:t>Information security</w:t>
      </w:r>
    </w:p>
    <w:p w14:paraId="1C5EB846" w14:textId="0CB8F09F" w:rsidR="00CF2A14" w:rsidRDefault="00CF2A14" w:rsidP="00CF2A14">
      <w:r>
        <w:t>Continuing advances in technology contribute to the dynamic environment of information security and the diverse threats encountered by the Australian Government in securing its information. As such, information security arrangements are an important element in an entity’s effective protective security regime</w:t>
      </w:r>
      <w:r w:rsidR="00E25C36">
        <w:t xml:space="preserve"> but a particularly challenging one</w:t>
      </w:r>
      <w:r>
        <w:t>.</w:t>
      </w:r>
    </w:p>
    <w:p w14:paraId="32314CCF" w14:textId="2DF3BD29" w:rsidR="00DD7C3F" w:rsidRDefault="00C85ED0" w:rsidP="00C85ED0">
      <w:pPr>
        <w:spacing w:after="0"/>
      </w:pPr>
      <w:r>
        <w:rPr>
          <w:noProof/>
          <w:lang w:eastAsia="en-AU"/>
        </w:rPr>
        <w:drawing>
          <wp:anchor distT="0" distB="0" distL="114300" distR="114300" simplePos="0" relativeHeight="251642368" behindDoc="0" locked="0" layoutInCell="1" allowOverlap="1" wp14:anchorId="49EFD226" wp14:editId="39BB51D4">
            <wp:simplePos x="0" y="0"/>
            <wp:positionH relativeFrom="margin">
              <wp:posOffset>-12065</wp:posOffset>
            </wp:positionH>
            <wp:positionV relativeFrom="page">
              <wp:posOffset>5257800</wp:posOffset>
            </wp:positionV>
            <wp:extent cx="6353175" cy="3153410"/>
            <wp:effectExtent l="0" t="0" r="0" b="8890"/>
            <wp:wrapTopAndBottom/>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14:sizeRelH relativeFrom="page">
              <wp14:pctWidth>0</wp14:pctWidth>
            </wp14:sizeRelH>
            <wp14:sizeRelV relativeFrom="page">
              <wp14:pctHeight>0</wp14:pctHeight>
            </wp14:sizeRelV>
          </wp:anchor>
        </w:drawing>
      </w:r>
      <w:r w:rsidRPr="00C85ED0">
        <w:rPr>
          <w:b/>
          <w:noProof/>
          <w:color w:val="4F81BD" w:themeColor="accent1"/>
          <w:sz w:val="20"/>
          <w:lang w:eastAsia="en-AU"/>
        </w:rPr>
        <mc:AlternateContent>
          <mc:Choice Requires="wps">
            <w:drawing>
              <wp:anchor distT="45720" distB="45720" distL="114300" distR="114300" simplePos="0" relativeHeight="251683328" behindDoc="0" locked="0" layoutInCell="1" allowOverlap="1" wp14:anchorId="35AFA969" wp14:editId="22644EA3">
                <wp:simplePos x="0" y="0"/>
                <wp:positionH relativeFrom="column">
                  <wp:posOffset>851597</wp:posOffset>
                </wp:positionH>
                <wp:positionV relativeFrom="paragraph">
                  <wp:posOffset>167261</wp:posOffset>
                </wp:positionV>
                <wp:extent cx="4330800" cy="273600"/>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0800" cy="273600"/>
                        </a:xfrm>
                        <a:prstGeom prst="rect">
                          <a:avLst/>
                        </a:prstGeom>
                        <a:noFill/>
                        <a:ln w="9525">
                          <a:noFill/>
                          <a:miter lim="800000"/>
                          <a:headEnd/>
                          <a:tailEnd/>
                        </a:ln>
                      </wps:spPr>
                      <wps:txbx>
                        <w:txbxContent>
                          <w:p w14:paraId="0552B8FD" w14:textId="41102B5A" w:rsidR="00C85ED0" w:rsidRDefault="00C85ED0">
                            <w:r>
                              <w:rPr>
                                <w:b/>
                                <w:color w:val="4F81BD" w:themeColor="accent1"/>
                                <w:sz w:val="20"/>
                              </w:rPr>
                              <w:t>Figure 4</w:t>
                            </w:r>
                            <w:r w:rsidRPr="00B8468D">
                              <w:rPr>
                                <w:b/>
                                <w:color w:val="4F81BD" w:themeColor="accent1"/>
                                <w:sz w:val="20"/>
                              </w:rPr>
                              <w:t xml:space="preserve">: </w:t>
                            </w:r>
                            <w:r>
                              <w:rPr>
                                <w:b/>
                                <w:color w:val="4F81BD" w:themeColor="accent1"/>
                                <w:sz w:val="20"/>
                              </w:rPr>
                              <w:t>Proportion of NCCEs compliant with PSPF INFOSEC requirements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35AFA969" id="Text Box 2" o:spid="_x0000_s1037" type="#_x0000_t202" style="position:absolute;margin-left:67.05pt;margin-top:13.15pt;width:341pt;height:21.55pt;z-index:2516833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" filled="f" stroked="f">
                <v:textbox>
                  <w:txbxContent>
                    <w:p w14:paraId="0552B8FD" w14:textId="41102B5A" w:rsidR="00C85ED0" w:rsidRDefault="00C85ED0">
                      <w:r>
                        <w:rPr>
                          <w:b/>
                          <w:color w:val="4F81BD" w:themeColor="accent1"/>
                          <w:sz w:val="20"/>
                        </w:rPr>
                        <w:t>Figure 4</w:t>
                      </w:r>
                      <w:r w:rsidRPr="00B8468D">
                        <w:rPr>
                          <w:b/>
                          <w:color w:val="4F81BD" w:themeColor="accent1"/>
                          <w:sz w:val="20"/>
                        </w:rPr>
                        <w:t xml:space="preserve">: </w:t>
                      </w:r>
                      <w:r>
                        <w:rPr>
                          <w:b/>
                          <w:color w:val="4F81BD" w:themeColor="accent1"/>
                          <w:sz w:val="20"/>
                        </w:rPr>
                        <w:t>Proportion of NCCEs compliant with PSPF INFOSEC requirements</w:t>
                      </w:r>
                    </w:p>
                  </w:txbxContent>
                </v:textbox>
              </v:shape>
            </w:pict>
          </mc:Fallback>
        </mc:AlternateContent>
      </w:r>
      <w:r w:rsidR="00CF2A14">
        <w:t>Compliance with information security req</w:t>
      </w:r>
      <w:r w:rsidR="005E07C5">
        <w:t>uirements remains an area of focus for all NCCEs.</w:t>
      </w:r>
      <w:r w:rsidR="00CF2A14">
        <w:t xml:space="preserve"> </w:t>
      </w:r>
    </w:p>
    <w:p w14:paraId="78D0217B" w14:textId="20CB15A9" w:rsidR="00CF2A14" w:rsidRDefault="008B50E1" w:rsidP="00E64F15">
      <w:r>
        <w:t xml:space="preserve">With </w:t>
      </w:r>
      <w:r w:rsidR="00CF2A14">
        <w:t xml:space="preserve">increased awareness of cyber security risks and </w:t>
      </w:r>
      <w:r w:rsidR="0090534E">
        <w:t xml:space="preserve">efforts highlighting appropriate </w:t>
      </w:r>
      <w:r w:rsidR="00CF2A14">
        <w:t xml:space="preserve">risk mitigation strategies in 2016–17, </w:t>
      </w:r>
      <w:r>
        <w:t>entities were more considered in their assessment against the information security requirements recording</w:t>
      </w:r>
      <w:r w:rsidR="00CF2A14">
        <w:t xml:space="preserve"> no significant improvement in NCCE compliance with information security requirements in 2017–18.</w:t>
      </w:r>
      <w:r w:rsidR="00CF2A14" w:rsidRPr="008E28AC">
        <w:rPr>
          <w:noProof/>
          <w:lang w:eastAsia="en-AU"/>
        </w:rPr>
        <w:t xml:space="preserve"> </w:t>
      </w:r>
    </w:p>
    <w:p w14:paraId="63A15388" w14:textId="3C1E439E" w:rsidR="00CF2A14" w:rsidRDefault="00DD4091" w:rsidP="00A069DA">
      <w:pPr>
        <w:ind w:right="5868"/>
        <w:rPr>
          <w:i/>
        </w:rPr>
      </w:pPr>
      <w:r>
        <w:rPr>
          <w:noProof/>
          <w:lang w:eastAsia="en-AU"/>
        </w:rPr>
        <w:drawing>
          <wp:anchor distT="0" distB="0" distL="114300" distR="114300" simplePos="0" relativeHeight="251727360" behindDoc="0" locked="0" layoutInCell="1" allowOverlap="1" wp14:anchorId="027A6373" wp14:editId="536E9418">
            <wp:simplePos x="0" y="0"/>
            <wp:positionH relativeFrom="margin">
              <wp:posOffset>2684780</wp:posOffset>
            </wp:positionH>
            <wp:positionV relativeFrom="paragraph">
              <wp:posOffset>396240</wp:posOffset>
            </wp:positionV>
            <wp:extent cx="3838575" cy="2019300"/>
            <wp:effectExtent l="0" t="0" r="0" b="0"/>
            <wp:wrapSquare wrapText="bothSides"/>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14:sizeRelH relativeFrom="page">
              <wp14:pctWidth>0</wp14:pctWidth>
            </wp14:sizeRelH>
            <wp14:sizeRelV relativeFrom="page">
              <wp14:pctHeight>0</wp14:pctHeight>
            </wp14:sizeRelV>
          </wp:anchor>
        </w:drawing>
      </w:r>
      <w:r w:rsidRPr="006F6FD8">
        <w:rPr>
          <w:noProof/>
          <w:w w:val="100"/>
          <w:lang w:eastAsia="en-AU"/>
        </w:rPr>
        <mc:AlternateContent>
          <mc:Choice Requires="wps">
            <w:drawing>
              <wp:anchor distT="0" distB="0" distL="114300" distR="114300" simplePos="0" relativeHeight="251653632" behindDoc="0" locked="0" layoutInCell="1" allowOverlap="1" wp14:anchorId="79CBB8C4" wp14:editId="7014C79B">
                <wp:simplePos x="0" y="0"/>
                <wp:positionH relativeFrom="margin">
                  <wp:posOffset>2607310</wp:posOffset>
                </wp:positionH>
                <wp:positionV relativeFrom="paragraph">
                  <wp:posOffset>2540</wp:posOffset>
                </wp:positionV>
                <wp:extent cx="4053840" cy="387985"/>
                <wp:effectExtent l="0" t="0" r="0" b="0"/>
                <wp:wrapSquare wrapText="bothSides"/>
                <wp:docPr id="22" name="Text Box 22"/>
                <wp:cNvGraphicFramePr/>
                <a:graphic xmlns:a="http://schemas.openxmlformats.org/drawingml/2006/main">
                  <a:graphicData uri="http://schemas.microsoft.com/office/word/2010/wordprocessingShape">
                    <wps:wsp>
                      <wps:cNvSpPr txBox="1"/>
                      <wps:spPr>
                        <a:xfrm>
                          <a:off x="0" y="0"/>
                          <a:ext cx="4053840" cy="387985"/>
                        </a:xfrm>
                        <a:prstGeom prst="rect">
                          <a:avLst/>
                        </a:prstGeom>
                        <a:noFill/>
                        <a:ln w="6350">
                          <a:noFill/>
                        </a:ln>
                        <a:effectLst/>
                      </wps:spPr>
                      <wps:txbx>
                        <w:txbxContent>
                          <w:p w14:paraId="4A4A40DF" w14:textId="761A87FB" w:rsidR="00CE6F1C" w:rsidRPr="00B8468D" w:rsidRDefault="00CE6F1C">
                            <w:pPr>
                              <w:jc w:val="center"/>
                              <w:rPr>
                                <w:b/>
                                <w:color w:val="4F81BD" w:themeColor="accent1"/>
                                <w:sz w:val="20"/>
                              </w:rPr>
                            </w:pPr>
                            <w:r>
                              <w:rPr>
                                <w:b/>
                                <w:color w:val="4F81BD" w:themeColor="accent1"/>
                                <w:sz w:val="20"/>
                              </w:rPr>
                              <w:t>Figure 5</w:t>
                            </w:r>
                            <w:r w:rsidRPr="00B8468D">
                              <w:rPr>
                                <w:b/>
                                <w:color w:val="4F81BD" w:themeColor="accent1"/>
                                <w:sz w:val="20"/>
                              </w:rPr>
                              <w:t xml:space="preserve">: </w:t>
                            </w:r>
                            <w:r>
                              <w:rPr>
                                <w:b/>
                                <w:color w:val="4F81BD" w:themeColor="accent1"/>
                                <w:sz w:val="20"/>
                              </w:rPr>
                              <w:t>Proportion of NCCEs compliant with PSPF INFOSEC</w:t>
                            </w:r>
                            <w:r>
                              <w:rPr>
                                <w:b/>
                                <w:color w:val="4F81BD" w:themeColor="accent1"/>
                                <w:sz w:val="20"/>
                              </w:rPr>
                              <w:noBreakHyphen/>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79CBB8C4" id="Text Box 22" o:spid="_x0000_s1038" type="#_x0000_t202" style="position:absolute;margin-left:205.3pt;margin-top:.2pt;width:319.2pt;height:30.55pt;z-index:2516536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" filled="f" stroked="f" strokeweight=".5pt">
                <v:textbox>
                  <w:txbxContent>
                    <w:p w14:paraId="4A4A40DF" w14:textId="761A87FB" w:rsidR="00CE6F1C" w:rsidRPr="00B8468D" w:rsidRDefault="00CE6F1C">
                      <w:pPr>
                        <w:jc w:val="center"/>
                        <w:rPr>
                          <w:b/>
                          <w:color w:val="4F81BD" w:themeColor="accent1"/>
                          <w:sz w:val="20"/>
                        </w:rPr>
                      </w:pPr>
                      <w:r>
                        <w:rPr>
                          <w:b/>
                          <w:color w:val="4F81BD" w:themeColor="accent1"/>
                          <w:sz w:val="20"/>
                        </w:rPr>
                        <w:t>Figure 5</w:t>
                      </w:r>
                      <w:r w:rsidRPr="00B8468D">
                        <w:rPr>
                          <w:b/>
                          <w:color w:val="4F81BD" w:themeColor="accent1"/>
                          <w:sz w:val="20"/>
                        </w:rPr>
                        <w:t xml:space="preserve">: </w:t>
                      </w:r>
                      <w:r>
                        <w:rPr>
                          <w:b/>
                          <w:color w:val="4F81BD" w:themeColor="accent1"/>
                          <w:sz w:val="20"/>
                        </w:rPr>
                        <w:t>Proportion of NCCEs compliant with PSPF INFOSEC</w:t>
                      </w:r>
                      <w:r>
                        <w:rPr>
                          <w:b/>
                          <w:color w:val="4F81BD" w:themeColor="accent1"/>
                          <w:sz w:val="20"/>
                        </w:rPr>
                        <w:noBreakHyphen/>
                        <w:t>4</w:t>
                      </w:r>
                    </w:p>
                  </w:txbxContent>
                </v:textbox>
                <w10:wrap type="square" anchorx="margin"/>
              </v:shape>
            </w:pict>
          </mc:Fallback>
        </mc:AlternateContent>
      </w:r>
      <w:r w:rsidR="00CF2A14">
        <w:t>While there was a marginal increase in compliance with INFOSEC</w:t>
      </w:r>
      <w:r w:rsidR="00CF2A14">
        <w:noBreakHyphen/>
        <w:t>4 from the 2016–17 reporting period (an improvement of 1.49%), at 61.70%, the level of INFOSEC</w:t>
      </w:r>
      <w:r w:rsidR="00CF2A14">
        <w:noBreakHyphen/>
        <w:t>4 compliance remains the lowest of all 36 mandatory requirements. INFOSEC</w:t>
      </w:r>
      <w:r w:rsidR="00CF2A14">
        <w:noBreakHyphen/>
        <w:t xml:space="preserve">4 sets out the requirements for implementing cyber and ICT system security, including the Australian Signal Directorate’s </w:t>
      </w:r>
      <w:r w:rsidR="00CF2A14">
        <w:rPr>
          <w:i/>
        </w:rPr>
        <w:t>Strategies to Mitigate Cyber Security Incidents</w:t>
      </w:r>
      <w:r w:rsidR="00CF2A14">
        <w:t>.</w:t>
      </w:r>
    </w:p>
    <w:p w14:paraId="44D4DD22" w14:textId="15AC6B08" w:rsidR="00CF2A14" w:rsidRDefault="009C5B31" w:rsidP="00A069DA">
      <w:pPr>
        <w:ind w:right="5868"/>
      </w:pPr>
      <w:r w:rsidRPr="006F6FD8">
        <w:rPr>
          <w:noProof/>
          <w:w w:val="100"/>
          <w:lang w:eastAsia="en-AU"/>
        </w:rPr>
        <mc:AlternateContent>
          <mc:Choice Requires="wps">
            <w:drawing>
              <wp:anchor distT="0" distB="0" distL="114300" distR="114300" simplePos="0" relativeHeight="251643392" behindDoc="1" locked="0" layoutInCell="1" allowOverlap="1" wp14:anchorId="60FFC371" wp14:editId="4179AA97">
                <wp:simplePos x="0" y="0"/>
                <wp:positionH relativeFrom="margin">
                  <wp:posOffset>2778125</wp:posOffset>
                </wp:positionH>
                <wp:positionV relativeFrom="paragraph">
                  <wp:posOffset>334645</wp:posOffset>
                </wp:positionV>
                <wp:extent cx="3744595" cy="491490"/>
                <wp:effectExtent l="0" t="0" r="8255" b="3810"/>
                <wp:wrapSquare wrapText="bothSides"/>
                <wp:docPr id="23" name="Text Box 23"/>
                <wp:cNvGraphicFramePr/>
                <a:graphic xmlns:a="http://schemas.openxmlformats.org/drawingml/2006/main">
                  <a:graphicData uri="http://schemas.microsoft.com/office/word/2010/wordprocessingShape">
                    <wps:wsp>
                      <wps:cNvSpPr txBox="1"/>
                      <wps:spPr>
                        <a:xfrm>
                          <a:off x="0" y="0"/>
                          <a:ext cx="3744595" cy="491490"/>
                        </a:xfrm>
                        <a:prstGeom prst="rect">
                          <a:avLst/>
                        </a:prstGeom>
                        <a:solidFill>
                          <a:srgbClr val="1F497D">
                            <a:lumMod val="20000"/>
                            <a:lumOff val="80000"/>
                          </a:srgbClr>
                        </a:solidFill>
                        <a:ln w="6350">
                          <a:noFill/>
                        </a:ln>
                        <a:effectLst/>
                      </wps:spPr>
                      <wps:txbx>
                        <w:txbxContent>
                          <w:p w14:paraId="1DA792A4" w14:textId="77777777" w:rsidR="00CE6F1C" w:rsidRPr="006F6FD8" w:rsidRDefault="00CE6F1C" w:rsidP="00CF2A14">
                            <w:pPr>
                              <w:spacing w:after="120" w:line="240" w:lineRule="auto"/>
                              <w:rPr>
                                <w:i/>
                                <w:sz w:val="18"/>
                              </w:rPr>
                            </w:pPr>
                            <w:r>
                              <w:rPr>
                                <w:sz w:val="18"/>
                              </w:rPr>
                              <w:t>Implementation of the INFOSEC</w:t>
                            </w:r>
                            <w:r>
                              <w:rPr>
                                <w:sz w:val="18"/>
                              </w:rPr>
                              <w:noBreakHyphen/>
                              <w:t xml:space="preserve">4 requirement remains a key challenge across the NCCEs.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0FFC371" id="Text Box 23" o:spid="_x0000_s1039" type="#_x0000_t202" style="position:absolute;margin-left:218.75pt;margin-top:26.35pt;width:294.85pt;height:38.7pt;z-index:-2516730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" fillcolor="#c6d9f1" stroked="f" strokeweight=".5pt">
                <v:textbox>
                  <w:txbxContent>
                    <w:p w14:paraId="1DA792A4" w14:textId="77777777" w:rsidR="00CE6F1C" w:rsidRPr="006F6FD8" w:rsidRDefault="00CE6F1C" w:rsidP="00CF2A14">
                      <w:pPr>
                        <w:spacing w:after="120" w:line="240" w:lineRule="auto"/>
                        <w:rPr>
                          <w:i/>
                          <w:sz w:val="18"/>
                        </w:rPr>
                      </w:pPr>
                      <w:r>
                        <w:rPr>
                          <w:sz w:val="18"/>
                        </w:rPr>
                        <w:t>Implementation of the INFOSEC</w:t>
                      </w:r>
                      <w:r>
                        <w:rPr>
                          <w:sz w:val="18"/>
                        </w:rPr>
                        <w:noBreakHyphen/>
                        <w:t xml:space="preserve">4 requirement remains a key challenge across the NCCEs. </w:t>
                      </w:r>
                    </w:p>
                  </w:txbxContent>
                </v:textbox>
                <w10:wrap type="square" anchorx="margin"/>
              </v:shape>
            </w:pict>
          </mc:Fallback>
        </mc:AlternateContent>
      </w:r>
      <w:r w:rsidR="00DD4091" w:rsidRPr="00EF7F8E">
        <w:rPr>
          <w:noProof/>
          <w:w w:val="100"/>
          <w:lang w:eastAsia="en-AU"/>
        </w:rPr>
        <mc:AlternateContent>
          <mc:Choice Requires="wps">
            <w:drawing>
              <wp:anchor distT="0" distB="0" distL="114300" distR="114300" simplePos="0" relativeHeight="251646464" behindDoc="1" locked="0" layoutInCell="1" allowOverlap="1" wp14:anchorId="5CEFF789" wp14:editId="23BCD0EF">
                <wp:simplePos x="0" y="0"/>
                <wp:positionH relativeFrom="margin">
                  <wp:posOffset>2816860</wp:posOffset>
                </wp:positionH>
                <wp:positionV relativeFrom="paragraph">
                  <wp:posOffset>3909695</wp:posOffset>
                </wp:positionV>
                <wp:extent cx="3696970" cy="491490"/>
                <wp:effectExtent l="0" t="0" r="0" b="3810"/>
                <wp:wrapSquare wrapText="bothSides"/>
                <wp:docPr id="26" name="Text Box 26"/>
                <wp:cNvGraphicFramePr/>
                <a:graphic xmlns:a="http://schemas.openxmlformats.org/drawingml/2006/main">
                  <a:graphicData uri="http://schemas.microsoft.com/office/word/2010/wordprocessingShape">
                    <wps:wsp>
                      <wps:cNvSpPr txBox="1"/>
                      <wps:spPr>
                        <a:xfrm>
                          <a:off x="0" y="0"/>
                          <a:ext cx="3696970" cy="491490"/>
                        </a:xfrm>
                        <a:prstGeom prst="rect">
                          <a:avLst/>
                        </a:prstGeom>
                        <a:solidFill>
                          <a:srgbClr val="1F497D">
                            <a:lumMod val="20000"/>
                            <a:lumOff val="80000"/>
                          </a:srgbClr>
                        </a:solidFill>
                        <a:ln w="6350">
                          <a:noFill/>
                        </a:ln>
                        <a:effectLst/>
                      </wps:spPr>
                      <wps:txbx>
                        <w:txbxContent>
                          <w:p w14:paraId="40B15912" w14:textId="77777777" w:rsidR="00CE6F1C" w:rsidRPr="006F6FD8" w:rsidRDefault="00CE6F1C" w:rsidP="00CF2A14">
                            <w:pPr>
                              <w:spacing w:after="120" w:line="240" w:lineRule="auto"/>
                              <w:rPr>
                                <w:i/>
                                <w:sz w:val="18"/>
                              </w:rPr>
                            </w:pPr>
                            <w:r>
                              <w:rPr>
                                <w:sz w:val="18"/>
                              </w:rPr>
                              <w:t>INFOSEC</w:t>
                            </w:r>
                            <w:r>
                              <w:rPr>
                                <w:sz w:val="18"/>
                              </w:rPr>
                              <w:noBreakHyphen/>
                              <w:t>3 was the only PSPF mandatory requirement that saw a decrease in compliance of more than 5% from the 2016–17 reporting period.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CEFF789" id="Text Box 26" o:spid="_x0000_s1040" type="#_x0000_t202" style="position:absolute;margin-left:221.8pt;margin-top:307.85pt;width:291.1pt;height:38.7pt;z-index:-2516700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" fillcolor="#c6d9f1" stroked="f" strokeweight=".5pt">
                <v:textbox>
                  <w:txbxContent>
                    <w:p w14:paraId="40B15912" w14:textId="77777777" w:rsidR="00CE6F1C" w:rsidRPr="006F6FD8" w:rsidRDefault="00CE6F1C" w:rsidP="00CF2A14">
                      <w:pPr>
                        <w:spacing w:after="120" w:line="240" w:lineRule="auto"/>
                        <w:rPr>
                          <w:i/>
                          <w:sz w:val="18"/>
                        </w:rPr>
                      </w:pPr>
                      <w:r>
                        <w:rPr>
                          <w:sz w:val="18"/>
                        </w:rPr>
                        <w:t>INFOSEC</w:t>
                      </w:r>
                      <w:r>
                        <w:rPr>
                          <w:sz w:val="18"/>
                        </w:rPr>
                        <w:noBreakHyphen/>
                        <w:t>3 was the only PSPF mandatory requirement that saw a decrease in compliance of more than 5% from the 2016–17 reporting period.</w:t>
                      </w:r>
                    </w:p>
                  </w:txbxContent>
                </v:textbox>
                <w10:wrap type="square" anchorx="margin"/>
              </v:shape>
            </w:pict>
          </mc:Fallback>
        </mc:AlternateContent>
      </w:r>
      <w:r w:rsidR="00DD4091">
        <w:rPr>
          <w:noProof/>
          <w:lang w:eastAsia="en-AU"/>
        </w:rPr>
        <w:drawing>
          <wp:anchor distT="0" distB="0" distL="114300" distR="114300" simplePos="0" relativeHeight="251644416" behindDoc="0" locked="0" layoutInCell="1" allowOverlap="1" wp14:anchorId="404A0D0B" wp14:editId="29533287">
            <wp:simplePos x="0" y="0"/>
            <wp:positionH relativeFrom="margin">
              <wp:posOffset>2702560</wp:posOffset>
            </wp:positionH>
            <wp:positionV relativeFrom="paragraph">
              <wp:posOffset>1433195</wp:posOffset>
            </wp:positionV>
            <wp:extent cx="3829685" cy="2339975"/>
            <wp:effectExtent l="0" t="0" r="0" b="3175"/>
            <wp:wrapSquare wrapText="bothSides"/>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14:sizeRelH relativeFrom="page">
              <wp14:pctWidth>0</wp14:pctWidth>
            </wp14:sizeRelH>
            <wp14:sizeRelV relativeFrom="page">
              <wp14:pctHeight>0</wp14:pctHeight>
            </wp14:sizeRelV>
          </wp:anchor>
        </w:drawing>
      </w:r>
      <w:r w:rsidR="00DD4091" w:rsidRPr="00EF7F8E">
        <w:rPr>
          <w:noProof/>
          <w:w w:val="100"/>
          <w:lang w:eastAsia="en-AU"/>
        </w:rPr>
        <mc:AlternateContent>
          <mc:Choice Requires="wps">
            <w:drawing>
              <wp:anchor distT="0" distB="0" distL="114300" distR="114300" simplePos="0" relativeHeight="251645440" behindDoc="0" locked="0" layoutInCell="1" allowOverlap="1" wp14:anchorId="5A0049B5" wp14:editId="1292CD7A">
                <wp:simplePos x="0" y="0"/>
                <wp:positionH relativeFrom="margin">
                  <wp:posOffset>2541270</wp:posOffset>
                </wp:positionH>
                <wp:positionV relativeFrom="paragraph">
                  <wp:posOffset>1087755</wp:posOffset>
                </wp:positionV>
                <wp:extent cx="4053840" cy="387985"/>
                <wp:effectExtent l="0" t="0" r="0" b="0"/>
                <wp:wrapSquare wrapText="bothSides"/>
                <wp:docPr id="25" name="Text Box 25"/>
                <wp:cNvGraphicFramePr/>
                <a:graphic xmlns:a="http://schemas.openxmlformats.org/drawingml/2006/main">
                  <a:graphicData uri="http://schemas.microsoft.com/office/word/2010/wordprocessingShape">
                    <wps:wsp>
                      <wps:cNvSpPr txBox="1"/>
                      <wps:spPr>
                        <a:xfrm>
                          <a:off x="0" y="0"/>
                          <a:ext cx="4053840" cy="387985"/>
                        </a:xfrm>
                        <a:prstGeom prst="rect">
                          <a:avLst/>
                        </a:prstGeom>
                        <a:noFill/>
                        <a:ln w="6350">
                          <a:noFill/>
                        </a:ln>
                        <a:effectLst/>
                      </wps:spPr>
                      <wps:txbx>
                        <w:txbxContent>
                          <w:p w14:paraId="6EB2E9EB" w14:textId="36213232" w:rsidR="00CE6F1C" w:rsidRPr="00B8468D" w:rsidRDefault="00CE6F1C" w:rsidP="00CF2A14">
                            <w:pPr>
                              <w:jc w:val="right"/>
                              <w:rPr>
                                <w:b/>
                                <w:color w:val="4F81BD" w:themeColor="accent1"/>
                                <w:sz w:val="20"/>
                              </w:rPr>
                            </w:pPr>
                            <w:r>
                              <w:rPr>
                                <w:b/>
                                <w:color w:val="4F81BD" w:themeColor="accent1"/>
                                <w:sz w:val="20"/>
                              </w:rPr>
                              <w:t>Figure 6</w:t>
                            </w:r>
                            <w:r w:rsidRPr="00B8468D">
                              <w:rPr>
                                <w:b/>
                                <w:color w:val="4F81BD" w:themeColor="accent1"/>
                                <w:sz w:val="20"/>
                              </w:rPr>
                              <w:t xml:space="preserve">: </w:t>
                            </w:r>
                            <w:r>
                              <w:rPr>
                                <w:b/>
                                <w:color w:val="4F81BD" w:themeColor="accent1"/>
                                <w:sz w:val="20"/>
                              </w:rPr>
                              <w:t>Proportion of NCCEs compliant with PSPF INFOSEC</w:t>
                            </w:r>
                            <w:r>
                              <w:rPr>
                                <w:b/>
                                <w:color w:val="4F81BD" w:themeColor="accent1"/>
                                <w:sz w:val="20"/>
                              </w:rPr>
                              <w:noBreakHyphen/>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5A0049B5" id="Text Box 25" o:spid="_x0000_s1041" type="#_x0000_t202" style="position:absolute;margin-left:200.1pt;margin-top:85.65pt;width:319.2pt;height:30.55pt;z-index:2516454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" filled="f" stroked="f" strokeweight=".5pt">
                <v:textbox>
                  <w:txbxContent>
                    <w:p w14:paraId="6EB2E9EB" w14:textId="36213232" w:rsidR="00CE6F1C" w:rsidRPr="00B8468D" w:rsidRDefault="00CE6F1C" w:rsidP="00CF2A14">
                      <w:pPr>
                        <w:jc w:val="right"/>
                        <w:rPr>
                          <w:b/>
                          <w:color w:val="4F81BD" w:themeColor="accent1"/>
                          <w:sz w:val="20"/>
                        </w:rPr>
                      </w:pPr>
                      <w:r>
                        <w:rPr>
                          <w:b/>
                          <w:color w:val="4F81BD" w:themeColor="accent1"/>
                          <w:sz w:val="20"/>
                        </w:rPr>
                        <w:t>Figure 6</w:t>
                      </w:r>
                      <w:r w:rsidRPr="00B8468D">
                        <w:rPr>
                          <w:b/>
                          <w:color w:val="4F81BD" w:themeColor="accent1"/>
                          <w:sz w:val="20"/>
                        </w:rPr>
                        <w:t xml:space="preserve">: </w:t>
                      </w:r>
                      <w:r>
                        <w:rPr>
                          <w:b/>
                          <w:color w:val="4F81BD" w:themeColor="accent1"/>
                          <w:sz w:val="20"/>
                        </w:rPr>
                        <w:t>Proportion of NCCEs compliant with PSPF INFOSEC</w:t>
                      </w:r>
                      <w:r>
                        <w:rPr>
                          <w:b/>
                          <w:color w:val="4F81BD" w:themeColor="accent1"/>
                          <w:sz w:val="20"/>
                        </w:rPr>
                        <w:noBreakHyphen/>
                        <w:t>3</w:t>
                      </w:r>
                    </w:p>
                  </w:txbxContent>
                </v:textbox>
                <w10:wrap type="square" anchorx="margin"/>
              </v:shape>
            </w:pict>
          </mc:Fallback>
        </mc:AlternateContent>
      </w:r>
      <w:proofErr w:type="gramStart"/>
      <w:r w:rsidR="00CF2A14">
        <w:t>Compliance with INFOSEC</w:t>
      </w:r>
      <w:r w:rsidR="00CF2A14">
        <w:noBreakHyphen/>
        <w:t xml:space="preserve">3, the policy concerning entities’ security classification and the protective control of </w:t>
      </w:r>
      <w:r w:rsidR="00CF2A14" w:rsidRPr="005C1764">
        <w:t>information assets, decreased by 5.19%</w:t>
      </w:r>
      <w:r w:rsidR="00996F04" w:rsidRPr="005C1764">
        <w:t>.</w:t>
      </w:r>
      <w:proofErr w:type="gramEnd"/>
      <w:r w:rsidR="00CF2A14" w:rsidRPr="005C1764">
        <w:t xml:space="preserve"> </w:t>
      </w:r>
      <w:r w:rsidR="00996F04" w:rsidRPr="005C1764">
        <w:t xml:space="preserve">This is </w:t>
      </w:r>
      <w:r w:rsidR="00CF2A14" w:rsidRPr="005C1764">
        <w:t>the only requirement</w:t>
      </w:r>
      <w:r w:rsidR="00CA2DA8" w:rsidRPr="005C1764">
        <w:t xml:space="preserve"> in 2017–18</w:t>
      </w:r>
      <w:r w:rsidR="00CF2A14" w:rsidRPr="005C1764">
        <w:t xml:space="preserve"> to record a decrease </w:t>
      </w:r>
      <w:r w:rsidR="00996F04" w:rsidRPr="005C1764">
        <w:t xml:space="preserve">in the level of compliance </w:t>
      </w:r>
      <w:r w:rsidR="00752031" w:rsidRPr="005C1764">
        <w:t>of more than five percent</w:t>
      </w:r>
      <w:r w:rsidR="00CA2DA8" w:rsidRPr="005C1764">
        <w:t xml:space="preserve">. </w:t>
      </w:r>
      <w:r w:rsidR="00CF2A14" w:rsidRPr="005C1764">
        <w:t>This change is attribut</w:t>
      </w:r>
      <w:r w:rsidR="00830A5E" w:rsidRPr="005C1764">
        <w:t>ed</w:t>
      </w:r>
      <w:r w:rsidR="005C1764" w:rsidRPr="005C1764">
        <w:t xml:space="preserve"> to some</w:t>
      </w:r>
      <w:r w:rsidR="00CF2A14" w:rsidRPr="005C1764">
        <w:t xml:space="preserve"> entities</w:t>
      </w:r>
      <w:r w:rsidR="005C1764" w:rsidRPr="005C1764">
        <w:t xml:space="preserve"> identifying gaps in their approaches following</w:t>
      </w:r>
      <w:r w:rsidR="00EB1366" w:rsidRPr="005C1764">
        <w:t xml:space="preserve"> </w:t>
      </w:r>
      <w:r w:rsidR="005C1764" w:rsidRPr="005C1764">
        <w:t>review</w:t>
      </w:r>
      <w:r w:rsidR="00EB1366" w:rsidRPr="005C1764">
        <w:t xml:space="preserve"> </w:t>
      </w:r>
      <w:r w:rsidR="005C1764" w:rsidRPr="005C1764">
        <w:t xml:space="preserve">of their </w:t>
      </w:r>
      <w:r w:rsidR="00EB1366" w:rsidRPr="005C1764">
        <w:t xml:space="preserve">policies and security measures </w:t>
      </w:r>
      <w:r w:rsidR="005C1764" w:rsidRPr="005C1764">
        <w:t xml:space="preserve">regarding </w:t>
      </w:r>
      <w:r w:rsidR="00EB1366" w:rsidRPr="005C1764">
        <w:t xml:space="preserve">appropriate levels of protection for information assets. </w:t>
      </w:r>
      <w:r w:rsidR="00752031" w:rsidRPr="005C1764">
        <w:t>Also</w:t>
      </w:r>
      <w:r w:rsidR="00996F04" w:rsidRPr="005C1764">
        <w:t>,</w:t>
      </w:r>
      <w:r w:rsidR="00EB1366" w:rsidRPr="005C1764">
        <w:t xml:space="preserve"> with the introduction of new information assets, such as information platforms (windows</w:t>
      </w:r>
      <w:r w:rsidR="00EB1366" w:rsidRPr="00EB1366">
        <w:t xml:space="preserve"> tablets with voice and video conferencing capabilities), </w:t>
      </w:r>
      <w:r w:rsidR="00EB1366">
        <w:t>the</w:t>
      </w:r>
      <w:r w:rsidR="005C1764">
        <w:t>se</w:t>
      </w:r>
      <w:r w:rsidR="00EB1366">
        <w:t xml:space="preserve"> affected entities </w:t>
      </w:r>
      <w:r w:rsidR="00EB1366" w:rsidRPr="00EB1366">
        <w:t xml:space="preserve">are reviewing </w:t>
      </w:r>
      <w:r w:rsidR="005C1764">
        <w:t xml:space="preserve">their </w:t>
      </w:r>
      <w:r w:rsidR="00EB1366" w:rsidRPr="00EB1366">
        <w:t xml:space="preserve">policies and procedures with respect to security classification and protective control of these </w:t>
      </w:r>
      <w:r w:rsidR="00BC2215">
        <w:t xml:space="preserve">new </w:t>
      </w:r>
      <w:r w:rsidR="00EB1366" w:rsidRPr="00EB1366">
        <w:t>information assets.</w:t>
      </w:r>
      <w:r w:rsidR="00EB1366">
        <w:t xml:space="preserve"> </w:t>
      </w:r>
      <w:r w:rsidR="00CF2A14" w:rsidRPr="005F74FD">
        <w:t>Th</w:t>
      </w:r>
      <w:r w:rsidR="00CF2A14">
        <w:t>e relevant entiti</w:t>
      </w:r>
      <w:r w:rsidR="005C1764">
        <w:t xml:space="preserve">es </w:t>
      </w:r>
      <w:r w:rsidR="00CF2A14">
        <w:t xml:space="preserve">reported that they </w:t>
      </w:r>
      <w:r w:rsidR="00BC2215">
        <w:t xml:space="preserve">have </w:t>
      </w:r>
      <w:r w:rsidR="00CF2A14">
        <w:t xml:space="preserve">measures in place to mitigate the associated risks </w:t>
      </w:r>
      <w:r w:rsidR="00EB1366">
        <w:t>from their non-compliance</w:t>
      </w:r>
      <w:r w:rsidR="00CF2A14">
        <w:t xml:space="preserve">. </w:t>
      </w:r>
    </w:p>
    <w:p w14:paraId="35344D19" w14:textId="77777777" w:rsidR="00CF2A14" w:rsidRDefault="00CF2A14" w:rsidP="00CF2A14">
      <w:pPr>
        <w:pStyle w:val="Heading3"/>
      </w:pPr>
      <w:r>
        <w:t>Physical security</w:t>
      </w:r>
    </w:p>
    <w:p w14:paraId="327E9991" w14:textId="552560CD" w:rsidR="00CF2A14" w:rsidRDefault="00CF2A14" w:rsidP="00CF2A14">
      <w:r>
        <w:t xml:space="preserve">NCCEs continued to report high levels of compliance against the PSPF’s physical security requirements. </w:t>
      </w:r>
      <w:r w:rsidR="00A41561">
        <w:t>In 2017</w:t>
      </w:r>
      <w:r w:rsidR="000C13C7">
        <w:t>–1</w:t>
      </w:r>
      <w:r w:rsidR="00A41561">
        <w:t xml:space="preserve">8 </w:t>
      </w:r>
      <w:r>
        <w:t xml:space="preserve">NCCEs complied </w:t>
      </w:r>
      <w:r w:rsidR="00506E9A">
        <w:t xml:space="preserve">with </w:t>
      </w:r>
      <w:r w:rsidR="00013440">
        <w:t xml:space="preserve">93.16% of the </w:t>
      </w:r>
      <w:r w:rsidR="00A41561">
        <w:t xml:space="preserve">physical security requirements equating to compliance </w:t>
      </w:r>
      <w:r>
        <w:t>with 6.5 of the 7 physical security requirements</w:t>
      </w:r>
      <w:r w:rsidR="00A41561">
        <w:t xml:space="preserve">. Although on average this </w:t>
      </w:r>
      <w:r w:rsidR="00244418">
        <w:t>is</w:t>
      </w:r>
      <w:r w:rsidR="00506E9A">
        <w:t xml:space="preserve"> </w:t>
      </w:r>
      <w:r>
        <w:t xml:space="preserve">the same </w:t>
      </w:r>
      <w:r w:rsidR="00A41561">
        <w:t xml:space="preserve">level of compliance </w:t>
      </w:r>
      <w:r w:rsidR="00506E9A">
        <w:t xml:space="preserve">with the physical security requirements </w:t>
      </w:r>
      <w:r>
        <w:t xml:space="preserve">as the 2016–17 compliance </w:t>
      </w:r>
      <w:r w:rsidR="00BC2215">
        <w:t>levels</w:t>
      </w:r>
      <w:r w:rsidR="00A41561">
        <w:t xml:space="preserve">, there was a </w:t>
      </w:r>
      <w:r w:rsidR="005A33DD">
        <w:t xml:space="preserve">small </w:t>
      </w:r>
      <w:r w:rsidR="00013440">
        <w:t>decline</w:t>
      </w:r>
      <w:r w:rsidR="00506E9A">
        <w:t xml:space="preserve"> of </w:t>
      </w:r>
      <w:r w:rsidR="00D608F4">
        <w:t>0.23</w:t>
      </w:r>
      <w:r w:rsidR="00506E9A">
        <w:t>%</w:t>
      </w:r>
      <w:r w:rsidR="00013440">
        <w:t xml:space="preserve"> in compliance levels from 2016-17 to 2017-18 </w:t>
      </w:r>
      <w:r w:rsidR="00A47E87">
        <w:t>due to the total number of NCCEs increasing from 93 to 94</w:t>
      </w:r>
      <w:r w:rsidR="00013440">
        <w:t>.</w:t>
      </w:r>
    </w:p>
    <w:p w14:paraId="5A9F980C" w14:textId="0B234A17" w:rsidR="00CF2A14" w:rsidRDefault="00CF2A14" w:rsidP="00166B00">
      <w:pPr>
        <w:sectPr w:rsidR="00CF2A14" w:rsidSect="003C4A25">
          <w:pgSz w:w="11907" w:h="16839" w:code="9"/>
          <w:pgMar w:top="532" w:right="964" w:bottom="964" w:left="964" w:header="227" w:footer="510" w:gutter="0"/>
          <w:cols w:space="708"/>
          <w:docGrid w:linePitch="360"/>
        </w:sectPr>
      </w:pPr>
      <w:r>
        <w:t>Of particular note, over 9</w:t>
      </w:r>
      <w:r w:rsidR="00EB1366">
        <w:t>8.94</w:t>
      </w:r>
      <w:r>
        <w:t>% of NCCEs reported full compliance with PHYSEC</w:t>
      </w:r>
      <w:r>
        <w:noBreakHyphen/>
        <w:t>4, ensuring that physical security measures do not breach relevant employer occupational health and safety obligations</w:t>
      </w:r>
      <w:r w:rsidR="00EB1366">
        <w:t>.</w:t>
      </w:r>
      <w:r w:rsidR="00166B00">
        <w:t xml:space="preserve"> </w:t>
      </w:r>
    </w:p>
    <w:p w14:paraId="1FB1B473" w14:textId="3819AFC8" w:rsidR="000E393D" w:rsidRDefault="001D7E36" w:rsidP="000E393D">
      <w:pPr>
        <w:pStyle w:val="Heading2"/>
      </w:pPr>
      <w:r>
        <w:t>Entity analysis</w:t>
      </w:r>
    </w:p>
    <w:p w14:paraId="0DE8928D" w14:textId="43175ABD" w:rsidR="001D7E36" w:rsidRDefault="00AA741A" w:rsidP="001D7E36">
      <w:r>
        <w:t xml:space="preserve">The PSPF takes into account that there is considerable variation </w:t>
      </w:r>
      <w:r w:rsidR="005F74FD">
        <w:t>in</w:t>
      </w:r>
      <w:r>
        <w:t xml:space="preserve"> the size and duties of NCCEs. </w:t>
      </w:r>
      <w:r w:rsidR="001D7E36">
        <w:t xml:space="preserve">NCCEs vary in size from micro </w:t>
      </w:r>
      <w:r w:rsidR="00E55848">
        <w:t xml:space="preserve">entities </w:t>
      </w:r>
      <w:r w:rsidR="002F4061">
        <w:t xml:space="preserve">with </w:t>
      </w:r>
      <w:r w:rsidR="00755577">
        <w:t xml:space="preserve">fewer </w:t>
      </w:r>
      <w:r w:rsidR="001D7E36">
        <w:t>than 20 staff t</w:t>
      </w:r>
      <w:r>
        <w:t>hrough t</w:t>
      </w:r>
      <w:r w:rsidR="001D7E36">
        <w:t xml:space="preserve">o extra-large entities </w:t>
      </w:r>
      <w:r w:rsidR="00B56A49">
        <w:t xml:space="preserve">employing </w:t>
      </w:r>
      <w:r w:rsidR="001D7E36">
        <w:t>over 10</w:t>
      </w:r>
      <w:r w:rsidR="00986923">
        <w:t>,</w:t>
      </w:r>
      <w:r w:rsidR="001D7E36">
        <w:t>000</w:t>
      </w:r>
      <w:r>
        <w:t xml:space="preserve"> staff</w:t>
      </w:r>
      <w:r w:rsidR="001D7E36">
        <w:t xml:space="preserve">. </w:t>
      </w:r>
      <w:r>
        <w:t>Likewise, e</w:t>
      </w:r>
      <w:r w:rsidR="001D7E36">
        <w:t>ntities</w:t>
      </w:r>
      <w:r w:rsidR="000E57EC">
        <w:t xml:space="preserve"> undertake a range of duties</w:t>
      </w:r>
      <w:r>
        <w:t xml:space="preserve">, depending on their </w:t>
      </w:r>
      <w:r w:rsidR="001D7E36">
        <w:t xml:space="preserve">operational, regulatory, policy and specialist roles. As such, entities engage with and mitigate </w:t>
      </w:r>
      <w:r w:rsidR="00260378">
        <w:t>a wide range of risks</w:t>
      </w:r>
      <w:r w:rsidR="001D7E36">
        <w:t xml:space="preserve"> in the everyday performance of their duties.</w:t>
      </w:r>
    </w:p>
    <w:p w14:paraId="36911815" w14:textId="77777777" w:rsidR="001D7E36" w:rsidRDefault="001D7E36" w:rsidP="001D7E36">
      <w:pPr>
        <w:pStyle w:val="Heading3"/>
      </w:pPr>
      <w:r>
        <w:t>Entities posing a heightened security risk</w:t>
      </w:r>
    </w:p>
    <w:p w14:paraId="7755A1E3" w14:textId="79A400C5" w:rsidR="001D7E36" w:rsidRDefault="001D7E36" w:rsidP="001D7E36">
      <w:r>
        <w:t xml:space="preserve">AGD uses compliance reporting to identify NCCEs that may pose a heightened risk to the government’s security posture. </w:t>
      </w:r>
      <w:r w:rsidR="005A33DD">
        <w:t xml:space="preserve"> If a heightened risk is identified, </w:t>
      </w:r>
      <w:r w:rsidR="00506E9A">
        <w:t>AGD advises</w:t>
      </w:r>
      <w:r w:rsidR="005A33DD">
        <w:t xml:space="preserve"> that</w:t>
      </w:r>
      <w:r w:rsidR="00506E9A">
        <w:t xml:space="preserve"> e</w:t>
      </w:r>
      <w:r w:rsidR="00013440">
        <w:t>ntit</w:t>
      </w:r>
      <w:r w:rsidR="005A33DD">
        <w:t>y</w:t>
      </w:r>
      <w:r w:rsidR="00013440">
        <w:t xml:space="preserve"> that </w:t>
      </w:r>
      <w:r w:rsidR="005A33DD">
        <w:t>it</w:t>
      </w:r>
      <w:r w:rsidR="00013440">
        <w:t xml:space="preserve"> potentially pose</w:t>
      </w:r>
      <w:r w:rsidR="005A33DD">
        <w:t>s</w:t>
      </w:r>
      <w:r w:rsidR="00013440">
        <w:t xml:space="preserve"> a heightened risk to the government’s security risk posture and </w:t>
      </w:r>
      <w:r w:rsidR="00506E9A">
        <w:t>offers</w:t>
      </w:r>
      <w:r w:rsidR="00013440">
        <w:t xml:space="preserve"> assistance in addressing issues to increase compliance. </w:t>
      </w:r>
      <w:r w:rsidR="00260378">
        <w:t>The</w:t>
      </w:r>
      <w:r>
        <w:t xml:space="preserve"> risk</w:t>
      </w:r>
      <w:r w:rsidR="00260378">
        <w:t xml:space="preserve"> </w:t>
      </w:r>
      <w:r w:rsidR="002F4061">
        <w:t xml:space="preserve">posed by an NCCE is assessed against the following </w:t>
      </w:r>
      <w:r w:rsidR="00260378">
        <w:t>criteria</w:t>
      </w:r>
      <w:r w:rsidR="002F4061">
        <w:t>:</w:t>
      </w:r>
      <w:r w:rsidR="00260378">
        <w:t xml:space="preserve"> </w:t>
      </w:r>
    </w:p>
    <w:p w14:paraId="2B306D83" w14:textId="0372F6E4" w:rsidR="001D7E36" w:rsidRDefault="001D7E36" w:rsidP="001D7E36">
      <w:pPr>
        <w:pStyle w:val="ListParagraph"/>
        <w:numPr>
          <w:ilvl w:val="0"/>
          <w:numId w:val="6"/>
        </w:numPr>
      </w:pPr>
      <w:r>
        <w:t>does not report</w:t>
      </w:r>
      <w:r w:rsidR="00D522FC">
        <w:t xml:space="preserve"> (additional criteria element included from the 2016</w:t>
      </w:r>
      <w:r w:rsidR="000C13C7">
        <w:t>–1</w:t>
      </w:r>
      <w:r w:rsidR="00D522FC">
        <w:t>7 reporting period)</w:t>
      </w:r>
    </w:p>
    <w:p w14:paraId="7BE61194" w14:textId="16815B42" w:rsidR="001D7E36" w:rsidRDefault="001D7E36" w:rsidP="001D7E36">
      <w:pPr>
        <w:pStyle w:val="ListParagraph"/>
        <w:numPr>
          <w:ilvl w:val="0"/>
          <w:numId w:val="6"/>
        </w:numPr>
      </w:pPr>
      <w:r>
        <w:t xml:space="preserve">reports </w:t>
      </w:r>
      <w:r w:rsidR="009E7BF0">
        <w:t>non-compliance with</w:t>
      </w:r>
      <w:r>
        <w:t xml:space="preserve"> 10 or more PSPF requirements </w:t>
      </w:r>
    </w:p>
    <w:p w14:paraId="443D568C" w14:textId="77777777" w:rsidR="001D7E36" w:rsidRDefault="001D7E36" w:rsidP="001D7E36">
      <w:pPr>
        <w:pStyle w:val="ListParagraph"/>
        <w:numPr>
          <w:ilvl w:val="0"/>
          <w:numId w:val="6"/>
        </w:numPr>
      </w:pPr>
      <w:r>
        <w:t>has not adopted a risk management approach to security (indicated through non-compliance with mandatory PSPF requirement GOV</w:t>
      </w:r>
      <w:r>
        <w:noBreakHyphen/>
        <w:t>6), and/or</w:t>
      </w:r>
    </w:p>
    <w:p w14:paraId="002E1566" w14:textId="77777777" w:rsidR="001D7E36" w:rsidRDefault="001D7E36" w:rsidP="001D7E36">
      <w:pPr>
        <w:pStyle w:val="ListParagraph"/>
        <w:numPr>
          <w:ilvl w:val="0"/>
          <w:numId w:val="6"/>
        </w:numPr>
      </w:pPr>
      <w:proofErr w:type="gramStart"/>
      <w:r>
        <w:t>reports</w:t>
      </w:r>
      <w:proofErr w:type="gramEnd"/>
      <w:r>
        <w:t xml:space="preserve"> a substantive decline in entity compliance (by three or more mandatory requirements).</w:t>
      </w:r>
    </w:p>
    <w:p w14:paraId="02F7AA0C" w14:textId="4F00B34C" w:rsidR="001D7E36" w:rsidRDefault="00C3014F" w:rsidP="001D7E36">
      <w:r>
        <w:t>T</w:t>
      </w:r>
      <w:r w:rsidR="001D7E36">
        <w:t xml:space="preserve">he 2017–18 reporting period </w:t>
      </w:r>
      <w:r w:rsidR="00777466">
        <w:t>recorded a</w:t>
      </w:r>
      <w:r w:rsidR="000E57EC">
        <w:t xml:space="preserve"> reduction </w:t>
      </w:r>
      <w:r w:rsidR="00777466">
        <w:t xml:space="preserve">in the number </w:t>
      </w:r>
      <w:r w:rsidR="001D7E36">
        <w:t xml:space="preserve">of NCCEs considered </w:t>
      </w:r>
      <w:r w:rsidR="002F4061">
        <w:t xml:space="preserve">to pose a </w:t>
      </w:r>
      <w:r w:rsidR="000E57EC">
        <w:t xml:space="preserve">heightened security </w:t>
      </w:r>
      <w:r w:rsidR="001D7E36">
        <w:t>risk, with 14 NCCEs identified</w:t>
      </w:r>
      <w:r w:rsidR="000E57EC">
        <w:t xml:space="preserve"> in 2017</w:t>
      </w:r>
      <w:r w:rsidR="000C13C7">
        <w:t>–1</w:t>
      </w:r>
      <w:r w:rsidR="000E57EC">
        <w:t xml:space="preserve">8 (compared to </w:t>
      </w:r>
      <w:r w:rsidR="001D7E36">
        <w:t>16</w:t>
      </w:r>
      <w:r w:rsidR="00D522FC">
        <w:t xml:space="preserve"> NCCEs </w:t>
      </w:r>
      <w:r w:rsidR="001D7E36">
        <w:t>in</w:t>
      </w:r>
      <w:r w:rsidR="00E56817">
        <w:t xml:space="preserve"> both</w:t>
      </w:r>
      <w:r w:rsidR="001D7E36">
        <w:t xml:space="preserve"> 2016–17</w:t>
      </w:r>
      <w:r w:rsidR="00E56817">
        <w:t xml:space="preserve"> and 2015</w:t>
      </w:r>
      <w:r w:rsidR="000C13C7">
        <w:t>–1</w:t>
      </w:r>
      <w:r w:rsidR="00E56817">
        <w:t>6</w:t>
      </w:r>
      <w:r w:rsidR="001D7E36">
        <w:rPr>
          <w:rStyle w:val="FootnoteReference"/>
        </w:rPr>
        <w:footnoteReference w:id="4"/>
      </w:r>
      <w:r w:rsidR="000E57EC">
        <w:t>).</w:t>
      </w:r>
      <w:r w:rsidR="001D7E36">
        <w:t xml:space="preserve"> </w:t>
      </w:r>
    </w:p>
    <w:p w14:paraId="7243467B" w14:textId="65970F0C" w:rsidR="001D7E36" w:rsidRDefault="002F4061" w:rsidP="001D7E36">
      <w:r>
        <w:t xml:space="preserve">For the entities found to pose a </w:t>
      </w:r>
      <w:r w:rsidR="005F74FD">
        <w:t xml:space="preserve">security </w:t>
      </w:r>
      <w:r>
        <w:t xml:space="preserve">risk, no more than two risk criteria applied. There were five NCCEs where two risk criteria applied. </w:t>
      </w:r>
      <w:r w:rsidR="001D7E36">
        <w:t>Of these five:</w:t>
      </w:r>
    </w:p>
    <w:p w14:paraId="19F3C6C6" w14:textId="77777777" w:rsidR="001D7E36" w:rsidRDefault="001D7E36" w:rsidP="001D7E36">
      <w:pPr>
        <w:pStyle w:val="ListParagraph"/>
        <w:numPr>
          <w:ilvl w:val="0"/>
          <w:numId w:val="6"/>
        </w:numPr>
      </w:pPr>
      <w:r>
        <w:t xml:space="preserve">two did not achieve full compliance with 10 or more mandatory requirements </w:t>
      </w:r>
      <w:r w:rsidRPr="005C2B4C">
        <w:rPr>
          <w:b/>
        </w:rPr>
        <w:t>and</w:t>
      </w:r>
      <w:r>
        <w:t xml:space="preserve"> failed to adopt a risk management approach to security</w:t>
      </w:r>
    </w:p>
    <w:p w14:paraId="381D5559" w14:textId="77777777" w:rsidR="001D7E36" w:rsidRDefault="001D7E36" w:rsidP="001D7E36">
      <w:pPr>
        <w:pStyle w:val="ListParagraph"/>
        <w:numPr>
          <w:ilvl w:val="0"/>
          <w:numId w:val="6"/>
        </w:numPr>
      </w:pPr>
      <w:r>
        <w:t xml:space="preserve">two did not achieve full compliance with 10 or more mandatory requirements </w:t>
      </w:r>
      <w:r w:rsidRPr="005C2B4C">
        <w:rPr>
          <w:b/>
        </w:rPr>
        <w:t>and</w:t>
      </w:r>
      <w:r>
        <w:t xml:space="preserve"> reported a decline in compliance by three or more requirements, and</w:t>
      </w:r>
    </w:p>
    <w:p w14:paraId="586012BE" w14:textId="02880403" w:rsidR="001D7E36" w:rsidRDefault="001D7E36" w:rsidP="001D7E36">
      <w:pPr>
        <w:pStyle w:val="ListParagraph"/>
        <w:numPr>
          <w:ilvl w:val="0"/>
          <w:numId w:val="6"/>
        </w:numPr>
      </w:pPr>
      <w:proofErr w:type="gramStart"/>
      <w:r>
        <w:t>one</w:t>
      </w:r>
      <w:proofErr w:type="gramEnd"/>
      <w:r>
        <w:t xml:space="preserve"> failed to adopt a risk management approach to security </w:t>
      </w:r>
      <w:r w:rsidRPr="005C2B4C">
        <w:rPr>
          <w:b/>
        </w:rPr>
        <w:t>and</w:t>
      </w:r>
      <w:r>
        <w:t xml:space="preserve"> reported a decline in compliance by three or more requirements.</w:t>
      </w:r>
    </w:p>
    <w:p w14:paraId="78BBF3F0" w14:textId="60F2A881" w:rsidR="001D7E36" w:rsidRDefault="001D7E36" w:rsidP="001D7E36">
      <w:r>
        <w:t xml:space="preserve">Of the remaining nine </w:t>
      </w:r>
      <w:r w:rsidR="003501A8">
        <w:t xml:space="preserve">NCCEs </w:t>
      </w:r>
      <w:r>
        <w:t xml:space="preserve">considered </w:t>
      </w:r>
      <w:proofErr w:type="gramStart"/>
      <w:r w:rsidR="00D608F4">
        <w:t>to pose</w:t>
      </w:r>
      <w:proofErr w:type="gramEnd"/>
      <w:r w:rsidR="00D608F4">
        <w:t xml:space="preserve"> a heightened security risk</w:t>
      </w:r>
      <w:r>
        <w:t>:</w:t>
      </w:r>
    </w:p>
    <w:p w14:paraId="5D8A3420" w14:textId="370E970B" w:rsidR="001D7E36" w:rsidRDefault="001D7E36" w:rsidP="001D7E36">
      <w:pPr>
        <w:pStyle w:val="ListParagraph"/>
        <w:numPr>
          <w:ilvl w:val="0"/>
          <w:numId w:val="6"/>
        </w:numPr>
      </w:pPr>
      <w:r>
        <w:t>one identified 10 or more mandatory requirements against which it did not achieve full compliance</w:t>
      </w:r>
    </w:p>
    <w:p w14:paraId="19FE85B8" w14:textId="45C5646E" w:rsidR="001D7E36" w:rsidRDefault="001D7E36" w:rsidP="001D7E36">
      <w:pPr>
        <w:pStyle w:val="ListParagraph"/>
        <w:numPr>
          <w:ilvl w:val="0"/>
          <w:numId w:val="6"/>
        </w:numPr>
      </w:pPr>
      <w:r>
        <w:t>four did not adopt a risk management approach to security, and</w:t>
      </w:r>
    </w:p>
    <w:p w14:paraId="545CB25E" w14:textId="5CFF4129" w:rsidR="001D7E36" w:rsidRDefault="001D7E36" w:rsidP="001D7E36">
      <w:pPr>
        <w:pStyle w:val="ListParagraph"/>
        <w:numPr>
          <w:ilvl w:val="0"/>
          <w:numId w:val="6"/>
        </w:numPr>
      </w:pPr>
      <w:proofErr w:type="gramStart"/>
      <w:r>
        <w:t>four</w:t>
      </w:r>
      <w:proofErr w:type="gramEnd"/>
      <w:r>
        <w:t xml:space="preserve"> reported a d</w:t>
      </w:r>
      <w:r w:rsidR="00986923">
        <w:t>ecline in compliance by three or</w:t>
      </w:r>
      <w:r>
        <w:t xml:space="preserve"> more requirements</w:t>
      </w:r>
      <w:r w:rsidR="00B14865">
        <w:t>.</w:t>
      </w:r>
    </w:p>
    <w:p w14:paraId="2E4AEECF" w14:textId="24086D6C" w:rsidR="001D7E36" w:rsidRDefault="001D7E36" w:rsidP="001D7E36">
      <w:pPr>
        <w:pStyle w:val="Heading3"/>
      </w:pPr>
      <w:r>
        <w:t>Entities demonstrating better-practice: size and function</w:t>
      </w:r>
    </w:p>
    <w:p w14:paraId="2B13D8C4" w14:textId="1D41C9B8" w:rsidR="00166BBC" w:rsidRDefault="00382C7A" w:rsidP="00DD4091">
      <w:pPr>
        <w:keepLines/>
      </w:pPr>
      <w:r>
        <w:t>The Australian Public Service Commission</w:t>
      </w:r>
      <w:r w:rsidR="000E57EC">
        <w:t xml:space="preserve"> (APSC)</w:t>
      </w:r>
      <w:r>
        <w:t xml:space="preserve"> groups entities by size and function.</w:t>
      </w:r>
      <w:r>
        <w:rPr>
          <w:rStyle w:val="FootnoteReference"/>
        </w:rPr>
        <w:footnoteReference w:id="5"/>
      </w:r>
      <w:r>
        <w:t xml:space="preserve"> </w:t>
      </w:r>
      <w:r w:rsidR="00755577">
        <w:t>In 2017–</w:t>
      </w:r>
      <w:r w:rsidR="000E57EC">
        <w:t>18,</w:t>
      </w:r>
      <w:r w:rsidR="0019354F">
        <w:t xml:space="preserve"> all entities sized from micro to extra-large, </w:t>
      </w:r>
      <w:r w:rsidR="00B95999">
        <w:t>excluding</w:t>
      </w:r>
      <w:r w:rsidR="0019354F">
        <w:t xml:space="preserve"> large entities, reported average </w:t>
      </w:r>
      <w:r w:rsidR="00520CA4">
        <w:t>levels</w:t>
      </w:r>
      <w:r w:rsidR="00755577">
        <w:t xml:space="preserve"> of compliance above 91.8</w:t>
      </w:r>
      <w:r w:rsidR="0019354F">
        <w:t xml:space="preserve">% equating to compliance with 33 of the 36 mandatory requirements. Large entities reported average </w:t>
      </w:r>
      <w:r w:rsidR="00520CA4">
        <w:t>level</w:t>
      </w:r>
      <w:r w:rsidR="0019354F">
        <w:t>s of compliance</w:t>
      </w:r>
      <w:r w:rsidR="002030AE">
        <w:t xml:space="preserve"> with</w:t>
      </w:r>
      <w:r w:rsidR="00B95999">
        <w:t xml:space="preserve"> PSPF requirements of</w:t>
      </w:r>
      <w:r w:rsidR="002030AE">
        <w:t xml:space="preserve"> 87.8</w:t>
      </w:r>
      <w:r w:rsidR="0019354F">
        <w:t xml:space="preserve">% </w:t>
      </w:r>
      <w:r w:rsidR="00A32CE0">
        <w:t>equating to</w:t>
      </w:r>
      <w:r w:rsidR="0019354F">
        <w:t xml:space="preserve"> 31.</w:t>
      </w:r>
      <w:r w:rsidR="002030AE">
        <w:t>6</w:t>
      </w:r>
      <w:r w:rsidR="0019354F">
        <w:t xml:space="preserve"> of the 36 </w:t>
      </w:r>
      <w:r w:rsidR="00B95999">
        <w:t>PSPF</w:t>
      </w:r>
      <w:r w:rsidR="0019354F">
        <w:t xml:space="preserve"> requirements</w:t>
      </w:r>
      <w:r w:rsidR="002030AE">
        <w:t>.</w:t>
      </w:r>
      <w:r w:rsidR="00520CA4">
        <w:t xml:space="preserve"> This represented a very marginal decline (0.25%) in compliance for large entities from the</w:t>
      </w:r>
      <w:r w:rsidR="00755577">
        <w:t xml:space="preserve"> 2016–</w:t>
      </w:r>
      <w:r w:rsidR="00520CA4">
        <w:t xml:space="preserve">17 reporting period. </w:t>
      </w:r>
    </w:p>
    <w:p w14:paraId="32CE5CCF" w14:textId="2A2096F7" w:rsidR="005179F9" w:rsidRDefault="005179F9" w:rsidP="00B14865">
      <w:pPr>
        <w:rPr>
          <w:noProof/>
          <w:lang w:eastAsia="en-AU"/>
        </w:rPr>
      </w:pPr>
      <w:r>
        <w:rPr>
          <w:noProof/>
          <w:lang w:eastAsia="en-AU"/>
        </w:rPr>
        <w:drawing>
          <wp:inline distT="0" distB="0" distL="0" distR="0" wp14:anchorId="3F4C5CFE" wp14:editId="6F985F40">
            <wp:extent cx="6286500" cy="3248025"/>
            <wp:effectExtent l="0" t="0" r="0" b="0"/>
            <wp:docPr id="30" name="Chart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r w:rsidR="0073768B">
        <w:rPr>
          <w:noProof/>
          <w:w w:val="100"/>
          <w:lang w:eastAsia="en-AU"/>
        </w:rPr>
        <mc:AlternateContent>
          <mc:Choice Requires="wps">
            <w:drawing>
              <wp:anchor distT="0" distB="0" distL="114300" distR="114300" simplePos="0" relativeHeight="251673600" behindDoc="0" locked="0" layoutInCell="1" allowOverlap="1" wp14:anchorId="44A7591C" wp14:editId="4006AA24">
                <wp:simplePos x="0" y="0"/>
                <wp:positionH relativeFrom="margin">
                  <wp:posOffset>661035</wp:posOffset>
                </wp:positionH>
                <wp:positionV relativeFrom="paragraph">
                  <wp:posOffset>20955</wp:posOffset>
                </wp:positionV>
                <wp:extent cx="5086985" cy="301625"/>
                <wp:effectExtent l="0" t="0" r="0" b="3175"/>
                <wp:wrapTopAndBottom/>
                <wp:docPr id="18" name="Text Box 18"/>
                <wp:cNvGraphicFramePr/>
                <a:graphic xmlns:a="http://schemas.openxmlformats.org/drawingml/2006/main">
                  <a:graphicData uri="http://schemas.microsoft.com/office/word/2010/wordprocessingShape">
                    <wps:wsp>
                      <wps:cNvSpPr txBox="1"/>
                      <wps:spPr>
                        <a:xfrm>
                          <a:off x="0" y="0"/>
                          <a:ext cx="5086985" cy="3016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EC91163" w14:textId="52E99CE2" w:rsidR="00CE6F1C" w:rsidRPr="00B8468D" w:rsidRDefault="00CE6F1C" w:rsidP="0049684A">
                            <w:pPr>
                              <w:rPr>
                                <w:b/>
                                <w:color w:val="4F81BD" w:themeColor="accent1"/>
                                <w:sz w:val="20"/>
                              </w:rPr>
                            </w:pPr>
                            <w:r>
                              <w:rPr>
                                <w:b/>
                                <w:color w:val="4F81BD" w:themeColor="accent1"/>
                                <w:sz w:val="20"/>
                              </w:rPr>
                              <w:t xml:space="preserve"> Figure 7</w:t>
                            </w:r>
                            <w:r w:rsidRPr="00B8468D">
                              <w:rPr>
                                <w:b/>
                                <w:color w:val="4F81BD" w:themeColor="accent1"/>
                                <w:sz w:val="20"/>
                              </w:rPr>
                              <w:t xml:space="preserve">: </w:t>
                            </w:r>
                            <w:r>
                              <w:rPr>
                                <w:b/>
                                <w:color w:val="4F81BD" w:themeColor="accent1"/>
                                <w:sz w:val="20"/>
                              </w:rPr>
                              <w:t>Proportion of PSPF requirements that NCCEs complied with by entity size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4A7591C" id="Text Box 18" o:spid="_x0000_s1042" type="#_x0000_t202" style="position:absolute;margin-left:52.05pt;margin-top:1.65pt;width:400.55pt;height:23.75pt;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" fillcolor="white [3201]" stroked="f" strokeweight=".5pt">
                <v:textbox>
                  <w:txbxContent>
                    <w:p w14:paraId="2EC91163" w14:textId="52E99CE2" w:rsidR="00CE6F1C" w:rsidRPr="00B8468D" w:rsidRDefault="00CE6F1C" w:rsidP="0049684A">
                      <w:pPr>
                        <w:rPr>
                          <w:b/>
                          <w:color w:val="4F81BD" w:themeColor="accent1"/>
                          <w:sz w:val="20"/>
                        </w:rPr>
                      </w:pPr>
                      <w:r>
                        <w:rPr>
                          <w:b/>
                          <w:color w:val="4F81BD" w:themeColor="accent1"/>
                          <w:sz w:val="20"/>
                        </w:rPr>
                        <w:t xml:space="preserve"> Figure 7</w:t>
                      </w:r>
                      <w:r w:rsidRPr="00B8468D">
                        <w:rPr>
                          <w:b/>
                          <w:color w:val="4F81BD" w:themeColor="accent1"/>
                          <w:sz w:val="20"/>
                        </w:rPr>
                        <w:t xml:space="preserve">: </w:t>
                      </w:r>
                      <w:r>
                        <w:rPr>
                          <w:b/>
                          <w:color w:val="4F81BD" w:themeColor="accent1"/>
                          <w:sz w:val="20"/>
                        </w:rPr>
                        <w:t>Proportion of PSPF requirements that NCCEs complied with by entity size</w:t>
                      </w:r>
                    </w:p>
                  </w:txbxContent>
                </v:textbox>
                <w10:wrap type="topAndBottom" anchorx="margin"/>
              </v:shape>
            </w:pict>
          </mc:Fallback>
        </mc:AlternateContent>
      </w:r>
    </w:p>
    <w:p w14:paraId="732E7C11" w14:textId="78B3A636" w:rsidR="002A66A4" w:rsidRDefault="002A66A4" w:rsidP="00B14865">
      <w:r>
        <w:t>Consistent with 2016</w:t>
      </w:r>
      <w:r w:rsidR="00755577">
        <w:t>–</w:t>
      </w:r>
      <w:r>
        <w:t xml:space="preserve">17 results, </w:t>
      </w:r>
      <w:r w:rsidR="00A73951">
        <w:t>r</w:t>
      </w:r>
      <w:r w:rsidR="00E770D2">
        <w:t xml:space="preserve">egulatory </w:t>
      </w:r>
      <w:r w:rsidR="00F17247">
        <w:t xml:space="preserve">and specialist </w:t>
      </w:r>
      <w:r w:rsidR="00E770D2">
        <w:t xml:space="preserve">NCCEs reported higher </w:t>
      </w:r>
      <w:r w:rsidR="00540774">
        <w:t xml:space="preserve">average </w:t>
      </w:r>
      <w:r w:rsidR="002D1338">
        <w:t xml:space="preserve">levels </w:t>
      </w:r>
      <w:r w:rsidR="00E770D2">
        <w:t>of compliance with PSP</w:t>
      </w:r>
      <w:r w:rsidR="00A73951">
        <w:t>F requirements than other entity types</w:t>
      </w:r>
      <w:r>
        <w:t xml:space="preserve"> with</w:t>
      </w:r>
      <w:r w:rsidR="005F74FD">
        <w:t>:</w:t>
      </w:r>
      <w:r>
        <w:t xml:space="preserve"> </w:t>
      </w:r>
    </w:p>
    <w:p w14:paraId="4F9198EF" w14:textId="627AB4BA" w:rsidR="002A66A4" w:rsidRDefault="00E770D2" w:rsidP="002A66A4">
      <w:pPr>
        <w:pStyle w:val="ListParagraph"/>
        <w:numPr>
          <w:ilvl w:val="0"/>
          <w:numId w:val="19"/>
        </w:numPr>
      </w:pPr>
      <w:r>
        <w:t xml:space="preserve">Regulatory entities </w:t>
      </w:r>
      <w:r w:rsidR="00520CA4">
        <w:t xml:space="preserve">reporting </w:t>
      </w:r>
      <w:r>
        <w:t>compliance with</w:t>
      </w:r>
      <w:r w:rsidR="001D2F30">
        <w:fldChar w:fldCharType="begin"/>
      </w:r>
      <w:r w:rsidR="001D2F30">
        <w:instrText xml:space="preserve"> LINK Excel.SheetBinaryMacroEnabled.12 "C:\\Users\\gleadp\\AppData\\Roaming\\Hewlett-Packard\\HP TRIM\\Offline Records (AG)\\PSPF compliance reporting 2016-2017 - WOG reports\\PSPF Compliance reporting.XLSB" "Charts compliance by entity18!R53C17" \a \f 5 \h  \* MERGEFORMAT </w:instrText>
      </w:r>
      <w:r w:rsidR="001D2F30">
        <w:fldChar w:fldCharType="separate"/>
      </w:r>
      <w:r w:rsidR="001D2F30" w:rsidRPr="002A66A4">
        <w:rPr>
          <w:rFonts w:cs="Times New Roman"/>
          <w:w w:val="100"/>
          <w:kern w:val="0"/>
          <w:sz w:val="20"/>
          <w:szCs w:val="20"/>
          <w:lang w:eastAsia="en-AU"/>
        </w:rPr>
        <w:t xml:space="preserve"> </w:t>
      </w:r>
      <w:r w:rsidR="001D2F30" w:rsidRPr="001D2F30">
        <w:t>94.91%</w:t>
      </w:r>
      <w:r w:rsidR="001D2F30">
        <w:fldChar w:fldCharType="end"/>
      </w:r>
      <w:r w:rsidR="001D2F30">
        <w:t xml:space="preserve"> </w:t>
      </w:r>
      <w:r w:rsidR="00B14865">
        <w:t xml:space="preserve">of </w:t>
      </w:r>
      <w:r w:rsidR="0083667C">
        <w:t xml:space="preserve">the PSPF </w:t>
      </w:r>
      <w:r w:rsidR="00B14865">
        <w:t xml:space="preserve">requirements </w:t>
      </w:r>
      <w:r>
        <w:t xml:space="preserve">(34.2 of </w:t>
      </w:r>
      <w:r w:rsidR="004664E8">
        <w:t xml:space="preserve">the </w:t>
      </w:r>
      <w:r>
        <w:t>36</w:t>
      </w:r>
      <w:r w:rsidR="002A433E">
        <w:t xml:space="preserve"> mandatory requirements</w:t>
      </w:r>
      <w:r>
        <w:t>).</w:t>
      </w:r>
      <w:r w:rsidR="00F413FA">
        <w:t xml:space="preserve"> </w:t>
      </w:r>
    </w:p>
    <w:p w14:paraId="2DFC5F54" w14:textId="39F93100" w:rsidR="00F17247" w:rsidRDefault="003E2CD3" w:rsidP="002A66A4">
      <w:pPr>
        <w:pStyle w:val="ListParagraph"/>
        <w:numPr>
          <w:ilvl w:val="0"/>
          <w:numId w:val="19"/>
        </w:numPr>
      </w:pPr>
      <w:r>
        <w:t>S</w:t>
      </w:r>
      <w:r w:rsidR="00261C0D">
        <w:t xml:space="preserve">pecialist NCCEs </w:t>
      </w:r>
      <w:r w:rsidR="00520CA4">
        <w:t xml:space="preserve">reporting </w:t>
      </w:r>
      <w:r w:rsidR="0083667C">
        <w:t xml:space="preserve">a level of </w:t>
      </w:r>
      <w:r>
        <w:t xml:space="preserve">compliance of </w:t>
      </w:r>
      <w:r w:rsidR="001A59E6">
        <w:t>91.93</w:t>
      </w:r>
      <w:r>
        <w:t>%</w:t>
      </w:r>
      <w:r w:rsidR="00312387">
        <w:t xml:space="preserve"> </w:t>
      </w:r>
      <w:r w:rsidR="00E76A27">
        <w:t xml:space="preserve">with </w:t>
      </w:r>
      <w:r w:rsidR="00B95999">
        <w:t>PSPF</w:t>
      </w:r>
      <w:r w:rsidR="00B14865">
        <w:t xml:space="preserve"> requirements </w:t>
      </w:r>
      <w:r w:rsidR="00312387">
        <w:t>(</w:t>
      </w:r>
      <w:r w:rsidR="00FB7471">
        <w:t>33.1</w:t>
      </w:r>
      <w:r w:rsidR="00312387">
        <w:t xml:space="preserve"> of</w:t>
      </w:r>
      <w:r>
        <w:t xml:space="preserve"> the 36 </w:t>
      </w:r>
      <w:r w:rsidR="00312387">
        <w:t>mandatory</w:t>
      </w:r>
      <w:r>
        <w:t xml:space="preserve"> requirements</w:t>
      </w:r>
      <w:r w:rsidR="00312387">
        <w:t>)</w:t>
      </w:r>
      <w:r w:rsidR="00E76A27">
        <w:t xml:space="preserve"> </w:t>
      </w:r>
      <w:r w:rsidR="0083667C">
        <w:t xml:space="preserve">and </w:t>
      </w:r>
      <w:r>
        <w:t xml:space="preserve">45.24% </w:t>
      </w:r>
      <w:r w:rsidR="000B3880">
        <w:t xml:space="preserve">of specialist NCCEs </w:t>
      </w:r>
      <w:r w:rsidR="0083667C">
        <w:t xml:space="preserve">reported </w:t>
      </w:r>
      <w:r w:rsidR="008C217B">
        <w:t xml:space="preserve">full compliance </w:t>
      </w:r>
      <w:r w:rsidR="00261C0D">
        <w:t xml:space="preserve">with </w:t>
      </w:r>
      <w:r>
        <w:t xml:space="preserve">all </w:t>
      </w:r>
      <w:r w:rsidR="008C217B">
        <w:t>PSPF</w:t>
      </w:r>
      <w:r>
        <w:t xml:space="preserve"> requirements</w:t>
      </w:r>
      <w:r w:rsidR="000B3880">
        <w:t>,</w:t>
      </w:r>
      <w:r w:rsidR="008C217B">
        <w:t xml:space="preserve"> the </w:t>
      </w:r>
      <w:r w:rsidR="00261C0D">
        <w:t xml:space="preserve">highest proportion </w:t>
      </w:r>
      <w:r w:rsidR="008C217B">
        <w:t xml:space="preserve">of any entity type </w:t>
      </w:r>
      <w:r w:rsidR="0083667C">
        <w:t xml:space="preserve">when measured according to </w:t>
      </w:r>
      <w:r w:rsidR="008C217B">
        <w:t>function.</w:t>
      </w:r>
      <w:r w:rsidR="00A73951">
        <w:t xml:space="preserve"> </w:t>
      </w:r>
    </w:p>
    <w:p w14:paraId="342DCE3B" w14:textId="77777777" w:rsidR="00FD3B3E" w:rsidRDefault="00FD3B3E">
      <w:pPr>
        <w:spacing w:after="0" w:line="240" w:lineRule="auto"/>
        <w:rPr>
          <w:rFonts w:eastAsia="SimSun" w:cs="Angsana New"/>
          <w:b/>
          <w:bCs/>
          <w:iCs/>
          <w:color w:val="4D738A"/>
          <w:sz w:val="40"/>
          <w:szCs w:val="48"/>
        </w:rPr>
      </w:pPr>
      <w:r>
        <w:br w:type="page"/>
      </w:r>
    </w:p>
    <w:p w14:paraId="1D073742" w14:textId="033F7310" w:rsidR="006A185B" w:rsidRDefault="006A185B" w:rsidP="006A185B">
      <w:pPr>
        <w:pStyle w:val="Heading2"/>
      </w:pPr>
      <w:r>
        <w:t>Corporate Commonwealth Entities: Compliance Summary</w:t>
      </w:r>
    </w:p>
    <w:p w14:paraId="191CF7C7" w14:textId="2F8A6540" w:rsidR="0030215F" w:rsidRDefault="00732F9D" w:rsidP="00732F9D">
      <w:r>
        <w:t xml:space="preserve">Eight CCEs submitted a PSPF compliance report </w:t>
      </w:r>
      <w:r w:rsidR="00127726">
        <w:t xml:space="preserve">in </w:t>
      </w:r>
      <w:r>
        <w:t>2017–18.</w:t>
      </w:r>
      <w:r w:rsidR="006B6B00">
        <w:t xml:space="preserve"> Noting the </w:t>
      </w:r>
      <w:r w:rsidR="00132C8F">
        <w:t xml:space="preserve">very </w:t>
      </w:r>
      <w:r w:rsidR="006B6B00">
        <w:t xml:space="preserve">small sample size, as well as the </w:t>
      </w:r>
      <w:r w:rsidR="00E10228">
        <w:t>fact that reporting is optional</w:t>
      </w:r>
      <w:r w:rsidR="007914AA">
        <w:t xml:space="preserve"> for CCEs and </w:t>
      </w:r>
      <w:r w:rsidR="00064482">
        <w:t>CCs, it</w:t>
      </w:r>
      <w:r w:rsidR="00C4328B">
        <w:t xml:space="preserve"> is not possible to </w:t>
      </w:r>
      <w:r w:rsidR="00D201D4">
        <w:t xml:space="preserve">draw any </w:t>
      </w:r>
      <w:r w:rsidR="00C4328B">
        <w:t xml:space="preserve">meaningful trends </w:t>
      </w:r>
      <w:r w:rsidR="00D201D4">
        <w:t xml:space="preserve">from </w:t>
      </w:r>
      <w:r w:rsidR="00C4328B">
        <w:t>the compliance data</w:t>
      </w:r>
      <w:r w:rsidR="006B6B00">
        <w:t>.</w:t>
      </w:r>
      <w:r w:rsidR="00CA2DA8">
        <w:t xml:space="preserve"> </w:t>
      </w:r>
      <w:r w:rsidR="00C4328B">
        <w:t>T</w:t>
      </w:r>
      <w:r w:rsidR="000F5B61">
        <w:t xml:space="preserve">wo CCEs </w:t>
      </w:r>
      <w:r w:rsidR="00670379">
        <w:t xml:space="preserve">reported full compliance with all 36 </w:t>
      </w:r>
      <w:r w:rsidR="00B95999">
        <w:t>PSPF</w:t>
      </w:r>
      <w:r w:rsidR="00670379">
        <w:t xml:space="preserve"> requirements </w:t>
      </w:r>
      <w:r w:rsidR="00CA2DA8">
        <w:t xml:space="preserve">and </w:t>
      </w:r>
      <w:r w:rsidR="009F6A47">
        <w:t>two CCEs</w:t>
      </w:r>
      <w:r w:rsidR="00B27DC2">
        <w:t xml:space="preserve"> reported no non-compliance against any of the 36 </w:t>
      </w:r>
      <w:r w:rsidR="00B95999">
        <w:t>PSPF</w:t>
      </w:r>
      <w:r w:rsidR="00B27DC2">
        <w:t xml:space="preserve"> requirements</w:t>
      </w:r>
      <w:r w:rsidR="000C13C7">
        <w:t xml:space="preserve"> in 2017–</w:t>
      </w:r>
      <w:r w:rsidR="00CA2DA8">
        <w:t>18</w:t>
      </w:r>
      <w:r w:rsidR="000F5B61">
        <w:t>.</w:t>
      </w:r>
      <w:r w:rsidR="009F6A47">
        <w:rPr>
          <w:rStyle w:val="FootnoteReference"/>
        </w:rPr>
        <w:footnoteReference w:id="6"/>
      </w:r>
      <w:r w:rsidR="009F6A47">
        <w:t xml:space="preserve"> </w:t>
      </w:r>
      <w:r w:rsidR="00CA2DA8">
        <w:t xml:space="preserve"> </w:t>
      </w:r>
      <w:r w:rsidR="0030215F">
        <w:t>CCEs reported:</w:t>
      </w:r>
    </w:p>
    <w:p w14:paraId="075A4DF6" w14:textId="5C4D87B9" w:rsidR="0030215F" w:rsidRDefault="000E1DD3" w:rsidP="0030215F">
      <w:pPr>
        <w:pStyle w:val="ListParagraph"/>
        <w:numPr>
          <w:ilvl w:val="0"/>
          <w:numId w:val="6"/>
        </w:numPr>
      </w:pPr>
      <w:r>
        <w:t xml:space="preserve">full compliance with all </w:t>
      </w:r>
      <w:r w:rsidR="002D1338">
        <w:t xml:space="preserve">physical security </w:t>
      </w:r>
      <w:r>
        <w:t>requirements</w:t>
      </w:r>
    </w:p>
    <w:p w14:paraId="472A5BB7" w14:textId="5BBBFFAE" w:rsidR="000E1DD3" w:rsidRDefault="000E1DD3" w:rsidP="0030215F">
      <w:pPr>
        <w:pStyle w:val="ListParagraph"/>
        <w:numPr>
          <w:ilvl w:val="0"/>
          <w:numId w:val="6"/>
        </w:numPr>
      </w:pPr>
      <w:proofErr w:type="gramStart"/>
      <w:r>
        <w:t>almost</w:t>
      </w:r>
      <w:proofErr w:type="gramEnd"/>
      <w:r>
        <w:t xml:space="preserve"> full compliance with all </w:t>
      </w:r>
      <w:r w:rsidR="002D1338">
        <w:t xml:space="preserve">personnel security </w:t>
      </w:r>
      <w:r>
        <w:t>requirements</w:t>
      </w:r>
      <w:r w:rsidR="00B95999">
        <w:t>. Across</w:t>
      </w:r>
      <w:r>
        <w:t xml:space="preserve"> </w:t>
      </w:r>
      <w:r w:rsidR="00C4328B">
        <w:t xml:space="preserve">the </w:t>
      </w:r>
      <w:r>
        <w:t>eight reporting CCEs, there was one citizenship waiver which was</w:t>
      </w:r>
      <w:r w:rsidR="006C6956">
        <w:t xml:space="preserve"> held at the Baseline level</w:t>
      </w:r>
    </w:p>
    <w:p w14:paraId="4793DBFD" w14:textId="0EE86D31" w:rsidR="000E1DD3" w:rsidRDefault="006C6956" w:rsidP="0030215F">
      <w:pPr>
        <w:pStyle w:val="ListParagraph"/>
        <w:numPr>
          <w:ilvl w:val="0"/>
          <w:numId w:val="6"/>
        </w:numPr>
      </w:pPr>
      <w:proofErr w:type="gramStart"/>
      <w:r>
        <w:t>high</w:t>
      </w:r>
      <w:proofErr w:type="gramEnd"/>
      <w:r>
        <w:t xml:space="preserve"> </w:t>
      </w:r>
      <w:r w:rsidR="00A32CE0">
        <w:t xml:space="preserve">levels </w:t>
      </w:r>
      <w:r>
        <w:t>of compliance with security governance requirements</w:t>
      </w:r>
      <w:r w:rsidR="00755577">
        <w:t>—</w:t>
      </w:r>
      <w:r w:rsidR="00132C8F">
        <w:t>o</w:t>
      </w:r>
      <w:r>
        <w:t xml:space="preserve">n average </w:t>
      </w:r>
      <w:r w:rsidR="00C4328B">
        <w:t xml:space="preserve">the eight </w:t>
      </w:r>
      <w:r>
        <w:t>CCEs complied with</w:t>
      </w:r>
      <w:r w:rsidR="008E4822">
        <w:t xml:space="preserve"> 12</w:t>
      </w:r>
      <w:r w:rsidR="00064482">
        <w:t xml:space="preserve"> of the 13</w:t>
      </w:r>
      <w:r>
        <w:t xml:space="preserve"> </w:t>
      </w:r>
      <w:r w:rsidR="002D1338">
        <w:t xml:space="preserve">governance security </w:t>
      </w:r>
      <w:r>
        <w:t>requirements</w:t>
      </w:r>
      <w:r w:rsidR="00064482">
        <w:t xml:space="preserve"> (92.31%)</w:t>
      </w:r>
    </w:p>
    <w:p w14:paraId="5572F127" w14:textId="651248D0" w:rsidR="00520149" w:rsidRDefault="00520149" w:rsidP="0030215F">
      <w:pPr>
        <w:pStyle w:val="ListParagraph"/>
        <w:numPr>
          <w:ilvl w:val="0"/>
          <w:numId w:val="6"/>
        </w:numPr>
      </w:pPr>
      <w:proofErr w:type="gramStart"/>
      <w:r>
        <w:t>compliance</w:t>
      </w:r>
      <w:proofErr w:type="gramEnd"/>
      <w:r>
        <w:t xml:space="preserve"> with 6.5 </w:t>
      </w:r>
      <w:r w:rsidR="00004B83">
        <w:t xml:space="preserve">of </w:t>
      </w:r>
      <w:r w:rsidR="007914AA">
        <w:t xml:space="preserve">the </w:t>
      </w:r>
      <w:r w:rsidR="00004B83">
        <w:t xml:space="preserve">7 </w:t>
      </w:r>
      <w:r w:rsidR="00671F7A">
        <w:t>information</w:t>
      </w:r>
      <w:r w:rsidR="00064482" w:rsidRPr="00064482">
        <w:t xml:space="preserve"> </w:t>
      </w:r>
      <w:r w:rsidR="00064482">
        <w:t xml:space="preserve">security requirements </w:t>
      </w:r>
      <w:r w:rsidR="00004B83">
        <w:t>(92.86%).</w:t>
      </w:r>
    </w:p>
    <w:p w14:paraId="14FA081F" w14:textId="77777777" w:rsidR="005F74FD" w:rsidRDefault="005F74FD">
      <w:pPr>
        <w:spacing w:after="0" w:line="240" w:lineRule="auto"/>
        <w:rPr>
          <w:b/>
        </w:rPr>
      </w:pPr>
      <w:r>
        <w:rPr>
          <w:b/>
        </w:rPr>
        <w:br w:type="page"/>
      </w:r>
    </w:p>
    <w:p w14:paraId="04A9B41B" w14:textId="44820241" w:rsidR="005341EA" w:rsidRDefault="009945D4" w:rsidP="00E64F15">
      <w:pPr>
        <w:pStyle w:val="Heading5"/>
      </w:pPr>
      <w:r>
        <w:t>Attachment A: 2017–</w:t>
      </w:r>
      <w:r w:rsidR="001753CD">
        <w:t>18 Summary NCCE compliance data and variances from 2016–17 for 36 PSPF requirements</w:t>
      </w:r>
    </w:p>
    <w:tbl>
      <w:tblPr>
        <w:tblW w:w="10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4A0" w:firstRow="1" w:lastRow="0" w:firstColumn="1" w:lastColumn="0" w:noHBand="0" w:noVBand="1"/>
      </w:tblPr>
      <w:tblGrid>
        <w:gridCol w:w="959"/>
        <w:gridCol w:w="3889"/>
        <w:gridCol w:w="1276"/>
        <w:gridCol w:w="850"/>
        <w:gridCol w:w="851"/>
        <w:gridCol w:w="930"/>
        <w:gridCol w:w="1779"/>
      </w:tblGrid>
      <w:tr w:rsidR="001753CD" w:rsidRPr="001753CD" w14:paraId="0A8B2291" w14:textId="77777777" w:rsidTr="003D36B6">
        <w:trPr>
          <w:trHeight w:val="270"/>
          <w:tblHeader/>
        </w:trPr>
        <w:tc>
          <w:tcPr>
            <w:tcW w:w="4848" w:type="dxa"/>
            <w:gridSpan w:val="2"/>
            <w:vMerge w:val="restart"/>
            <w:tcBorders>
              <w:top w:val="single" w:sz="4" w:space="0" w:color="000000"/>
              <w:left w:val="single" w:sz="4" w:space="0" w:color="000000"/>
              <w:right w:val="single" w:sz="4" w:space="0" w:color="000000"/>
            </w:tcBorders>
            <w:shd w:val="clear" w:color="auto" w:fill="4F81BD"/>
            <w:vAlign w:val="center"/>
          </w:tcPr>
          <w:p w14:paraId="16ABF93A" w14:textId="77777777" w:rsidR="001753CD" w:rsidRPr="00A34C99" w:rsidRDefault="001753CD" w:rsidP="001753CD">
            <w:pPr>
              <w:widowControl w:val="0"/>
              <w:numPr>
                <w:ilvl w:val="1"/>
                <w:numId w:val="0"/>
              </w:numPr>
              <w:spacing w:after="0" w:line="240" w:lineRule="auto"/>
              <w:jc w:val="center"/>
              <w:outlineLvl w:val="1"/>
              <w:rPr>
                <w:rFonts w:eastAsia="Times New Roman"/>
                <w:b/>
                <w:color w:val="FFFFFF"/>
                <w:w w:val="100"/>
                <w:kern w:val="0"/>
                <w:sz w:val="18"/>
                <w:szCs w:val="18"/>
              </w:rPr>
            </w:pPr>
            <w:r w:rsidRPr="00A34C99">
              <w:rPr>
                <w:rFonts w:eastAsia="Times New Roman"/>
                <w:b/>
                <w:color w:val="FFFFFF"/>
                <w:w w:val="100"/>
                <w:kern w:val="0"/>
                <w:sz w:val="18"/>
                <w:szCs w:val="18"/>
              </w:rPr>
              <w:t>PSPF Requirements</w:t>
            </w:r>
          </w:p>
        </w:tc>
        <w:tc>
          <w:tcPr>
            <w:tcW w:w="1276" w:type="dxa"/>
            <w:tcBorders>
              <w:top w:val="single" w:sz="4" w:space="0" w:color="000000"/>
              <w:left w:val="single" w:sz="4" w:space="0" w:color="000000"/>
              <w:right w:val="single" w:sz="4" w:space="0" w:color="000000"/>
            </w:tcBorders>
            <w:shd w:val="clear" w:color="auto" w:fill="4F81BD" w:themeFill="accent1"/>
          </w:tcPr>
          <w:p w14:paraId="5E84ECF3" w14:textId="244EA3F3" w:rsidR="001753CD" w:rsidRPr="001753CD" w:rsidRDefault="00A34C99" w:rsidP="00A34C99">
            <w:pPr>
              <w:widowControl w:val="0"/>
              <w:numPr>
                <w:ilvl w:val="1"/>
                <w:numId w:val="0"/>
              </w:numPr>
              <w:spacing w:after="0" w:line="240" w:lineRule="auto"/>
              <w:jc w:val="center"/>
              <w:outlineLvl w:val="1"/>
              <w:rPr>
                <w:rFonts w:eastAsia="Times New Roman"/>
                <w:color w:val="FFFFFF"/>
                <w:w w:val="100"/>
                <w:kern w:val="0"/>
                <w:sz w:val="18"/>
                <w:szCs w:val="18"/>
              </w:rPr>
            </w:pPr>
            <w:r>
              <w:rPr>
                <w:rFonts w:eastAsia="Times New Roman"/>
                <w:color w:val="FFFFFF"/>
                <w:w w:val="100"/>
                <w:kern w:val="0"/>
                <w:sz w:val="18"/>
                <w:szCs w:val="18"/>
              </w:rPr>
              <w:t>Number of</w:t>
            </w:r>
            <w:r w:rsidR="001753CD" w:rsidRPr="001753CD">
              <w:rPr>
                <w:rFonts w:eastAsia="Times New Roman"/>
                <w:color w:val="FFFFFF"/>
                <w:w w:val="100"/>
                <w:kern w:val="0"/>
                <w:sz w:val="18"/>
                <w:szCs w:val="18"/>
              </w:rPr>
              <w:t xml:space="preserve"> fully compliant</w:t>
            </w:r>
            <w:r>
              <w:rPr>
                <w:rFonts w:eastAsia="Times New Roman"/>
                <w:color w:val="FFFFFF"/>
                <w:w w:val="100"/>
                <w:kern w:val="0"/>
                <w:sz w:val="18"/>
                <w:szCs w:val="18"/>
              </w:rPr>
              <w:t xml:space="preserve"> </w:t>
            </w:r>
            <w:r w:rsidRPr="001753CD">
              <w:rPr>
                <w:rFonts w:eastAsia="Times New Roman"/>
                <w:color w:val="FFFFFF"/>
                <w:w w:val="100"/>
                <w:kern w:val="0"/>
                <w:sz w:val="18"/>
                <w:szCs w:val="18"/>
              </w:rPr>
              <w:t xml:space="preserve">NCCEs </w:t>
            </w:r>
            <w:r>
              <w:rPr>
                <w:rFonts w:eastAsia="Times New Roman"/>
                <w:color w:val="FFFFFF"/>
                <w:w w:val="100"/>
                <w:kern w:val="0"/>
                <w:sz w:val="18"/>
                <w:szCs w:val="18"/>
              </w:rPr>
              <w:t>(n=94)</w:t>
            </w:r>
          </w:p>
        </w:tc>
        <w:tc>
          <w:tcPr>
            <w:tcW w:w="1701" w:type="dxa"/>
            <w:gridSpan w:val="2"/>
            <w:tcBorders>
              <w:top w:val="single" w:sz="4" w:space="0" w:color="000000"/>
              <w:left w:val="single" w:sz="4" w:space="0" w:color="000000"/>
              <w:bottom w:val="single" w:sz="4" w:space="0" w:color="000000"/>
              <w:right w:val="single" w:sz="4" w:space="0" w:color="000000"/>
            </w:tcBorders>
            <w:shd w:val="clear" w:color="auto" w:fill="4F81BD" w:themeFill="accent1"/>
          </w:tcPr>
          <w:p w14:paraId="2C83200A" w14:textId="477F3005" w:rsidR="001753CD" w:rsidRPr="001753CD" w:rsidRDefault="00A34C99" w:rsidP="00A34C99">
            <w:pPr>
              <w:widowControl w:val="0"/>
              <w:numPr>
                <w:ilvl w:val="1"/>
                <w:numId w:val="0"/>
              </w:numPr>
              <w:spacing w:after="0" w:line="240" w:lineRule="auto"/>
              <w:jc w:val="center"/>
              <w:outlineLvl w:val="1"/>
              <w:rPr>
                <w:rFonts w:eastAsia="Times New Roman"/>
                <w:color w:val="FFFFFF"/>
                <w:w w:val="100"/>
                <w:kern w:val="0"/>
                <w:sz w:val="18"/>
                <w:szCs w:val="18"/>
              </w:rPr>
            </w:pPr>
            <w:r>
              <w:rPr>
                <w:rFonts w:eastAsia="Times New Roman"/>
                <w:color w:val="FFFFFF"/>
                <w:w w:val="100"/>
                <w:kern w:val="0"/>
                <w:sz w:val="18"/>
                <w:szCs w:val="18"/>
              </w:rPr>
              <w:t>Percentage</w:t>
            </w:r>
            <w:r w:rsidR="001753CD" w:rsidRPr="001753CD">
              <w:rPr>
                <w:rFonts w:eastAsia="Times New Roman"/>
                <w:color w:val="FFFFFF"/>
                <w:w w:val="100"/>
                <w:kern w:val="0"/>
                <w:sz w:val="18"/>
                <w:szCs w:val="18"/>
              </w:rPr>
              <w:t xml:space="preserve"> of NCCEs fully compliant</w:t>
            </w:r>
          </w:p>
        </w:tc>
        <w:tc>
          <w:tcPr>
            <w:tcW w:w="930" w:type="dxa"/>
            <w:vMerge w:val="restart"/>
            <w:tcBorders>
              <w:top w:val="single" w:sz="4" w:space="0" w:color="000000"/>
              <w:left w:val="single" w:sz="4" w:space="0" w:color="000000"/>
              <w:right w:val="single" w:sz="4" w:space="0" w:color="000000"/>
            </w:tcBorders>
            <w:shd w:val="clear" w:color="auto" w:fill="4F81BD" w:themeFill="accent1"/>
          </w:tcPr>
          <w:p w14:paraId="3D70D97A" w14:textId="77777777" w:rsidR="001753CD" w:rsidRPr="001753CD" w:rsidRDefault="001753CD" w:rsidP="001753CD">
            <w:pPr>
              <w:widowControl w:val="0"/>
              <w:numPr>
                <w:ilvl w:val="1"/>
                <w:numId w:val="0"/>
              </w:numPr>
              <w:spacing w:after="0" w:line="240" w:lineRule="auto"/>
              <w:jc w:val="center"/>
              <w:outlineLvl w:val="1"/>
              <w:rPr>
                <w:rFonts w:eastAsia="Times New Roman"/>
                <w:color w:val="FFFFFF"/>
                <w:w w:val="100"/>
                <w:kern w:val="0"/>
                <w:sz w:val="18"/>
                <w:szCs w:val="18"/>
              </w:rPr>
            </w:pPr>
            <w:r w:rsidRPr="001753CD">
              <w:rPr>
                <w:rFonts w:eastAsia="Times New Roman"/>
                <w:color w:val="FFFFFF"/>
                <w:w w:val="100"/>
                <w:kern w:val="0"/>
                <w:sz w:val="18"/>
                <w:szCs w:val="18"/>
              </w:rPr>
              <w:t>Percentage point variance</w:t>
            </w:r>
          </w:p>
        </w:tc>
        <w:tc>
          <w:tcPr>
            <w:tcW w:w="1779" w:type="dxa"/>
            <w:vMerge w:val="restart"/>
            <w:tcBorders>
              <w:top w:val="single" w:sz="4" w:space="0" w:color="000000"/>
              <w:left w:val="single" w:sz="4" w:space="0" w:color="000000"/>
              <w:right w:val="single" w:sz="4" w:space="0" w:color="000000"/>
            </w:tcBorders>
            <w:shd w:val="clear" w:color="auto" w:fill="4F81BD" w:themeFill="accent1"/>
          </w:tcPr>
          <w:p w14:paraId="0266C8AF" w14:textId="77777777" w:rsidR="00A34C99" w:rsidRDefault="001753CD" w:rsidP="001753CD">
            <w:pPr>
              <w:widowControl w:val="0"/>
              <w:numPr>
                <w:ilvl w:val="1"/>
                <w:numId w:val="0"/>
              </w:numPr>
              <w:spacing w:after="0" w:line="240" w:lineRule="auto"/>
              <w:jc w:val="center"/>
              <w:outlineLvl w:val="1"/>
              <w:rPr>
                <w:rFonts w:eastAsia="Times New Roman"/>
                <w:color w:val="FFFFFF"/>
                <w:w w:val="100"/>
                <w:kern w:val="0"/>
                <w:sz w:val="18"/>
                <w:szCs w:val="18"/>
              </w:rPr>
            </w:pPr>
            <w:r w:rsidRPr="001753CD">
              <w:rPr>
                <w:rFonts w:eastAsia="Times New Roman"/>
                <w:b/>
                <w:color w:val="FFFFFF"/>
                <w:w w:val="100"/>
                <w:kern w:val="0"/>
                <w:sz w:val="18"/>
                <w:szCs w:val="18"/>
              </w:rPr>
              <w:t>Comment</w:t>
            </w:r>
            <w:r w:rsidRPr="001753CD">
              <w:rPr>
                <w:rFonts w:eastAsia="Times New Roman"/>
                <w:color w:val="FFFFFF"/>
                <w:w w:val="100"/>
                <w:kern w:val="0"/>
                <w:sz w:val="18"/>
                <w:szCs w:val="18"/>
              </w:rPr>
              <w:t xml:space="preserve"> </w:t>
            </w:r>
          </w:p>
          <w:p w14:paraId="2D53FFDA" w14:textId="072E6A82" w:rsidR="001753CD" w:rsidRPr="001753CD" w:rsidRDefault="001753CD" w:rsidP="001753CD">
            <w:pPr>
              <w:widowControl w:val="0"/>
              <w:numPr>
                <w:ilvl w:val="1"/>
                <w:numId w:val="0"/>
              </w:numPr>
              <w:spacing w:after="0" w:line="240" w:lineRule="auto"/>
              <w:jc w:val="center"/>
              <w:outlineLvl w:val="1"/>
              <w:rPr>
                <w:rFonts w:eastAsia="Times New Roman"/>
                <w:color w:val="FFFFFF"/>
                <w:w w:val="100"/>
                <w:kern w:val="0"/>
                <w:sz w:val="18"/>
                <w:szCs w:val="18"/>
              </w:rPr>
            </w:pPr>
            <w:r w:rsidRPr="001753CD">
              <w:rPr>
                <w:rFonts w:eastAsia="Times New Roman"/>
                <w:color w:val="FFFFFF"/>
                <w:w w:val="100"/>
                <w:kern w:val="0"/>
                <w:sz w:val="18"/>
                <w:szCs w:val="18"/>
              </w:rPr>
              <w:t>[N/A = variance is 5 per</w:t>
            </w:r>
            <w:r w:rsidR="00A34C99">
              <w:rPr>
                <w:rFonts w:eastAsia="Times New Roman"/>
                <w:color w:val="FFFFFF"/>
                <w:w w:val="100"/>
                <w:kern w:val="0"/>
                <w:sz w:val="18"/>
                <w:szCs w:val="18"/>
              </w:rPr>
              <w:t>centage points or fewer</w:t>
            </w:r>
            <w:r w:rsidRPr="001753CD">
              <w:rPr>
                <w:rFonts w:eastAsia="Times New Roman"/>
                <w:color w:val="FFFFFF"/>
                <w:w w:val="100"/>
                <w:kern w:val="0"/>
                <w:sz w:val="18"/>
                <w:szCs w:val="18"/>
              </w:rPr>
              <w:t xml:space="preserve"> and is not considered significant]</w:t>
            </w:r>
          </w:p>
        </w:tc>
      </w:tr>
      <w:tr w:rsidR="001753CD" w:rsidRPr="001753CD" w14:paraId="3A093DF6" w14:textId="77777777" w:rsidTr="003D36B6">
        <w:trPr>
          <w:trHeight w:val="270"/>
          <w:tblHeader/>
        </w:trPr>
        <w:tc>
          <w:tcPr>
            <w:tcW w:w="4848" w:type="dxa"/>
            <w:gridSpan w:val="2"/>
            <w:vMerge/>
            <w:tcBorders>
              <w:left w:val="single" w:sz="4" w:space="0" w:color="000000"/>
              <w:bottom w:val="single" w:sz="4" w:space="0" w:color="000000"/>
              <w:right w:val="single" w:sz="4" w:space="0" w:color="000000"/>
            </w:tcBorders>
            <w:shd w:val="clear" w:color="auto" w:fill="4F81BD"/>
            <w:vAlign w:val="center"/>
          </w:tcPr>
          <w:p w14:paraId="16B9DC63" w14:textId="77777777" w:rsidR="001753CD" w:rsidRPr="001753CD" w:rsidRDefault="001753CD" w:rsidP="001753CD">
            <w:pPr>
              <w:widowControl w:val="0"/>
              <w:numPr>
                <w:ilvl w:val="1"/>
                <w:numId w:val="0"/>
              </w:numPr>
              <w:spacing w:after="0" w:line="240" w:lineRule="auto"/>
              <w:jc w:val="center"/>
              <w:outlineLvl w:val="1"/>
              <w:rPr>
                <w:rFonts w:eastAsia="Times New Roman"/>
                <w:color w:val="FFFFFF"/>
                <w:w w:val="100"/>
                <w:kern w:val="0"/>
                <w:sz w:val="18"/>
                <w:szCs w:val="18"/>
              </w:rPr>
            </w:pPr>
          </w:p>
        </w:tc>
        <w:tc>
          <w:tcPr>
            <w:tcW w:w="1276" w:type="dxa"/>
            <w:tcBorders>
              <w:left w:val="single" w:sz="4" w:space="0" w:color="000000"/>
              <w:bottom w:val="single" w:sz="4" w:space="0" w:color="000000"/>
              <w:right w:val="single" w:sz="4" w:space="0" w:color="000000"/>
            </w:tcBorders>
            <w:shd w:val="clear" w:color="auto" w:fill="4F81BD" w:themeFill="accent1"/>
          </w:tcPr>
          <w:p w14:paraId="73486EEB" w14:textId="3295FAA2" w:rsidR="001753CD" w:rsidRPr="001753CD" w:rsidRDefault="001753CD" w:rsidP="001753CD">
            <w:pPr>
              <w:widowControl w:val="0"/>
              <w:numPr>
                <w:ilvl w:val="1"/>
                <w:numId w:val="0"/>
              </w:numPr>
              <w:spacing w:after="0" w:line="240" w:lineRule="auto"/>
              <w:jc w:val="center"/>
              <w:outlineLvl w:val="1"/>
              <w:rPr>
                <w:rFonts w:eastAsia="Times New Roman"/>
                <w:color w:val="FFFFFF"/>
                <w:w w:val="100"/>
                <w:kern w:val="0"/>
                <w:sz w:val="18"/>
                <w:szCs w:val="18"/>
              </w:rPr>
            </w:pPr>
            <w:r>
              <w:rPr>
                <w:rFonts w:eastAsia="Times New Roman"/>
                <w:color w:val="FFFFFF"/>
                <w:w w:val="100"/>
                <w:kern w:val="0"/>
                <w:sz w:val="18"/>
                <w:szCs w:val="18"/>
              </w:rPr>
              <w:t>201</w:t>
            </w:r>
            <w:r w:rsidRPr="001753CD">
              <w:rPr>
                <w:rFonts w:eastAsia="Times New Roman"/>
                <w:color w:val="FFFFFF"/>
                <w:w w:val="100"/>
                <w:kern w:val="0"/>
                <w:sz w:val="18"/>
                <w:szCs w:val="18"/>
              </w:rPr>
              <w:t>7</w:t>
            </w:r>
            <w:r>
              <w:rPr>
                <w:rFonts w:eastAsia="Times New Roman"/>
                <w:color w:val="FFFFFF"/>
                <w:w w:val="100"/>
                <w:kern w:val="0"/>
                <w:sz w:val="18"/>
                <w:szCs w:val="18"/>
              </w:rPr>
              <w:t>–18</w:t>
            </w:r>
          </w:p>
        </w:tc>
        <w:tc>
          <w:tcPr>
            <w:tcW w:w="850" w:type="dxa"/>
            <w:tcBorders>
              <w:top w:val="single" w:sz="4" w:space="0" w:color="000000"/>
              <w:left w:val="single" w:sz="4" w:space="0" w:color="000000"/>
              <w:bottom w:val="single" w:sz="4" w:space="0" w:color="000000"/>
              <w:right w:val="single" w:sz="4" w:space="0" w:color="000000"/>
            </w:tcBorders>
            <w:shd w:val="clear" w:color="auto" w:fill="4F81BD" w:themeFill="accent1"/>
          </w:tcPr>
          <w:p w14:paraId="0AD5F5F5" w14:textId="77777777" w:rsidR="00A34C99" w:rsidRDefault="001753CD" w:rsidP="001753CD">
            <w:pPr>
              <w:widowControl w:val="0"/>
              <w:numPr>
                <w:ilvl w:val="1"/>
                <w:numId w:val="0"/>
              </w:numPr>
              <w:spacing w:after="0" w:line="240" w:lineRule="auto"/>
              <w:jc w:val="center"/>
              <w:outlineLvl w:val="1"/>
              <w:rPr>
                <w:rFonts w:eastAsia="Times New Roman"/>
                <w:color w:val="FFFFFF"/>
                <w:w w:val="100"/>
                <w:kern w:val="0"/>
                <w:sz w:val="18"/>
                <w:szCs w:val="18"/>
              </w:rPr>
            </w:pPr>
            <w:r w:rsidRPr="001753CD">
              <w:rPr>
                <w:rFonts w:eastAsia="Times New Roman"/>
                <w:color w:val="FFFFFF"/>
                <w:w w:val="100"/>
                <w:kern w:val="0"/>
                <w:sz w:val="18"/>
                <w:szCs w:val="18"/>
              </w:rPr>
              <w:t>2017</w:t>
            </w:r>
            <w:r>
              <w:rPr>
                <w:rFonts w:eastAsia="Times New Roman"/>
                <w:color w:val="FFFFFF"/>
                <w:w w:val="100"/>
                <w:kern w:val="0"/>
                <w:sz w:val="18"/>
                <w:szCs w:val="18"/>
              </w:rPr>
              <w:t>–18</w:t>
            </w:r>
          </w:p>
          <w:p w14:paraId="3CD42CF9" w14:textId="166D8B2F" w:rsidR="001753CD" w:rsidRPr="001753CD" w:rsidRDefault="00A34C99" w:rsidP="001753CD">
            <w:pPr>
              <w:widowControl w:val="0"/>
              <w:numPr>
                <w:ilvl w:val="1"/>
                <w:numId w:val="0"/>
              </w:numPr>
              <w:spacing w:after="0" w:line="240" w:lineRule="auto"/>
              <w:jc w:val="center"/>
              <w:outlineLvl w:val="1"/>
              <w:rPr>
                <w:rFonts w:eastAsia="Times New Roman"/>
                <w:color w:val="FFFFFF"/>
                <w:w w:val="100"/>
                <w:kern w:val="0"/>
                <w:sz w:val="18"/>
                <w:szCs w:val="18"/>
              </w:rPr>
            </w:pPr>
            <w:r>
              <w:rPr>
                <w:rFonts w:eastAsia="Times New Roman"/>
                <w:color w:val="FFFFFF"/>
                <w:w w:val="100"/>
                <w:kern w:val="0"/>
                <w:sz w:val="18"/>
                <w:szCs w:val="18"/>
              </w:rPr>
              <w:t>(n=94)</w:t>
            </w:r>
            <w:r w:rsidR="001753CD">
              <w:rPr>
                <w:rFonts w:eastAsia="Times New Roman"/>
                <w:color w:val="FFFFFF"/>
                <w:w w:val="100"/>
                <w:kern w:val="0"/>
                <w:sz w:val="18"/>
                <w:szCs w:val="18"/>
              </w:rPr>
              <w:t xml:space="preserve"> </w:t>
            </w:r>
          </w:p>
        </w:tc>
        <w:tc>
          <w:tcPr>
            <w:tcW w:w="851" w:type="dxa"/>
            <w:tcBorders>
              <w:left w:val="single" w:sz="4" w:space="0" w:color="000000"/>
              <w:bottom w:val="single" w:sz="4" w:space="0" w:color="000000"/>
              <w:right w:val="single" w:sz="4" w:space="0" w:color="000000"/>
            </w:tcBorders>
            <w:shd w:val="clear" w:color="auto" w:fill="4F81BD" w:themeFill="accent1"/>
          </w:tcPr>
          <w:p w14:paraId="03814665" w14:textId="77777777" w:rsidR="001753CD" w:rsidRDefault="001753CD" w:rsidP="001753CD">
            <w:pPr>
              <w:widowControl w:val="0"/>
              <w:numPr>
                <w:ilvl w:val="1"/>
                <w:numId w:val="0"/>
              </w:numPr>
              <w:spacing w:after="0" w:line="240" w:lineRule="auto"/>
              <w:jc w:val="center"/>
              <w:outlineLvl w:val="1"/>
              <w:rPr>
                <w:rFonts w:eastAsia="Times New Roman"/>
                <w:color w:val="FFFFFF"/>
                <w:w w:val="100"/>
                <w:kern w:val="0"/>
                <w:sz w:val="18"/>
                <w:szCs w:val="18"/>
              </w:rPr>
            </w:pPr>
            <w:r w:rsidRPr="001753CD">
              <w:rPr>
                <w:rFonts w:eastAsia="Times New Roman"/>
                <w:color w:val="FFFFFF"/>
                <w:w w:val="100"/>
                <w:kern w:val="0"/>
                <w:sz w:val="18"/>
                <w:szCs w:val="18"/>
              </w:rPr>
              <w:t>2016</w:t>
            </w:r>
            <w:r>
              <w:rPr>
                <w:rFonts w:eastAsia="Times New Roman"/>
                <w:color w:val="FFFFFF"/>
                <w:w w:val="100"/>
                <w:kern w:val="0"/>
                <w:sz w:val="18"/>
                <w:szCs w:val="18"/>
              </w:rPr>
              <w:t>–17</w:t>
            </w:r>
          </w:p>
          <w:p w14:paraId="32CE332F" w14:textId="11764CA3" w:rsidR="00A34C99" w:rsidRPr="001753CD" w:rsidRDefault="00A34C99" w:rsidP="001753CD">
            <w:pPr>
              <w:widowControl w:val="0"/>
              <w:numPr>
                <w:ilvl w:val="1"/>
                <w:numId w:val="0"/>
              </w:numPr>
              <w:spacing w:after="0" w:line="240" w:lineRule="auto"/>
              <w:jc w:val="center"/>
              <w:outlineLvl w:val="1"/>
              <w:rPr>
                <w:rFonts w:eastAsia="Times New Roman"/>
                <w:color w:val="FFFFFF"/>
                <w:w w:val="100"/>
                <w:kern w:val="0"/>
                <w:sz w:val="18"/>
                <w:szCs w:val="18"/>
              </w:rPr>
            </w:pPr>
            <w:r>
              <w:rPr>
                <w:rFonts w:eastAsia="Times New Roman"/>
                <w:color w:val="FFFFFF"/>
                <w:w w:val="100"/>
                <w:kern w:val="0"/>
                <w:sz w:val="18"/>
                <w:szCs w:val="18"/>
              </w:rPr>
              <w:t>(n=93)</w:t>
            </w:r>
          </w:p>
        </w:tc>
        <w:tc>
          <w:tcPr>
            <w:tcW w:w="930" w:type="dxa"/>
            <w:vMerge/>
            <w:tcBorders>
              <w:left w:val="single" w:sz="4" w:space="0" w:color="000000"/>
              <w:bottom w:val="single" w:sz="4" w:space="0" w:color="000000"/>
              <w:right w:val="single" w:sz="4" w:space="0" w:color="000000"/>
            </w:tcBorders>
            <w:shd w:val="clear" w:color="auto" w:fill="4F81BD" w:themeFill="accent1"/>
          </w:tcPr>
          <w:p w14:paraId="2B8E6D0A" w14:textId="77777777" w:rsidR="001753CD" w:rsidRPr="001753CD" w:rsidRDefault="001753CD" w:rsidP="001753CD">
            <w:pPr>
              <w:widowControl w:val="0"/>
              <w:numPr>
                <w:ilvl w:val="1"/>
                <w:numId w:val="0"/>
              </w:numPr>
              <w:spacing w:after="0" w:line="240" w:lineRule="auto"/>
              <w:jc w:val="center"/>
              <w:outlineLvl w:val="1"/>
              <w:rPr>
                <w:rFonts w:eastAsia="Times New Roman"/>
                <w:color w:val="FFFFFF"/>
                <w:w w:val="100"/>
                <w:kern w:val="0"/>
                <w:sz w:val="18"/>
                <w:szCs w:val="18"/>
              </w:rPr>
            </w:pPr>
          </w:p>
        </w:tc>
        <w:tc>
          <w:tcPr>
            <w:tcW w:w="1779" w:type="dxa"/>
            <w:vMerge/>
            <w:tcBorders>
              <w:left w:val="single" w:sz="4" w:space="0" w:color="000000"/>
              <w:bottom w:val="single" w:sz="4" w:space="0" w:color="000000"/>
              <w:right w:val="single" w:sz="4" w:space="0" w:color="000000"/>
            </w:tcBorders>
            <w:shd w:val="clear" w:color="auto" w:fill="4F81BD" w:themeFill="accent1"/>
          </w:tcPr>
          <w:p w14:paraId="11F9DFBE" w14:textId="77777777" w:rsidR="001753CD" w:rsidRPr="001753CD" w:rsidRDefault="001753CD" w:rsidP="001753CD">
            <w:pPr>
              <w:widowControl w:val="0"/>
              <w:numPr>
                <w:ilvl w:val="1"/>
                <w:numId w:val="0"/>
              </w:numPr>
              <w:spacing w:after="0" w:line="240" w:lineRule="auto"/>
              <w:jc w:val="center"/>
              <w:outlineLvl w:val="1"/>
              <w:rPr>
                <w:rFonts w:eastAsia="Times New Roman"/>
                <w:color w:val="FFFFFF"/>
                <w:w w:val="100"/>
                <w:kern w:val="0"/>
                <w:sz w:val="18"/>
                <w:szCs w:val="18"/>
              </w:rPr>
            </w:pPr>
          </w:p>
        </w:tc>
      </w:tr>
      <w:tr w:rsidR="001753CD" w:rsidRPr="001753CD" w14:paraId="42B22D46" w14:textId="77777777" w:rsidTr="00E64F15">
        <w:tc>
          <w:tcPr>
            <w:tcW w:w="10534" w:type="dxa"/>
            <w:gridSpan w:val="7"/>
            <w:tcBorders>
              <w:top w:val="single" w:sz="4" w:space="0" w:color="000000"/>
              <w:left w:val="single" w:sz="4" w:space="0" w:color="000000"/>
              <w:bottom w:val="single" w:sz="4" w:space="0" w:color="000000"/>
              <w:right w:val="single" w:sz="4" w:space="0" w:color="000000"/>
            </w:tcBorders>
            <w:shd w:val="clear" w:color="auto" w:fill="C6D9F1" w:themeFill="text2" w:themeFillTint="33"/>
          </w:tcPr>
          <w:p w14:paraId="0F9ADA37" w14:textId="77777777" w:rsidR="001753CD" w:rsidRPr="001753CD" w:rsidRDefault="001753CD" w:rsidP="001753CD">
            <w:pPr>
              <w:spacing w:after="0" w:line="271" w:lineRule="auto"/>
              <w:rPr>
                <w:rFonts w:cs="Times New Roman"/>
                <w:w w:val="100"/>
                <w:kern w:val="0"/>
              </w:rPr>
            </w:pPr>
            <w:r w:rsidRPr="001753CD">
              <w:rPr>
                <w:rFonts w:eastAsia="Times New Roman"/>
                <w:b/>
                <w:color w:val="000000"/>
                <w:w w:val="100"/>
                <w:kern w:val="0"/>
                <w:sz w:val="18"/>
                <w:szCs w:val="18"/>
              </w:rPr>
              <w:t>Security governance</w:t>
            </w:r>
          </w:p>
        </w:tc>
      </w:tr>
      <w:tr w:rsidR="001753CD" w:rsidRPr="001753CD" w14:paraId="24346086" w14:textId="77777777" w:rsidTr="003D36B6">
        <w:tc>
          <w:tcPr>
            <w:tcW w:w="959" w:type="dxa"/>
            <w:tcBorders>
              <w:top w:val="single" w:sz="4" w:space="0" w:color="000000"/>
              <w:left w:val="single" w:sz="4" w:space="0" w:color="000000"/>
              <w:bottom w:val="single" w:sz="4" w:space="0" w:color="000000"/>
              <w:right w:val="single" w:sz="4" w:space="0" w:color="000000"/>
            </w:tcBorders>
            <w:shd w:val="clear" w:color="auto" w:fill="auto"/>
            <w:hideMark/>
          </w:tcPr>
          <w:p w14:paraId="487FA03C" w14:textId="77777777" w:rsidR="001753CD" w:rsidRPr="001753CD" w:rsidRDefault="001753CD" w:rsidP="001753CD">
            <w:pPr>
              <w:spacing w:after="0"/>
              <w:jc w:val="center"/>
              <w:rPr>
                <w:w w:val="100"/>
                <w:kern w:val="0"/>
                <w:sz w:val="18"/>
                <w:szCs w:val="18"/>
              </w:rPr>
            </w:pPr>
            <w:r w:rsidRPr="001753CD">
              <w:rPr>
                <w:w w:val="100"/>
                <w:kern w:val="0"/>
                <w:sz w:val="18"/>
                <w:szCs w:val="18"/>
                <w:u w:val="single"/>
              </w:rPr>
              <w:t>GOV-1</w:t>
            </w:r>
          </w:p>
        </w:tc>
        <w:tc>
          <w:tcPr>
            <w:tcW w:w="3889" w:type="dxa"/>
            <w:tcBorders>
              <w:top w:val="single" w:sz="4" w:space="0" w:color="000000"/>
              <w:left w:val="single" w:sz="4" w:space="0" w:color="000000"/>
              <w:bottom w:val="single" w:sz="4" w:space="0" w:color="000000"/>
              <w:right w:val="single" w:sz="4" w:space="0" w:color="000000"/>
            </w:tcBorders>
            <w:shd w:val="clear" w:color="auto" w:fill="auto"/>
            <w:hideMark/>
          </w:tcPr>
          <w:p w14:paraId="6332F46A" w14:textId="77777777" w:rsidR="001753CD" w:rsidRPr="001753CD" w:rsidRDefault="001753CD" w:rsidP="003D36B6">
            <w:pPr>
              <w:pStyle w:val="Tablesmall"/>
            </w:pPr>
            <w:r w:rsidRPr="001753CD">
              <w:t>Entities must provide all staff, including contractors, with sufficient information and security awareness training to ensure they are aware of, and meet the requirements of the Protective Security Policy Framework.</w:t>
            </w:r>
          </w:p>
        </w:tc>
        <w:tc>
          <w:tcPr>
            <w:tcW w:w="1276" w:type="dxa"/>
            <w:tcBorders>
              <w:top w:val="single" w:sz="4" w:space="0" w:color="000000"/>
              <w:left w:val="single" w:sz="4" w:space="0" w:color="000000"/>
              <w:bottom w:val="single" w:sz="4" w:space="0" w:color="000000"/>
              <w:right w:val="single" w:sz="4" w:space="0" w:color="000000"/>
            </w:tcBorders>
          </w:tcPr>
          <w:p w14:paraId="34D75F73" w14:textId="1EF4D01B" w:rsidR="001753CD" w:rsidRPr="001753CD" w:rsidRDefault="00E21C58" w:rsidP="00093BA2">
            <w:pPr>
              <w:spacing w:after="0" w:line="271" w:lineRule="auto"/>
              <w:jc w:val="right"/>
              <w:rPr>
                <w:w w:val="100"/>
                <w:kern w:val="0"/>
                <w:sz w:val="18"/>
                <w:szCs w:val="18"/>
              </w:rPr>
            </w:pPr>
            <w:r>
              <w:rPr>
                <w:w w:val="100"/>
                <w:kern w:val="0"/>
                <w:sz w:val="18"/>
                <w:szCs w:val="18"/>
              </w:rPr>
              <w:t>85</w:t>
            </w:r>
          </w:p>
        </w:tc>
        <w:tc>
          <w:tcPr>
            <w:tcW w:w="850" w:type="dxa"/>
            <w:tcBorders>
              <w:top w:val="single" w:sz="4" w:space="0" w:color="000000"/>
              <w:left w:val="single" w:sz="4" w:space="0" w:color="000000"/>
              <w:bottom w:val="single" w:sz="4" w:space="0" w:color="000000"/>
              <w:right w:val="single" w:sz="4" w:space="0" w:color="000000"/>
            </w:tcBorders>
          </w:tcPr>
          <w:p w14:paraId="4575898E" w14:textId="22251D0E" w:rsidR="001753CD" w:rsidRPr="001753CD" w:rsidRDefault="00F837E9" w:rsidP="00093BA2">
            <w:pPr>
              <w:spacing w:after="0" w:line="271" w:lineRule="auto"/>
              <w:jc w:val="right"/>
              <w:rPr>
                <w:w w:val="100"/>
                <w:kern w:val="0"/>
                <w:sz w:val="18"/>
                <w:szCs w:val="18"/>
              </w:rPr>
            </w:pPr>
            <w:r>
              <w:rPr>
                <w:w w:val="100"/>
                <w:kern w:val="0"/>
                <w:sz w:val="18"/>
                <w:szCs w:val="18"/>
              </w:rPr>
              <w:t>90.4%</w:t>
            </w:r>
          </w:p>
        </w:tc>
        <w:tc>
          <w:tcPr>
            <w:tcW w:w="851" w:type="dxa"/>
            <w:tcBorders>
              <w:top w:val="single" w:sz="4" w:space="0" w:color="000000"/>
              <w:left w:val="single" w:sz="4" w:space="0" w:color="000000"/>
              <w:bottom w:val="single" w:sz="4" w:space="0" w:color="000000"/>
              <w:right w:val="single" w:sz="4" w:space="0" w:color="000000"/>
            </w:tcBorders>
          </w:tcPr>
          <w:p w14:paraId="492AF111" w14:textId="04D8684C" w:rsidR="001753CD" w:rsidRPr="001753CD" w:rsidRDefault="00F837E9" w:rsidP="00093BA2">
            <w:pPr>
              <w:spacing w:after="0" w:line="271" w:lineRule="auto"/>
              <w:jc w:val="right"/>
              <w:rPr>
                <w:w w:val="100"/>
                <w:kern w:val="0"/>
                <w:sz w:val="18"/>
                <w:szCs w:val="18"/>
              </w:rPr>
            </w:pPr>
            <w:r>
              <w:rPr>
                <w:w w:val="100"/>
                <w:kern w:val="0"/>
                <w:sz w:val="18"/>
                <w:szCs w:val="18"/>
              </w:rPr>
              <w:t>88.2%</w:t>
            </w:r>
          </w:p>
        </w:tc>
        <w:tc>
          <w:tcPr>
            <w:tcW w:w="930" w:type="dxa"/>
            <w:tcBorders>
              <w:top w:val="single" w:sz="4" w:space="0" w:color="000000"/>
              <w:left w:val="single" w:sz="4" w:space="0" w:color="000000"/>
              <w:bottom w:val="single" w:sz="4" w:space="0" w:color="000000"/>
              <w:right w:val="single" w:sz="4" w:space="0" w:color="000000"/>
            </w:tcBorders>
          </w:tcPr>
          <w:p w14:paraId="0F6EE2E9" w14:textId="4670A4DF" w:rsidR="001753CD" w:rsidRPr="001753CD" w:rsidRDefault="00C61193" w:rsidP="00093BA2">
            <w:pPr>
              <w:spacing w:after="0" w:line="271" w:lineRule="auto"/>
              <w:jc w:val="right"/>
              <w:rPr>
                <w:w w:val="100"/>
                <w:kern w:val="0"/>
                <w:sz w:val="18"/>
                <w:szCs w:val="18"/>
              </w:rPr>
            </w:pPr>
            <w:r>
              <w:rPr>
                <w:w w:val="100"/>
                <w:kern w:val="0"/>
                <w:sz w:val="18"/>
                <w:szCs w:val="18"/>
              </w:rPr>
              <w:t>+</w:t>
            </w:r>
            <w:r w:rsidR="00772C5E">
              <w:rPr>
                <w:w w:val="100"/>
                <w:kern w:val="0"/>
                <w:sz w:val="18"/>
                <w:szCs w:val="18"/>
              </w:rPr>
              <w:t>2.2</w:t>
            </w:r>
          </w:p>
        </w:tc>
        <w:tc>
          <w:tcPr>
            <w:tcW w:w="1779" w:type="dxa"/>
            <w:tcBorders>
              <w:top w:val="single" w:sz="4" w:space="0" w:color="000000"/>
              <w:left w:val="single" w:sz="4" w:space="0" w:color="000000"/>
              <w:bottom w:val="single" w:sz="4" w:space="0" w:color="000000"/>
              <w:right w:val="single" w:sz="4" w:space="0" w:color="000000"/>
            </w:tcBorders>
          </w:tcPr>
          <w:p w14:paraId="2C03ADEE" w14:textId="53D85A20" w:rsidR="001753CD" w:rsidRPr="001753CD" w:rsidRDefault="00F837E9" w:rsidP="00A83E20">
            <w:pPr>
              <w:pStyle w:val="Tablesmall"/>
            </w:pPr>
            <w:r>
              <w:t>N/A</w:t>
            </w:r>
          </w:p>
        </w:tc>
      </w:tr>
      <w:tr w:rsidR="001753CD" w:rsidRPr="001753CD" w14:paraId="7EE59F1E" w14:textId="77777777" w:rsidTr="003D36B6">
        <w:tc>
          <w:tcPr>
            <w:tcW w:w="959" w:type="dxa"/>
            <w:tcBorders>
              <w:top w:val="single" w:sz="4" w:space="0" w:color="000000"/>
              <w:left w:val="single" w:sz="4" w:space="0" w:color="000000"/>
              <w:bottom w:val="single" w:sz="4" w:space="0" w:color="000000"/>
              <w:right w:val="single" w:sz="4" w:space="0" w:color="000000"/>
            </w:tcBorders>
            <w:shd w:val="clear" w:color="auto" w:fill="auto"/>
            <w:hideMark/>
          </w:tcPr>
          <w:p w14:paraId="0867BF16" w14:textId="77777777" w:rsidR="001753CD" w:rsidRPr="001753CD" w:rsidRDefault="001753CD" w:rsidP="001753CD">
            <w:pPr>
              <w:spacing w:after="0"/>
              <w:jc w:val="center"/>
              <w:rPr>
                <w:w w:val="100"/>
                <w:kern w:val="0"/>
                <w:sz w:val="18"/>
                <w:szCs w:val="18"/>
              </w:rPr>
            </w:pPr>
            <w:r w:rsidRPr="001753CD">
              <w:rPr>
                <w:w w:val="100"/>
                <w:kern w:val="0"/>
                <w:sz w:val="18"/>
                <w:szCs w:val="18"/>
                <w:u w:val="single"/>
              </w:rPr>
              <w:t>GOV-2</w:t>
            </w:r>
          </w:p>
        </w:tc>
        <w:tc>
          <w:tcPr>
            <w:tcW w:w="3889" w:type="dxa"/>
            <w:tcBorders>
              <w:top w:val="single" w:sz="4" w:space="0" w:color="000000"/>
              <w:left w:val="single" w:sz="4" w:space="0" w:color="000000"/>
              <w:bottom w:val="single" w:sz="4" w:space="0" w:color="000000"/>
              <w:right w:val="single" w:sz="4" w:space="0" w:color="000000"/>
            </w:tcBorders>
            <w:shd w:val="clear" w:color="auto" w:fill="auto"/>
            <w:hideMark/>
          </w:tcPr>
          <w:p w14:paraId="0F1A70A2" w14:textId="77777777" w:rsidR="001753CD" w:rsidRPr="001753CD" w:rsidRDefault="001753CD" w:rsidP="003D36B6">
            <w:pPr>
              <w:pStyle w:val="Tablesmall"/>
            </w:pPr>
            <w:r w:rsidRPr="001753CD">
              <w:t>To fulfil their security obligations, entities must appoint:</w:t>
            </w:r>
          </w:p>
          <w:p w14:paraId="045FAED4" w14:textId="77777777" w:rsidR="001753CD" w:rsidRPr="001753CD" w:rsidRDefault="001753CD" w:rsidP="003D36B6">
            <w:pPr>
              <w:pStyle w:val="Tablesmall"/>
              <w:numPr>
                <w:ilvl w:val="0"/>
                <w:numId w:val="24"/>
              </w:numPr>
            </w:pPr>
            <w:r w:rsidRPr="001753CD">
              <w:t>A member of the Senior Executive Service as the security executive, responsible for the entity protective security policy and oversight of protective security practices.</w:t>
            </w:r>
          </w:p>
          <w:p w14:paraId="65C2A26D" w14:textId="77777777" w:rsidR="001753CD" w:rsidRPr="001753CD" w:rsidRDefault="001753CD" w:rsidP="003D36B6">
            <w:pPr>
              <w:pStyle w:val="Tablesmall"/>
              <w:numPr>
                <w:ilvl w:val="0"/>
                <w:numId w:val="24"/>
              </w:numPr>
            </w:pPr>
            <w:r w:rsidRPr="001753CD">
              <w:t>An entity security adviser (ASA) responsible for the day-to-day performance of protective security functions.</w:t>
            </w:r>
          </w:p>
          <w:p w14:paraId="76DE1E44" w14:textId="77777777" w:rsidR="001753CD" w:rsidRPr="001753CD" w:rsidRDefault="001753CD" w:rsidP="003D36B6">
            <w:pPr>
              <w:pStyle w:val="Tablesmall"/>
              <w:numPr>
                <w:ilvl w:val="0"/>
                <w:numId w:val="24"/>
              </w:numPr>
            </w:pPr>
            <w:r w:rsidRPr="001753CD">
              <w:t>An information technology security adviser (ITSA) to advise senior management on the security of the entity’s Information Communications Technology (ICT) systems.</w:t>
            </w:r>
          </w:p>
        </w:tc>
        <w:tc>
          <w:tcPr>
            <w:tcW w:w="1276" w:type="dxa"/>
            <w:tcBorders>
              <w:top w:val="single" w:sz="4" w:space="0" w:color="000000"/>
              <w:left w:val="single" w:sz="4" w:space="0" w:color="000000"/>
              <w:bottom w:val="single" w:sz="4" w:space="0" w:color="000000"/>
              <w:right w:val="single" w:sz="4" w:space="0" w:color="000000"/>
            </w:tcBorders>
          </w:tcPr>
          <w:p w14:paraId="423BFB68" w14:textId="30E05C19" w:rsidR="001753CD" w:rsidRPr="001753CD" w:rsidRDefault="00E21C58" w:rsidP="00093BA2">
            <w:pPr>
              <w:spacing w:after="0" w:line="271" w:lineRule="auto"/>
              <w:jc w:val="right"/>
              <w:rPr>
                <w:w w:val="100"/>
                <w:kern w:val="0"/>
                <w:sz w:val="18"/>
                <w:szCs w:val="18"/>
              </w:rPr>
            </w:pPr>
            <w:r>
              <w:rPr>
                <w:w w:val="100"/>
                <w:kern w:val="0"/>
                <w:sz w:val="18"/>
                <w:szCs w:val="18"/>
              </w:rPr>
              <w:t>94</w:t>
            </w:r>
          </w:p>
        </w:tc>
        <w:tc>
          <w:tcPr>
            <w:tcW w:w="850" w:type="dxa"/>
            <w:tcBorders>
              <w:top w:val="single" w:sz="4" w:space="0" w:color="000000"/>
              <w:left w:val="single" w:sz="4" w:space="0" w:color="000000"/>
              <w:bottom w:val="single" w:sz="4" w:space="0" w:color="000000"/>
              <w:right w:val="single" w:sz="4" w:space="0" w:color="000000"/>
            </w:tcBorders>
          </w:tcPr>
          <w:p w14:paraId="1228A36B" w14:textId="63DE8A85" w:rsidR="001753CD" w:rsidRPr="001753CD" w:rsidRDefault="00F837E9" w:rsidP="00093BA2">
            <w:pPr>
              <w:spacing w:after="0" w:line="271" w:lineRule="auto"/>
              <w:jc w:val="right"/>
              <w:rPr>
                <w:w w:val="100"/>
                <w:kern w:val="0"/>
                <w:sz w:val="18"/>
                <w:szCs w:val="18"/>
              </w:rPr>
            </w:pPr>
            <w:r>
              <w:rPr>
                <w:w w:val="100"/>
                <w:kern w:val="0"/>
                <w:sz w:val="18"/>
                <w:szCs w:val="18"/>
              </w:rPr>
              <w:t>100.0%</w:t>
            </w:r>
          </w:p>
        </w:tc>
        <w:tc>
          <w:tcPr>
            <w:tcW w:w="851" w:type="dxa"/>
            <w:tcBorders>
              <w:top w:val="single" w:sz="4" w:space="0" w:color="000000"/>
              <w:left w:val="single" w:sz="4" w:space="0" w:color="000000"/>
              <w:bottom w:val="single" w:sz="4" w:space="0" w:color="000000"/>
              <w:right w:val="single" w:sz="4" w:space="0" w:color="000000"/>
            </w:tcBorders>
          </w:tcPr>
          <w:p w14:paraId="3C120328" w14:textId="2E06585D" w:rsidR="001753CD" w:rsidRPr="001753CD" w:rsidRDefault="00F837E9" w:rsidP="00093BA2">
            <w:pPr>
              <w:spacing w:after="0" w:line="271" w:lineRule="auto"/>
              <w:jc w:val="right"/>
              <w:rPr>
                <w:w w:val="100"/>
                <w:kern w:val="0"/>
                <w:sz w:val="18"/>
                <w:szCs w:val="18"/>
              </w:rPr>
            </w:pPr>
            <w:r>
              <w:rPr>
                <w:w w:val="100"/>
                <w:kern w:val="0"/>
                <w:sz w:val="18"/>
                <w:szCs w:val="18"/>
              </w:rPr>
              <w:t>97.8%</w:t>
            </w:r>
          </w:p>
        </w:tc>
        <w:tc>
          <w:tcPr>
            <w:tcW w:w="930" w:type="dxa"/>
            <w:tcBorders>
              <w:top w:val="single" w:sz="4" w:space="0" w:color="000000"/>
              <w:left w:val="single" w:sz="4" w:space="0" w:color="000000"/>
              <w:bottom w:val="single" w:sz="4" w:space="0" w:color="000000"/>
              <w:right w:val="single" w:sz="4" w:space="0" w:color="000000"/>
            </w:tcBorders>
          </w:tcPr>
          <w:p w14:paraId="1A0FF3B8" w14:textId="519118C8" w:rsidR="001753CD" w:rsidRPr="001753CD" w:rsidRDefault="00C61193" w:rsidP="00093BA2">
            <w:pPr>
              <w:spacing w:after="0" w:line="271" w:lineRule="auto"/>
              <w:jc w:val="right"/>
              <w:rPr>
                <w:w w:val="100"/>
                <w:kern w:val="0"/>
                <w:sz w:val="18"/>
                <w:szCs w:val="18"/>
              </w:rPr>
            </w:pPr>
            <w:r>
              <w:rPr>
                <w:w w:val="100"/>
                <w:kern w:val="0"/>
                <w:sz w:val="18"/>
                <w:szCs w:val="18"/>
              </w:rPr>
              <w:t>+</w:t>
            </w:r>
            <w:r w:rsidR="00772C5E">
              <w:rPr>
                <w:w w:val="100"/>
                <w:kern w:val="0"/>
                <w:sz w:val="18"/>
                <w:szCs w:val="18"/>
              </w:rPr>
              <w:t>2.2</w:t>
            </w:r>
          </w:p>
        </w:tc>
        <w:tc>
          <w:tcPr>
            <w:tcW w:w="1779" w:type="dxa"/>
            <w:tcBorders>
              <w:top w:val="single" w:sz="4" w:space="0" w:color="000000"/>
              <w:left w:val="single" w:sz="4" w:space="0" w:color="000000"/>
              <w:bottom w:val="single" w:sz="4" w:space="0" w:color="000000"/>
              <w:right w:val="single" w:sz="4" w:space="0" w:color="000000"/>
            </w:tcBorders>
          </w:tcPr>
          <w:p w14:paraId="710599AE" w14:textId="2B03A71B" w:rsidR="001753CD" w:rsidRPr="001753CD" w:rsidRDefault="00C61193" w:rsidP="00A83E20">
            <w:pPr>
              <w:pStyle w:val="Tablesmall"/>
            </w:pPr>
            <w:r>
              <w:t>N/A</w:t>
            </w:r>
          </w:p>
        </w:tc>
      </w:tr>
      <w:tr w:rsidR="001753CD" w:rsidRPr="001753CD" w14:paraId="5E923D3C" w14:textId="77777777" w:rsidTr="003D36B6">
        <w:tc>
          <w:tcPr>
            <w:tcW w:w="959" w:type="dxa"/>
            <w:tcBorders>
              <w:top w:val="single" w:sz="4" w:space="0" w:color="000000"/>
              <w:left w:val="single" w:sz="4" w:space="0" w:color="000000"/>
              <w:bottom w:val="single" w:sz="4" w:space="0" w:color="000000"/>
              <w:right w:val="single" w:sz="4" w:space="0" w:color="000000"/>
            </w:tcBorders>
            <w:shd w:val="clear" w:color="auto" w:fill="auto"/>
            <w:hideMark/>
          </w:tcPr>
          <w:p w14:paraId="4A164C4A" w14:textId="77777777" w:rsidR="001753CD" w:rsidRPr="001753CD" w:rsidRDefault="001753CD" w:rsidP="001753CD">
            <w:pPr>
              <w:spacing w:after="0"/>
              <w:jc w:val="center"/>
              <w:rPr>
                <w:w w:val="100"/>
                <w:kern w:val="0"/>
                <w:sz w:val="18"/>
                <w:szCs w:val="18"/>
              </w:rPr>
            </w:pPr>
            <w:r w:rsidRPr="001753CD">
              <w:rPr>
                <w:w w:val="100"/>
                <w:kern w:val="0"/>
                <w:sz w:val="18"/>
                <w:szCs w:val="18"/>
                <w:u w:val="single"/>
              </w:rPr>
              <w:t>GOV-3</w:t>
            </w:r>
          </w:p>
        </w:tc>
        <w:tc>
          <w:tcPr>
            <w:tcW w:w="3889" w:type="dxa"/>
            <w:tcBorders>
              <w:top w:val="single" w:sz="4" w:space="0" w:color="000000"/>
              <w:left w:val="single" w:sz="4" w:space="0" w:color="000000"/>
              <w:bottom w:val="single" w:sz="4" w:space="0" w:color="000000"/>
              <w:right w:val="single" w:sz="4" w:space="0" w:color="000000"/>
            </w:tcBorders>
            <w:shd w:val="clear" w:color="auto" w:fill="auto"/>
            <w:hideMark/>
          </w:tcPr>
          <w:p w14:paraId="54799F9A" w14:textId="77777777" w:rsidR="001753CD" w:rsidRPr="001753CD" w:rsidRDefault="001753CD" w:rsidP="003D36B6">
            <w:pPr>
              <w:pStyle w:val="Tablesmall"/>
            </w:pPr>
            <w:r w:rsidRPr="001753CD">
              <w:t>Entities must ensure that the entity security adviser (ASA) and information technology security adviser (ITSA) have detailed knowledge of entity specific protective security policy, protocols and mandatory protective security requirements in order to fulfil their protective security responsibilities.</w:t>
            </w:r>
          </w:p>
        </w:tc>
        <w:tc>
          <w:tcPr>
            <w:tcW w:w="1276" w:type="dxa"/>
            <w:tcBorders>
              <w:top w:val="single" w:sz="4" w:space="0" w:color="000000"/>
              <w:left w:val="single" w:sz="4" w:space="0" w:color="000000"/>
              <w:bottom w:val="single" w:sz="4" w:space="0" w:color="000000"/>
              <w:right w:val="single" w:sz="4" w:space="0" w:color="000000"/>
            </w:tcBorders>
          </w:tcPr>
          <w:p w14:paraId="58ECC64A" w14:textId="2A39FF14" w:rsidR="001753CD" w:rsidRPr="001753CD" w:rsidRDefault="00E21C58" w:rsidP="00093BA2">
            <w:pPr>
              <w:spacing w:after="0" w:line="271" w:lineRule="auto"/>
              <w:jc w:val="right"/>
              <w:rPr>
                <w:w w:val="100"/>
                <w:kern w:val="0"/>
                <w:sz w:val="18"/>
                <w:szCs w:val="18"/>
              </w:rPr>
            </w:pPr>
            <w:r>
              <w:rPr>
                <w:w w:val="100"/>
                <w:kern w:val="0"/>
                <w:sz w:val="18"/>
                <w:szCs w:val="18"/>
              </w:rPr>
              <w:t>92</w:t>
            </w:r>
          </w:p>
        </w:tc>
        <w:tc>
          <w:tcPr>
            <w:tcW w:w="850" w:type="dxa"/>
            <w:tcBorders>
              <w:top w:val="single" w:sz="4" w:space="0" w:color="000000"/>
              <w:left w:val="single" w:sz="4" w:space="0" w:color="000000"/>
              <w:bottom w:val="single" w:sz="4" w:space="0" w:color="000000"/>
              <w:right w:val="single" w:sz="4" w:space="0" w:color="000000"/>
            </w:tcBorders>
          </w:tcPr>
          <w:p w14:paraId="0E7FDB94" w14:textId="6B74FAE6" w:rsidR="001753CD" w:rsidRPr="001753CD" w:rsidRDefault="00F837E9" w:rsidP="00093BA2">
            <w:pPr>
              <w:spacing w:after="0" w:line="271" w:lineRule="auto"/>
              <w:jc w:val="right"/>
              <w:rPr>
                <w:w w:val="100"/>
                <w:kern w:val="0"/>
                <w:sz w:val="18"/>
                <w:szCs w:val="18"/>
              </w:rPr>
            </w:pPr>
            <w:r>
              <w:rPr>
                <w:w w:val="100"/>
                <w:kern w:val="0"/>
                <w:sz w:val="18"/>
                <w:szCs w:val="18"/>
              </w:rPr>
              <w:t>97.9%</w:t>
            </w:r>
          </w:p>
        </w:tc>
        <w:tc>
          <w:tcPr>
            <w:tcW w:w="851" w:type="dxa"/>
            <w:tcBorders>
              <w:top w:val="single" w:sz="4" w:space="0" w:color="000000"/>
              <w:left w:val="single" w:sz="4" w:space="0" w:color="000000"/>
              <w:bottom w:val="single" w:sz="4" w:space="0" w:color="000000"/>
              <w:right w:val="single" w:sz="4" w:space="0" w:color="000000"/>
            </w:tcBorders>
          </w:tcPr>
          <w:p w14:paraId="5A17764F" w14:textId="4478C05A" w:rsidR="001753CD" w:rsidRPr="001753CD" w:rsidRDefault="00F837E9" w:rsidP="00093BA2">
            <w:pPr>
              <w:spacing w:after="0" w:line="271" w:lineRule="auto"/>
              <w:jc w:val="right"/>
              <w:rPr>
                <w:w w:val="100"/>
                <w:kern w:val="0"/>
                <w:sz w:val="18"/>
                <w:szCs w:val="18"/>
              </w:rPr>
            </w:pPr>
            <w:r>
              <w:rPr>
                <w:w w:val="100"/>
                <w:kern w:val="0"/>
                <w:sz w:val="18"/>
                <w:szCs w:val="18"/>
              </w:rPr>
              <w:t>96.8%</w:t>
            </w:r>
          </w:p>
        </w:tc>
        <w:tc>
          <w:tcPr>
            <w:tcW w:w="930" w:type="dxa"/>
            <w:tcBorders>
              <w:top w:val="single" w:sz="4" w:space="0" w:color="000000"/>
              <w:left w:val="single" w:sz="4" w:space="0" w:color="000000"/>
              <w:bottom w:val="single" w:sz="4" w:space="0" w:color="000000"/>
              <w:right w:val="single" w:sz="4" w:space="0" w:color="000000"/>
            </w:tcBorders>
          </w:tcPr>
          <w:p w14:paraId="5122A1B8" w14:textId="1E3E27FF" w:rsidR="001753CD" w:rsidRPr="001753CD" w:rsidRDefault="00C61193" w:rsidP="00093BA2">
            <w:pPr>
              <w:spacing w:after="0" w:line="271" w:lineRule="auto"/>
              <w:jc w:val="right"/>
              <w:rPr>
                <w:w w:val="100"/>
                <w:kern w:val="0"/>
                <w:sz w:val="18"/>
                <w:szCs w:val="18"/>
              </w:rPr>
            </w:pPr>
            <w:r>
              <w:rPr>
                <w:w w:val="100"/>
                <w:kern w:val="0"/>
                <w:sz w:val="18"/>
                <w:szCs w:val="18"/>
              </w:rPr>
              <w:t>+</w:t>
            </w:r>
            <w:r w:rsidR="00772C5E">
              <w:rPr>
                <w:w w:val="100"/>
                <w:kern w:val="0"/>
                <w:sz w:val="18"/>
                <w:szCs w:val="18"/>
              </w:rPr>
              <w:t>1.1</w:t>
            </w:r>
          </w:p>
        </w:tc>
        <w:tc>
          <w:tcPr>
            <w:tcW w:w="1779" w:type="dxa"/>
            <w:tcBorders>
              <w:top w:val="single" w:sz="4" w:space="0" w:color="000000"/>
              <w:left w:val="single" w:sz="4" w:space="0" w:color="000000"/>
              <w:bottom w:val="single" w:sz="4" w:space="0" w:color="000000"/>
              <w:right w:val="single" w:sz="4" w:space="0" w:color="000000"/>
            </w:tcBorders>
          </w:tcPr>
          <w:p w14:paraId="38A2F4B3" w14:textId="462E6F74" w:rsidR="001753CD" w:rsidRPr="001753CD" w:rsidRDefault="00C61193" w:rsidP="00A83E20">
            <w:pPr>
              <w:pStyle w:val="Tablesmall"/>
            </w:pPr>
            <w:r>
              <w:t>N/A</w:t>
            </w:r>
          </w:p>
        </w:tc>
      </w:tr>
      <w:tr w:rsidR="001753CD" w:rsidRPr="001753CD" w14:paraId="6C65C102" w14:textId="77777777" w:rsidTr="003D36B6">
        <w:tc>
          <w:tcPr>
            <w:tcW w:w="959" w:type="dxa"/>
            <w:tcBorders>
              <w:top w:val="single" w:sz="4" w:space="0" w:color="000000"/>
              <w:left w:val="single" w:sz="4" w:space="0" w:color="000000"/>
              <w:bottom w:val="single" w:sz="4" w:space="0" w:color="000000"/>
              <w:right w:val="single" w:sz="4" w:space="0" w:color="000000"/>
            </w:tcBorders>
            <w:shd w:val="clear" w:color="auto" w:fill="auto"/>
            <w:hideMark/>
          </w:tcPr>
          <w:p w14:paraId="2B440835" w14:textId="77777777" w:rsidR="001753CD" w:rsidRPr="001753CD" w:rsidRDefault="001753CD" w:rsidP="001753CD">
            <w:pPr>
              <w:spacing w:after="0"/>
              <w:jc w:val="center"/>
              <w:rPr>
                <w:w w:val="100"/>
                <w:kern w:val="0"/>
                <w:sz w:val="18"/>
                <w:szCs w:val="18"/>
                <w:u w:val="single"/>
              </w:rPr>
            </w:pPr>
            <w:r w:rsidRPr="001753CD">
              <w:rPr>
                <w:w w:val="100"/>
                <w:kern w:val="0"/>
                <w:sz w:val="18"/>
                <w:szCs w:val="18"/>
                <w:u w:val="single"/>
              </w:rPr>
              <w:t>GOV-4</w:t>
            </w:r>
          </w:p>
        </w:tc>
        <w:tc>
          <w:tcPr>
            <w:tcW w:w="3889" w:type="dxa"/>
            <w:tcBorders>
              <w:top w:val="single" w:sz="4" w:space="0" w:color="000000"/>
              <w:left w:val="single" w:sz="4" w:space="0" w:color="000000"/>
              <w:bottom w:val="single" w:sz="4" w:space="0" w:color="000000"/>
              <w:right w:val="single" w:sz="4" w:space="0" w:color="000000"/>
            </w:tcBorders>
            <w:shd w:val="clear" w:color="auto" w:fill="auto"/>
            <w:hideMark/>
          </w:tcPr>
          <w:p w14:paraId="6BFB91D3" w14:textId="77777777" w:rsidR="001753CD" w:rsidRPr="001753CD" w:rsidRDefault="001753CD" w:rsidP="003D36B6">
            <w:pPr>
              <w:pStyle w:val="Tablesmall"/>
            </w:pPr>
            <w:r w:rsidRPr="001753CD">
              <w:t>Entities must prepare a security plan to manage their security risks. The security plan must be updated or revised every two years or sooner where changes in risks and the entity’s operating environment dictate.</w:t>
            </w:r>
          </w:p>
        </w:tc>
        <w:tc>
          <w:tcPr>
            <w:tcW w:w="1276" w:type="dxa"/>
            <w:tcBorders>
              <w:top w:val="single" w:sz="4" w:space="0" w:color="000000"/>
              <w:left w:val="single" w:sz="4" w:space="0" w:color="000000"/>
              <w:bottom w:val="single" w:sz="4" w:space="0" w:color="000000"/>
              <w:right w:val="single" w:sz="4" w:space="0" w:color="000000"/>
            </w:tcBorders>
          </w:tcPr>
          <w:p w14:paraId="2D162AD0" w14:textId="0DFB6D7F" w:rsidR="001753CD" w:rsidRPr="001753CD" w:rsidRDefault="00E21C58" w:rsidP="00093BA2">
            <w:pPr>
              <w:spacing w:after="0" w:line="271" w:lineRule="auto"/>
              <w:jc w:val="right"/>
              <w:rPr>
                <w:w w:val="100"/>
                <w:kern w:val="0"/>
                <w:sz w:val="18"/>
                <w:szCs w:val="18"/>
              </w:rPr>
            </w:pPr>
            <w:r>
              <w:rPr>
                <w:w w:val="100"/>
                <w:kern w:val="0"/>
                <w:sz w:val="18"/>
                <w:szCs w:val="18"/>
              </w:rPr>
              <w:t>79</w:t>
            </w:r>
          </w:p>
        </w:tc>
        <w:tc>
          <w:tcPr>
            <w:tcW w:w="850" w:type="dxa"/>
            <w:tcBorders>
              <w:top w:val="single" w:sz="4" w:space="0" w:color="000000"/>
              <w:left w:val="single" w:sz="4" w:space="0" w:color="000000"/>
              <w:bottom w:val="single" w:sz="4" w:space="0" w:color="000000"/>
              <w:right w:val="single" w:sz="4" w:space="0" w:color="000000"/>
            </w:tcBorders>
          </w:tcPr>
          <w:p w14:paraId="46753B43" w14:textId="47D2D0C7" w:rsidR="001753CD" w:rsidRPr="001753CD" w:rsidRDefault="00F837E9" w:rsidP="00093BA2">
            <w:pPr>
              <w:spacing w:after="0" w:line="271" w:lineRule="auto"/>
              <w:jc w:val="right"/>
              <w:rPr>
                <w:w w:val="100"/>
                <w:kern w:val="0"/>
                <w:sz w:val="18"/>
                <w:szCs w:val="18"/>
              </w:rPr>
            </w:pPr>
            <w:r>
              <w:rPr>
                <w:w w:val="100"/>
                <w:kern w:val="0"/>
                <w:sz w:val="18"/>
                <w:szCs w:val="18"/>
              </w:rPr>
              <w:t>84.0%</w:t>
            </w:r>
          </w:p>
        </w:tc>
        <w:tc>
          <w:tcPr>
            <w:tcW w:w="851" w:type="dxa"/>
            <w:tcBorders>
              <w:top w:val="single" w:sz="4" w:space="0" w:color="000000"/>
              <w:left w:val="single" w:sz="4" w:space="0" w:color="000000"/>
              <w:bottom w:val="single" w:sz="4" w:space="0" w:color="000000"/>
              <w:right w:val="single" w:sz="4" w:space="0" w:color="000000"/>
            </w:tcBorders>
          </w:tcPr>
          <w:p w14:paraId="1A6F610B" w14:textId="67780AFE" w:rsidR="001753CD" w:rsidRPr="001753CD" w:rsidRDefault="00F837E9" w:rsidP="00093BA2">
            <w:pPr>
              <w:spacing w:after="0" w:line="271" w:lineRule="auto"/>
              <w:jc w:val="right"/>
              <w:rPr>
                <w:w w:val="100"/>
                <w:kern w:val="0"/>
                <w:sz w:val="18"/>
                <w:szCs w:val="18"/>
              </w:rPr>
            </w:pPr>
            <w:r>
              <w:rPr>
                <w:w w:val="100"/>
                <w:kern w:val="0"/>
                <w:sz w:val="18"/>
                <w:szCs w:val="18"/>
              </w:rPr>
              <w:t>79.6%</w:t>
            </w:r>
          </w:p>
        </w:tc>
        <w:tc>
          <w:tcPr>
            <w:tcW w:w="930" w:type="dxa"/>
            <w:tcBorders>
              <w:top w:val="single" w:sz="4" w:space="0" w:color="000000"/>
              <w:left w:val="single" w:sz="4" w:space="0" w:color="000000"/>
              <w:bottom w:val="single" w:sz="4" w:space="0" w:color="000000"/>
              <w:right w:val="single" w:sz="4" w:space="0" w:color="000000"/>
            </w:tcBorders>
          </w:tcPr>
          <w:p w14:paraId="3DEAA575" w14:textId="27D129D2" w:rsidR="001753CD" w:rsidRPr="001753CD" w:rsidRDefault="00C61193" w:rsidP="00093BA2">
            <w:pPr>
              <w:spacing w:after="0" w:line="271" w:lineRule="auto"/>
              <w:jc w:val="right"/>
              <w:rPr>
                <w:w w:val="100"/>
                <w:kern w:val="0"/>
                <w:sz w:val="18"/>
                <w:szCs w:val="18"/>
              </w:rPr>
            </w:pPr>
            <w:r>
              <w:rPr>
                <w:w w:val="100"/>
                <w:kern w:val="0"/>
                <w:sz w:val="18"/>
                <w:szCs w:val="18"/>
              </w:rPr>
              <w:t>+</w:t>
            </w:r>
            <w:r w:rsidR="00772C5E">
              <w:rPr>
                <w:w w:val="100"/>
                <w:kern w:val="0"/>
                <w:sz w:val="18"/>
                <w:szCs w:val="18"/>
              </w:rPr>
              <w:t>4.4</w:t>
            </w:r>
          </w:p>
        </w:tc>
        <w:tc>
          <w:tcPr>
            <w:tcW w:w="1779" w:type="dxa"/>
            <w:tcBorders>
              <w:top w:val="single" w:sz="4" w:space="0" w:color="000000"/>
              <w:left w:val="single" w:sz="4" w:space="0" w:color="000000"/>
              <w:bottom w:val="single" w:sz="4" w:space="0" w:color="000000"/>
              <w:right w:val="single" w:sz="4" w:space="0" w:color="000000"/>
            </w:tcBorders>
          </w:tcPr>
          <w:p w14:paraId="6DDA57C3" w14:textId="7E769B44" w:rsidR="001753CD" w:rsidRPr="001753CD" w:rsidRDefault="00C61193" w:rsidP="00A83E20">
            <w:pPr>
              <w:pStyle w:val="Tablesmall"/>
            </w:pPr>
            <w:r>
              <w:t>N/A</w:t>
            </w:r>
          </w:p>
        </w:tc>
      </w:tr>
      <w:tr w:rsidR="00F837E9" w:rsidRPr="001753CD" w14:paraId="2F1623FA" w14:textId="77777777" w:rsidTr="003D36B6">
        <w:tc>
          <w:tcPr>
            <w:tcW w:w="959" w:type="dxa"/>
            <w:tcBorders>
              <w:top w:val="single" w:sz="4" w:space="0" w:color="000000"/>
              <w:left w:val="single" w:sz="4" w:space="0" w:color="000000"/>
              <w:bottom w:val="single" w:sz="4" w:space="0" w:color="000000"/>
              <w:right w:val="single" w:sz="4" w:space="0" w:color="000000"/>
            </w:tcBorders>
            <w:shd w:val="clear" w:color="auto" w:fill="auto"/>
            <w:hideMark/>
          </w:tcPr>
          <w:p w14:paraId="16AA5C98" w14:textId="77777777" w:rsidR="00F837E9" w:rsidRPr="001753CD" w:rsidRDefault="00F837E9" w:rsidP="001753CD">
            <w:pPr>
              <w:spacing w:after="0"/>
              <w:jc w:val="center"/>
              <w:rPr>
                <w:w w:val="100"/>
                <w:kern w:val="0"/>
                <w:sz w:val="18"/>
                <w:szCs w:val="18"/>
              </w:rPr>
            </w:pPr>
            <w:r w:rsidRPr="001753CD">
              <w:rPr>
                <w:w w:val="100"/>
                <w:kern w:val="0"/>
                <w:sz w:val="18"/>
                <w:szCs w:val="18"/>
                <w:u w:val="single"/>
              </w:rPr>
              <w:t>GOV-5</w:t>
            </w:r>
          </w:p>
        </w:tc>
        <w:tc>
          <w:tcPr>
            <w:tcW w:w="3889" w:type="dxa"/>
            <w:tcBorders>
              <w:top w:val="single" w:sz="4" w:space="0" w:color="000000"/>
              <w:left w:val="single" w:sz="4" w:space="0" w:color="000000"/>
              <w:bottom w:val="single" w:sz="4" w:space="0" w:color="000000"/>
              <w:right w:val="single" w:sz="4" w:space="0" w:color="000000"/>
            </w:tcBorders>
            <w:shd w:val="clear" w:color="auto" w:fill="auto"/>
            <w:hideMark/>
          </w:tcPr>
          <w:p w14:paraId="20AEF83B" w14:textId="77777777" w:rsidR="00F837E9" w:rsidRPr="001753CD" w:rsidRDefault="00F837E9" w:rsidP="003D36B6">
            <w:pPr>
              <w:pStyle w:val="Tablesmall"/>
            </w:pPr>
            <w:r w:rsidRPr="001753CD">
              <w:t>Entities must develop their own set of protective security policies and procedures to meet their specific business needs.</w:t>
            </w:r>
          </w:p>
        </w:tc>
        <w:tc>
          <w:tcPr>
            <w:tcW w:w="1276" w:type="dxa"/>
            <w:tcBorders>
              <w:top w:val="single" w:sz="4" w:space="0" w:color="000000"/>
              <w:left w:val="single" w:sz="4" w:space="0" w:color="000000"/>
              <w:bottom w:val="single" w:sz="4" w:space="0" w:color="000000"/>
              <w:right w:val="single" w:sz="4" w:space="0" w:color="000000"/>
            </w:tcBorders>
          </w:tcPr>
          <w:p w14:paraId="7375AE12" w14:textId="01A462B4" w:rsidR="00F837E9" w:rsidRPr="001753CD" w:rsidRDefault="00E21C58" w:rsidP="00093BA2">
            <w:pPr>
              <w:spacing w:after="0" w:line="271" w:lineRule="auto"/>
              <w:jc w:val="right"/>
              <w:rPr>
                <w:w w:val="100"/>
                <w:kern w:val="0"/>
                <w:sz w:val="18"/>
                <w:szCs w:val="18"/>
              </w:rPr>
            </w:pPr>
            <w:r>
              <w:rPr>
                <w:w w:val="100"/>
                <w:kern w:val="0"/>
                <w:sz w:val="18"/>
                <w:szCs w:val="18"/>
              </w:rPr>
              <w:t>83</w:t>
            </w:r>
          </w:p>
        </w:tc>
        <w:tc>
          <w:tcPr>
            <w:tcW w:w="850" w:type="dxa"/>
            <w:tcBorders>
              <w:top w:val="single" w:sz="4" w:space="0" w:color="000000"/>
              <w:left w:val="single" w:sz="4" w:space="0" w:color="000000"/>
              <w:bottom w:val="single" w:sz="4" w:space="0" w:color="000000"/>
              <w:right w:val="single" w:sz="4" w:space="0" w:color="000000"/>
            </w:tcBorders>
          </w:tcPr>
          <w:p w14:paraId="04A3E30D" w14:textId="2A190199" w:rsidR="00F837E9" w:rsidRPr="00F837E9" w:rsidRDefault="00F837E9" w:rsidP="00093BA2">
            <w:pPr>
              <w:spacing w:after="0" w:line="271" w:lineRule="auto"/>
              <w:jc w:val="right"/>
              <w:rPr>
                <w:w w:val="100"/>
                <w:kern w:val="0"/>
                <w:sz w:val="18"/>
                <w:szCs w:val="18"/>
              </w:rPr>
            </w:pPr>
            <w:r w:rsidRPr="00F837E9">
              <w:rPr>
                <w:sz w:val="18"/>
              </w:rPr>
              <w:t>88.3%</w:t>
            </w:r>
          </w:p>
        </w:tc>
        <w:tc>
          <w:tcPr>
            <w:tcW w:w="851" w:type="dxa"/>
            <w:tcBorders>
              <w:top w:val="single" w:sz="4" w:space="0" w:color="000000"/>
              <w:left w:val="single" w:sz="4" w:space="0" w:color="000000"/>
              <w:bottom w:val="single" w:sz="4" w:space="0" w:color="000000"/>
              <w:right w:val="single" w:sz="4" w:space="0" w:color="000000"/>
            </w:tcBorders>
          </w:tcPr>
          <w:p w14:paraId="1E4A1C9A" w14:textId="034AAB5D" w:rsidR="00F837E9" w:rsidRPr="001753CD" w:rsidRDefault="00F837E9" w:rsidP="00093BA2">
            <w:pPr>
              <w:spacing w:after="0" w:line="271" w:lineRule="auto"/>
              <w:jc w:val="right"/>
              <w:rPr>
                <w:w w:val="100"/>
                <w:kern w:val="0"/>
                <w:sz w:val="18"/>
                <w:szCs w:val="18"/>
              </w:rPr>
            </w:pPr>
            <w:r>
              <w:rPr>
                <w:w w:val="100"/>
                <w:kern w:val="0"/>
                <w:sz w:val="18"/>
                <w:szCs w:val="18"/>
              </w:rPr>
              <w:t>84.9%</w:t>
            </w:r>
          </w:p>
        </w:tc>
        <w:tc>
          <w:tcPr>
            <w:tcW w:w="930" w:type="dxa"/>
            <w:tcBorders>
              <w:top w:val="single" w:sz="4" w:space="0" w:color="000000"/>
              <w:left w:val="single" w:sz="4" w:space="0" w:color="000000"/>
              <w:bottom w:val="single" w:sz="4" w:space="0" w:color="000000"/>
              <w:right w:val="single" w:sz="4" w:space="0" w:color="000000"/>
            </w:tcBorders>
          </w:tcPr>
          <w:p w14:paraId="1C38003C" w14:textId="174AB367" w:rsidR="00F837E9" w:rsidRPr="001753CD" w:rsidRDefault="00C61193" w:rsidP="00093BA2">
            <w:pPr>
              <w:spacing w:after="0" w:line="271" w:lineRule="auto"/>
              <w:jc w:val="right"/>
              <w:rPr>
                <w:w w:val="100"/>
                <w:kern w:val="0"/>
                <w:sz w:val="18"/>
                <w:szCs w:val="18"/>
              </w:rPr>
            </w:pPr>
            <w:r>
              <w:rPr>
                <w:w w:val="100"/>
                <w:kern w:val="0"/>
                <w:sz w:val="18"/>
                <w:szCs w:val="18"/>
              </w:rPr>
              <w:t>+</w:t>
            </w:r>
            <w:r w:rsidR="00772C5E">
              <w:rPr>
                <w:w w:val="100"/>
                <w:kern w:val="0"/>
                <w:sz w:val="18"/>
                <w:szCs w:val="18"/>
              </w:rPr>
              <w:t>3.4</w:t>
            </w:r>
          </w:p>
        </w:tc>
        <w:tc>
          <w:tcPr>
            <w:tcW w:w="1779" w:type="dxa"/>
            <w:tcBorders>
              <w:top w:val="single" w:sz="4" w:space="0" w:color="000000"/>
              <w:left w:val="single" w:sz="4" w:space="0" w:color="000000"/>
              <w:bottom w:val="single" w:sz="4" w:space="0" w:color="000000"/>
              <w:right w:val="single" w:sz="4" w:space="0" w:color="000000"/>
            </w:tcBorders>
          </w:tcPr>
          <w:p w14:paraId="2B6DD1CB" w14:textId="272F6FA6" w:rsidR="00F837E9" w:rsidRPr="001753CD" w:rsidRDefault="00C61193" w:rsidP="00A83E20">
            <w:pPr>
              <w:pStyle w:val="Tablesmall"/>
            </w:pPr>
            <w:r>
              <w:t>N/A</w:t>
            </w:r>
          </w:p>
        </w:tc>
      </w:tr>
      <w:tr w:rsidR="00F837E9" w:rsidRPr="001753CD" w14:paraId="77121A2E" w14:textId="77777777" w:rsidTr="003D36B6">
        <w:tc>
          <w:tcPr>
            <w:tcW w:w="959" w:type="dxa"/>
            <w:tcBorders>
              <w:top w:val="single" w:sz="4" w:space="0" w:color="000000"/>
              <w:left w:val="single" w:sz="4" w:space="0" w:color="000000"/>
              <w:bottom w:val="single" w:sz="4" w:space="0" w:color="000000"/>
              <w:right w:val="single" w:sz="4" w:space="0" w:color="000000"/>
            </w:tcBorders>
            <w:shd w:val="clear" w:color="auto" w:fill="auto"/>
            <w:hideMark/>
          </w:tcPr>
          <w:p w14:paraId="7F6EEF61" w14:textId="77777777" w:rsidR="00F837E9" w:rsidRPr="001753CD" w:rsidRDefault="00F837E9" w:rsidP="001753CD">
            <w:pPr>
              <w:spacing w:after="0"/>
              <w:jc w:val="center"/>
              <w:rPr>
                <w:w w:val="100"/>
                <w:kern w:val="0"/>
                <w:sz w:val="18"/>
                <w:szCs w:val="18"/>
              </w:rPr>
            </w:pPr>
            <w:r w:rsidRPr="001753CD">
              <w:rPr>
                <w:w w:val="100"/>
                <w:kern w:val="0"/>
                <w:sz w:val="18"/>
                <w:szCs w:val="18"/>
                <w:u w:val="single"/>
              </w:rPr>
              <w:t>GOV-6</w:t>
            </w:r>
          </w:p>
        </w:tc>
        <w:tc>
          <w:tcPr>
            <w:tcW w:w="3889" w:type="dxa"/>
            <w:tcBorders>
              <w:top w:val="single" w:sz="4" w:space="0" w:color="000000"/>
              <w:left w:val="single" w:sz="4" w:space="0" w:color="000000"/>
              <w:bottom w:val="single" w:sz="4" w:space="0" w:color="000000"/>
              <w:right w:val="single" w:sz="4" w:space="0" w:color="000000"/>
            </w:tcBorders>
            <w:shd w:val="clear" w:color="auto" w:fill="auto"/>
            <w:hideMark/>
          </w:tcPr>
          <w:p w14:paraId="5DE259F7" w14:textId="77777777" w:rsidR="00F837E9" w:rsidRPr="001753CD" w:rsidRDefault="00F837E9" w:rsidP="003D36B6">
            <w:pPr>
              <w:pStyle w:val="Tablesmall"/>
            </w:pPr>
            <w:r w:rsidRPr="001753CD">
              <w:t xml:space="preserve">Entities must adopt a risk management approach to cover all areas of protective security activity across their organisation, in accordance with the Australian Standards AS/NZS ISO 31000:2009 </w:t>
            </w:r>
            <w:r w:rsidRPr="001753CD">
              <w:rPr>
                <w:i/>
              </w:rPr>
              <w:t>Risk management—Principles and guidelines</w:t>
            </w:r>
            <w:r w:rsidRPr="001753CD">
              <w:t xml:space="preserve"> and HB 167:2006 </w:t>
            </w:r>
            <w:r w:rsidRPr="001753CD">
              <w:rPr>
                <w:i/>
              </w:rPr>
              <w:t>Security risk management</w:t>
            </w:r>
            <w:r w:rsidRPr="001753CD">
              <w:t>.</w:t>
            </w:r>
          </w:p>
        </w:tc>
        <w:tc>
          <w:tcPr>
            <w:tcW w:w="1276" w:type="dxa"/>
            <w:tcBorders>
              <w:top w:val="single" w:sz="4" w:space="0" w:color="000000"/>
              <w:left w:val="single" w:sz="4" w:space="0" w:color="000000"/>
              <w:bottom w:val="single" w:sz="4" w:space="0" w:color="000000"/>
              <w:right w:val="single" w:sz="4" w:space="0" w:color="000000"/>
            </w:tcBorders>
          </w:tcPr>
          <w:p w14:paraId="4FA250FD" w14:textId="1A6B4465" w:rsidR="00F837E9" w:rsidRPr="001753CD" w:rsidRDefault="00E21C58" w:rsidP="00093BA2">
            <w:pPr>
              <w:spacing w:after="0" w:line="271" w:lineRule="auto"/>
              <w:jc w:val="right"/>
              <w:rPr>
                <w:w w:val="100"/>
                <w:kern w:val="0"/>
                <w:sz w:val="18"/>
                <w:szCs w:val="18"/>
              </w:rPr>
            </w:pPr>
            <w:r>
              <w:rPr>
                <w:w w:val="100"/>
                <w:kern w:val="0"/>
                <w:sz w:val="18"/>
                <w:szCs w:val="18"/>
              </w:rPr>
              <w:t>87</w:t>
            </w:r>
          </w:p>
        </w:tc>
        <w:tc>
          <w:tcPr>
            <w:tcW w:w="850" w:type="dxa"/>
            <w:tcBorders>
              <w:top w:val="single" w:sz="4" w:space="0" w:color="000000"/>
              <w:left w:val="single" w:sz="4" w:space="0" w:color="000000"/>
              <w:bottom w:val="single" w:sz="4" w:space="0" w:color="000000"/>
              <w:right w:val="single" w:sz="4" w:space="0" w:color="000000"/>
            </w:tcBorders>
          </w:tcPr>
          <w:p w14:paraId="2109E835" w14:textId="1C5F1A02" w:rsidR="00F837E9" w:rsidRPr="00F837E9" w:rsidRDefault="00F837E9" w:rsidP="00093BA2">
            <w:pPr>
              <w:spacing w:after="0" w:line="271" w:lineRule="auto"/>
              <w:jc w:val="right"/>
              <w:rPr>
                <w:w w:val="100"/>
                <w:kern w:val="0"/>
                <w:sz w:val="18"/>
                <w:szCs w:val="18"/>
              </w:rPr>
            </w:pPr>
            <w:r w:rsidRPr="00F837E9">
              <w:rPr>
                <w:sz w:val="18"/>
              </w:rPr>
              <w:t>92.6%</w:t>
            </w:r>
          </w:p>
        </w:tc>
        <w:tc>
          <w:tcPr>
            <w:tcW w:w="851" w:type="dxa"/>
            <w:tcBorders>
              <w:top w:val="single" w:sz="4" w:space="0" w:color="000000"/>
              <w:left w:val="single" w:sz="4" w:space="0" w:color="000000"/>
              <w:bottom w:val="single" w:sz="4" w:space="0" w:color="000000"/>
              <w:right w:val="single" w:sz="4" w:space="0" w:color="000000"/>
            </w:tcBorders>
          </w:tcPr>
          <w:p w14:paraId="141DFB1E" w14:textId="629CB047" w:rsidR="00F837E9" w:rsidRPr="001753CD" w:rsidRDefault="00F837E9" w:rsidP="00093BA2">
            <w:pPr>
              <w:spacing w:after="0" w:line="271" w:lineRule="auto"/>
              <w:jc w:val="right"/>
              <w:rPr>
                <w:w w:val="100"/>
                <w:kern w:val="0"/>
                <w:sz w:val="18"/>
                <w:szCs w:val="18"/>
              </w:rPr>
            </w:pPr>
            <w:r>
              <w:rPr>
                <w:w w:val="100"/>
                <w:kern w:val="0"/>
                <w:sz w:val="18"/>
                <w:szCs w:val="18"/>
              </w:rPr>
              <w:t>91.4%</w:t>
            </w:r>
          </w:p>
        </w:tc>
        <w:tc>
          <w:tcPr>
            <w:tcW w:w="930" w:type="dxa"/>
            <w:tcBorders>
              <w:top w:val="single" w:sz="4" w:space="0" w:color="000000"/>
              <w:left w:val="single" w:sz="4" w:space="0" w:color="000000"/>
              <w:bottom w:val="single" w:sz="4" w:space="0" w:color="000000"/>
              <w:right w:val="single" w:sz="4" w:space="0" w:color="000000"/>
            </w:tcBorders>
          </w:tcPr>
          <w:p w14:paraId="5D377AC6" w14:textId="35624DAD" w:rsidR="00F837E9" w:rsidRPr="001753CD" w:rsidRDefault="00C61193" w:rsidP="00093BA2">
            <w:pPr>
              <w:spacing w:after="0" w:line="271" w:lineRule="auto"/>
              <w:jc w:val="right"/>
              <w:rPr>
                <w:w w:val="100"/>
                <w:kern w:val="0"/>
                <w:sz w:val="18"/>
                <w:szCs w:val="18"/>
              </w:rPr>
            </w:pPr>
            <w:r>
              <w:rPr>
                <w:w w:val="100"/>
                <w:kern w:val="0"/>
                <w:sz w:val="18"/>
                <w:szCs w:val="18"/>
              </w:rPr>
              <w:t>+</w:t>
            </w:r>
            <w:r w:rsidR="00772C5E">
              <w:rPr>
                <w:w w:val="100"/>
                <w:kern w:val="0"/>
                <w:sz w:val="18"/>
                <w:szCs w:val="18"/>
              </w:rPr>
              <w:t>1.2</w:t>
            </w:r>
          </w:p>
        </w:tc>
        <w:tc>
          <w:tcPr>
            <w:tcW w:w="1779" w:type="dxa"/>
            <w:tcBorders>
              <w:top w:val="single" w:sz="4" w:space="0" w:color="000000"/>
              <w:left w:val="single" w:sz="4" w:space="0" w:color="000000"/>
              <w:bottom w:val="single" w:sz="4" w:space="0" w:color="000000"/>
              <w:right w:val="single" w:sz="4" w:space="0" w:color="000000"/>
            </w:tcBorders>
          </w:tcPr>
          <w:p w14:paraId="346DE5B5" w14:textId="61DAF504" w:rsidR="00F837E9" w:rsidRPr="001753CD" w:rsidRDefault="00C61193" w:rsidP="00A83E20">
            <w:pPr>
              <w:pStyle w:val="Tablesmall"/>
            </w:pPr>
            <w:r>
              <w:t>N/A</w:t>
            </w:r>
          </w:p>
        </w:tc>
      </w:tr>
      <w:tr w:rsidR="00F837E9" w:rsidRPr="001753CD" w14:paraId="21823757" w14:textId="77777777" w:rsidTr="003D36B6">
        <w:tc>
          <w:tcPr>
            <w:tcW w:w="959" w:type="dxa"/>
            <w:tcBorders>
              <w:top w:val="single" w:sz="4" w:space="0" w:color="000000"/>
              <w:left w:val="single" w:sz="4" w:space="0" w:color="000000"/>
              <w:bottom w:val="single" w:sz="4" w:space="0" w:color="000000"/>
              <w:right w:val="single" w:sz="4" w:space="0" w:color="000000"/>
            </w:tcBorders>
            <w:shd w:val="clear" w:color="auto" w:fill="auto"/>
            <w:hideMark/>
          </w:tcPr>
          <w:p w14:paraId="0C835737" w14:textId="77777777" w:rsidR="00F837E9" w:rsidRPr="001753CD" w:rsidRDefault="00F837E9" w:rsidP="001753CD">
            <w:pPr>
              <w:spacing w:after="0"/>
              <w:jc w:val="center"/>
              <w:rPr>
                <w:w w:val="100"/>
                <w:kern w:val="0"/>
                <w:sz w:val="18"/>
                <w:szCs w:val="18"/>
              </w:rPr>
            </w:pPr>
            <w:r w:rsidRPr="001753CD">
              <w:rPr>
                <w:w w:val="100"/>
                <w:kern w:val="0"/>
                <w:sz w:val="18"/>
                <w:szCs w:val="18"/>
                <w:u w:val="single"/>
              </w:rPr>
              <w:t>GOV-7</w:t>
            </w:r>
          </w:p>
        </w:tc>
        <w:tc>
          <w:tcPr>
            <w:tcW w:w="3889" w:type="dxa"/>
            <w:tcBorders>
              <w:top w:val="single" w:sz="4" w:space="0" w:color="000000"/>
              <w:left w:val="single" w:sz="4" w:space="0" w:color="000000"/>
              <w:bottom w:val="single" w:sz="4" w:space="0" w:color="000000"/>
              <w:right w:val="single" w:sz="4" w:space="0" w:color="000000"/>
            </w:tcBorders>
            <w:shd w:val="clear" w:color="auto" w:fill="auto"/>
            <w:hideMark/>
          </w:tcPr>
          <w:p w14:paraId="25B5A03D" w14:textId="77777777" w:rsidR="00F837E9" w:rsidRPr="001753CD" w:rsidRDefault="00F837E9" w:rsidP="003D36B6">
            <w:pPr>
              <w:pStyle w:val="Tablesmall"/>
            </w:pPr>
            <w:r w:rsidRPr="001753CD">
              <w:t>For internal audit and reporting, entities must:</w:t>
            </w:r>
          </w:p>
          <w:p w14:paraId="43D11409" w14:textId="77777777" w:rsidR="00F837E9" w:rsidRPr="001753CD" w:rsidRDefault="00F837E9" w:rsidP="003D36B6">
            <w:pPr>
              <w:pStyle w:val="Tablesmall"/>
              <w:numPr>
                <w:ilvl w:val="0"/>
                <w:numId w:val="24"/>
              </w:numPr>
            </w:pPr>
            <w:r w:rsidRPr="001753CD">
              <w:t xml:space="preserve">undertake an annual security assessment against the mandatory requirements detailed within the Protective Security Policy Framework </w:t>
            </w:r>
          </w:p>
          <w:p w14:paraId="46FA68DF" w14:textId="77777777" w:rsidR="00F837E9" w:rsidRPr="001753CD" w:rsidRDefault="00F837E9" w:rsidP="003D36B6">
            <w:pPr>
              <w:pStyle w:val="Tablesmall"/>
              <w:numPr>
                <w:ilvl w:val="0"/>
                <w:numId w:val="24"/>
              </w:numPr>
            </w:pPr>
            <w:proofErr w:type="gramStart"/>
            <w:r w:rsidRPr="001753CD">
              <w:t>report</w:t>
            </w:r>
            <w:proofErr w:type="gramEnd"/>
            <w:r w:rsidRPr="001753CD">
              <w:t xml:space="preserve"> their compliance with the mandatory requirements to the relevant portfolio Minister.</w:t>
            </w:r>
          </w:p>
          <w:p w14:paraId="0F96176B" w14:textId="77777777" w:rsidR="00F837E9" w:rsidRPr="001753CD" w:rsidRDefault="00F837E9" w:rsidP="003D36B6">
            <w:pPr>
              <w:pStyle w:val="Tablesmall"/>
            </w:pPr>
            <w:r w:rsidRPr="001753CD">
              <w:t>The report must:</w:t>
            </w:r>
          </w:p>
          <w:p w14:paraId="0C0D26A3" w14:textId="77777777" w:rsidR="00F837E9" w:rsidRPr="001753CD" w:rsidRDefault="00F837E9" w:rsidP="00A83E20">
            <w:pPr>
              <w:pStyle w:val="Tablesmall"/>
              <w:numPr>
                <w:ilvl w:val="0"/>
                <w:numId w:val="25"/>
              </w:numPr>
            </w:pPr>
            <w:r w:rsidRPr="001753CD">
              <w:t>contain a declaration of compliance by the entity head</w:t>
            </w:r>
          </w:p>
          <w:p w14:paraId="6F8FE89E" w14:textId="77777777" w:rsidR="00F837E9" w:rsidRDefault="00F837E9" w:rsidP="00A83E20">
            <w:pPr>
              <w:pStyle w:val="Tablesmall"/>
              <w:numPr>
                <w:ilvl w:val="0"/>
                <w:numId w:val="25"/>
              </w:numPr>
            </w:pPr>
            <w:proofErr w:type="gramStart"/>
            <w:r w:rsidRPr="001753CD">
              <w:t>state</w:t>
            </w:r>
            <w:proofErr w:type="gramEnd"/>
            <w:r w:rsidRPr="001753CD">
              <w:t xml:space="preserve"> any areas of non</w:t>
            </w:r>
            <w:r w:rsidRPr="001753CD">
              <w:noBreakHyphen/>
              <w:t>compliance, including details on measures taken to lessen identified risks.</w:t>
            </w:r>
          </w:p>
          <w:p w14:paraId="7EDBF872" w14:textId="5ED40D05" w:rsidR="00F837E9" w:rsidRPr="001753CD" w:rsidRDefault="00F837E9" w:rsidP="00A83E20">
            <w:pPr>
              <w:pStyle w:val="Tablesmall"/>
            </w:pPr>
            <w:r w:rsidRPr="001753CD">
              <w:t>In addition to their portfolio Minister, entities must send a copy of their annual report on compliance with the mandatory requirements to:</w:t>
            </w:r>
          </w:p>
          <w:p w14:paraId="57D721C7" w14:textId="77777777" w:rsidR="00F837E9" w:rsidRPr="001753CD" w:rsidRDefault="00F837E9" w:rsidP="00A83E20">
            <w:pPr>
              <w:pStyle w:val="Tablesmall"/>
              <w:numPr>
                <w:ilvl w:val="0"/>
                <w:numId w:val="26"/>
              </w:numPr>
            </w:pPr>
            <w:r w:rsidRPr="001753CD">
              <w:t>the Secretary, Attorney-General’s Department, and</w:t>
            </w:r>
          </w:p>
          <w:p w14:paraId="7337AC93" w14:textId="77777777" w:rsidR="00F837E9" w:rsidRDefault="00F837E9" w:rsidP="00A83E20">
            <w:pPr>
              <w:pStyle w:val="Tablesmall"/>
              <w:numPr>
                <w:ilvl w:val="0"/>
                <w:numId w:val="26"/>
              </w:numPr>
            </w:pPr>
            <w:proofErr w:type="gramStart"/>
            <w:r w:rsidRPr="001753CD">
              <w:t>the</w:t>
            </w:r>
            <w:proofErr w:type="gramEnd"/>
            <w:r w:rsidRPr="001753CD">
              <w:t xml:space="preserve"> Auditor General.</w:t>
            </w:r>
          </w:p>
          <w:p w14:paraId="3171141D" w14:textId="77777777" w:rsidR="00A83E20" w:rsidRDefault="00A83E20" w:rsidP="00A83E20">
            <w:pPr>
              <w:pStyle w:val="Tablesmall"/>
            </w:pPr>
          </w:p>
          <w:p w14:paraId="5A1D5A46" w14:textId="331D230C" w:rsidR="00A83E20" w:rsidRPr="00A83E20" w:rsidRDefault="00A83E20" w:rsidP="00A83E20">
            <w:pPr>
              <w:pStyle w:val="Tablesmall"/>
              <w:rPr>
                <w:i/>
              </w:rPr>
            </w:pPr>
            <w:r>
              <w:rPr>
                <w:i/>
              </w:rPr>
              <w:t>(continued over page)</w:t>
            </w:r>
          </w:p>
          <w:p w14:paraId="39E48913" w14:textId="77777777" w:rsidR="00F837E9" w:rsidRPr="001753CD" w:rsidRDefault="00F837E9" w:rsidP="00A83E20">
            <w:pPr>
              <w:pStyle w:val="Tablesmall"/>
            </w:pPr>
            <w:r w:rsidRPr="001753CD">
              <w:t>Entities must also advise any non-compliance with mandatory requirements to:</w:t>
            </w:r>
          </w:p>
          <w:p w14:paraId="0F6B798B" w14:textId="77777777" w:rsidR="00F837E9" w:rsidRPr="001753CD" w:rsidRDefault="00F837E9" w:rsidP="00A83E20">
            <w:pPr>
              <w:pStyle w:val="Tablesmall"/>
              <w:numPr>
                <w:ilvl w:val="0"/>
                <w:numId w:val="8"/>
              </w:numPr>
            </w:pPr>
            <w:proofErr w:type="gramStart"/>
            <w:r w:rsidRPr="001753CD">
              <w:t>the</w:t>
            </w:r>
            <w:proofErr w:type="gramEnd"/>
            <w:r w:rsidRPr="001753CD">
              <w:t xml:space="preserve"> Director, Australian Signals Directorate for matters relating to the </w:t>
            </w:r>
            <w:hyperlink r:id="rId18" w:history="1">
              <w:r w:rsidRPr="001753CD">
                <w:t>Australian Government Information Security Manual</w:t>
              </w:r>
            </w:hyperlink>
            <w:r w:rsidRPr="001753CD">
              <w:t xml:space="preserve"> (ISM).</w:t>
            </w:r>
          </w:p>
          <w:p w14:paraId="29228298" w14:textId="77777777" w:rsidR="00F837E9" w:rsidRPr="001753CD" w:rsidRDefault="00F837E9" w:rsidP="00A83E20">
            <w:pPr>
              <w:pStyle w:val="Tablesmall"/>
              <w:numPr>
                <w:ilvl w:val="0"/>
                <w:numId w:val="8"/>
              </w:numPr>
            </w:pPr>
            <w:r w:rsidRPr="001753CD">
              <w:t>the Director-General, Australian Security Intelligence Organisation for matters relating to national security, and</w:t>
            </w:r>
          </w:p>
          <w:p w14:paraId="2BF8C46E" w14:textId="77777777" w:rsidR="00F837E9" w:rsidRPr="001753CD" w:rsidRDefault="00F837E9" w:rsidP="00A83E20">
            <w:pPr>
              <w:pStyle w:val="Tablesmall"/>
              <w:numPr>
                <w:ilvl w:val="0"/>
                <w:numId w:val="8"/>
              </w:numPr>
            </w:pPr>
            <w:proofErr w:type="gramStart"/>
            <w:r w:rsidRPr="001753CD">
              <w:t>the</w:t>
            </w:r>
            <w:proofErr w:type="gramEnd"/>
            <w:r w:rsidRPr="001753CD">
              <w:t xml:space="preserve"> heads of any entities whose people, information or assets may be affected by the non-compliance.</w:t>
            </w:r>
          </w:p>
        </w:tc>
        <w:tc>
          <w:tcPr>
            <w:tcW w:w="1276" w:type="dxa"/>
            <w:tcBorders>
              <w:top w:val="single" w:sz="4" w:space="0" w:color="000000"/>
              <w:left w:val="single" w:sz="4" w:space="0" w:color="000000"/>
              <w:bottom w:val="single" w:sz="4" w:space="0" w:color="000000"/>
              <w:right w:val="single" w:sz="4" w:space="0" w:color="000000"/>
            </w:tcBorders>
          </w:tcPr>
          <w:p w14:paraId="0194872E" w14:textId="202BA897" w:rsidR="00F837E9" w:rsidRPr="001753CD" w:rsidRDefault="00E21C58" w:rsidP="00093BA2">
            <w:pPr>
              <w:spacing w:after="0" w:line="271" w:lineRule="auto"/>
              <w:jc w:val="right"/>
              <w:rPr>
                <w:w w:val="100"/>
                <w:kern w:val="0"/>
                <w:sz w:val="18"/>
                <w:szCs w:val="18"/>
              </w:rPr>
            </w:pPr>
            <w:r>
              <w:rPr>
                <w:w w:val="100"/>
                <w:kern w:val="0"/>
                <w:sz w:val="18"/>
                <w:szCs w:val="18"/>
              </w:rPr>
              <w:t>94</w:t>
            </w:r>
          </w:p>
        </w:tc>
        <w:tc>
          <w:tcPr>
            <w:tcW w:w="850" w:type="dxa"/>
            <w:tcBorders>
              <w:top w:val="single" w:sz="4" w:space="0" w:color="000000"/>
              <w:left w:val="single" w:sz="4" w:space="0" w:color="000000"/>
              <w:bottom w:val="single" w:sz="4" w:space="0" w:color="000000"/>
              <w:right w:val="single" w:sz="4" w:space="0" w:color="000000"/>
            </w:tcBorders>
          </w:tcPr>
          <w:p w14:paraId="3A12B3AC" w14:textId="077586E3" w:rsidR="00F837E9" w:rsidRPr="00F837E9" w:rsidRDefault="00F837E9" w:rsidP="00093BA2">
            <w:pPr>
              <w:spacing w:after="0" w:line="271" w:lineRule="auto"/>
              <w:jc w:val="right"/>
              <w:rPr>
                <w:w w:val="100"/>
                <w:kern w:val="0"/>
                <w:sz w:val="18"/>
                <w:szCs w:val="18"/>
              </w:rPr>
            </w:pPr>
            <w:r w:rsidRPr="00F837E9">
              <w:rPr>
                <w:sz w:val="18"/>
              </w:rPr>
              <w:t>100.0%</w:t>
            </w:r>
          </w:p>
        </w:tc>
        <w:tc>
          <w:tcPr>
            <w:tcW w:w="851" w:type="dxa"/>
            <w:tcBorders>
              <w:top w:val="single" w:sz="4" w:space="0" w:color="000000"/>
              <w:left w:val="single" w:sz="4" w:space="0" w:color="000000"/>
              <w:bottom w:val="single" w:sz="4" w:space="0" w:color="000000"/>
              <w:right w:val="single" w:sz="4" w:space="0" w:color="000000"/>
            </w:tcBorders>
          </w:tcPr>
          <w:p w14:paraId="7A839DA8" w14:textId="3023750E" w:rsidR="00F837E9" w:rsidRPr="001753CD" w:rsidRDefault="00F837E9" w:rsidP="00093BA2">
            <w:pPr>
              <w:spacing w:after="0" w:line="271" w:lineRule="auto"/>
              <w:jc w:val="right"/>
              <w:rPr>
                <w:w w:val="100"/>
                <w:kern w:val="0"/>
                <w:sz w:val="18"/>
                <w:szCs w:val="18"/>
              </w:rPr>
            </w:pPr>
            <w:r>
              <w:rPr>
                <w:w w:val="100"/>
                <w:kern w:val="0"/>
                <w:sz w:val="18"/>
                <w:szCs w:val="18"/>
              </w:rPr>
              <w:t>100.0%</w:t>
            </w:r>
          </w:p>
        </w:tc>
        <w:tc>
          <w:tcPr>
            <w:tcW w:w="930" w:type="dxa"/>
            <w:tcBorders>
              <w:top w:val="single" w:sz="4" w:space="0" w:color="000000"/>
              <w:left w:val="single" w:sz="4" w:space="0" w:color="000000"/>
              <w:bottom w:val="single" w:sz="4" w:space="0" w:color="000000"/>
              <w:right w:val="single" w:sz="4" w:space="0" w:color="000000"/>
            </w:tcBorders>
          </w:tcPr>
          <w:p w14:paraId="264428F9" w14:textId="6A71CE49" w:rsidR="00F837E9" w:rsidRPr="001753CD" w:rsidRDefault="00C61193" w:rsidP="00093BA2">
            <w:pPr>
              <w:spacing w:after="0" w:line="271" w:lineRule="auto"/>
              <w:jc w:val="right"/>
              <w:rPr>
                <w:w w:val="100"/>
                <w:kern w:val="0"/>
                <w:sz w:val="18"/>
                <w:szCs w:val="18"/>
              </w:rPr>
            </w:pPr>
            <w:r>
              <w:rPr>
                <w:w w:val="100"/>
                <w:kern w:val="0"/>
                <w:sz w:val="18"/>
                <w:szCs w:val="18"/>
              </w:rPr>
              <w:t>±</w:t>
            </w:r>
            <w:r w:rsidR="00772C5E">
              <w:rPr>
                <w:w w:val="100"/>
                <w:kern w:val="0"/>
                <w:sz w:val="18"/>
                <w:szCs w:val="18"/>
              </w:rPr>
              <w:t>0.0</w:t>
            </w:r>
          </w:p>
        </w:tc>
        <w:tc>
          <w:tcPr>
            <w:tcW w:w="1779" w:type="dxa"/>
            <w:tcBorders>
              <w:top w:val="single" w:sz="4" w:space="0" w:color="000000"/>
              <w:left w:val="single" w:sz="4" w:space="0" w:color="000000"/>
              <w:bottom w:val="single" w:sz="4" w:space="0" w:color="000000"/>
              <w:right w:val="single" w:sz="4" w:space="0" w:color="000000"/>
            </w:tcBorders>
          </w:tcPr>
          <w:p w14:paraId="1FE4A45D" w14:textId="27F67FC2" w:rsidR="00F837E9" w:rsidRPr="001753CD" w:rsidRDefault="00C61193" w:rsidP="00A83E20">
            <w:pPr>
              <w:pStyle w:val="Tablesmall"/>
            </w:pPr>
            <w:r>
              <w:t>No change in compliance</w:t>
            </w:r>
          </w:p>
        </w:tc>
      </w:tr>
      <w:tr w:rsidR="00F837E9" w:rsidRPr="001753CD" w14:paraId="117BE754" w14:textId="77777777" w:rsidTr="003D36B6">
        <w:tc>
          <w:tcPr>
            <w:tcW w:w="959" w:type="dxa"/>
            <w:tcBorders>
              <w:top w:val="single" w:sz="4" w:space="0" w:color="000000"/>
              <w:left w:val="single" w:sz="4" w:space="0" w:color="000000"/>
              <w:bottom w:val="single" w:sz="4" w:space="0" w:color="000000"/>
              <w:right w:val="single" w:sz="4" w:space="0" w:color="000000"/>
            </w:tcBorders>
            <w:shd w:val="clear" w:color="auto" w:fill="auto"/>
            <w:hideMark/>
          </w:tcPr>
          <w:p w14:paraId="1B91B6E3" w14:textId="77777777" w:rsidR="00F837E9" w:rsidRPr="001753CD" w:rsidRDefault="00F837E9" w:rsidP="001753CD">
            <w:pPr>
              <w:spacing w:after="0"/>
              <w:jc w:val="center"/>
              <w:rPr>
                <w:w w:val="100"/>
                <w:kern w:val="0"/>
                <w:sz w:val="18"/>
                <w:szCs w:val="18"/>
              </w:rPr>
            </w:pPr>
            <w:r w:rsidRPr="001753CD">
              <w:rPr>
                <w:w w:val="100"/>
                <w:kern w:val="0"/>
                <w:sz w:val="18"/>
                <w:szCs w:val="18"/>
                <w:u w:val="single"/>
              </w:rPr>
              <w:t>GOV-8</w:t>
            </w:r>
          </w:p>
        </w:tc>
        <w:tc>
          <w:tcPr>
            <w:tcW w:w="3889" w:type="dxa"/>
            <w:tcBorders>
              <w:top w:val="single" w:sz="4" w:space="0" w:color="000000"/>
              <w:left w:val="single" w:sz="4" w:space="0" w:color="000000"/>
              <w:bottom w:val="single" w:sz="4" w:space="0" w:color="000000"/>
              <w:right w:val="single" w:sz="4" w:space="0" w:color="000000"/>
            </w:tcBorders>
            <w:shd w:val="clear" w:color="auto" w:fill="auto"/>
            <w:hideMark/>
          </w:tcPr>
          <w:p w14:paraId="4021D15F" w14:textId="77777777" w:rsidR="00F837E9" w:rsidRPr="001753CD" w:rsidRDefault="00F837E9" w:rsidP="00A83E20">
            <w:pPr>
              <w:pStyle w:val="Tablesmall"/>
            </w:pPr>
            <w:r w:rsidRPr="001753CD">
              <w:t>Entities must ensure investigators are appropriately trained and have procedures in place for reporting and investigating security incidents and taking corrective action, in accordance with the provisions of the:</w:t>
            </w:r>
          </w:p>
          <w:p w14:paraId="6C69F81C" w14:textId="77777777" w:rsidR="00F837E9" w:rsidRPr="001753CD" w:rsidRDefault="00F837E9" w:rsidP="00A83E20">
            <w:pPr>
              <w:pStyle w:val="Tablesmall"/>
              <w:numPr>
                <w:ilvl w:val="0"/>
                <w:numId w:val="24"/>
              </w:numPr>
            </w:pPr>
            <w:r w:rsidRPr="00A83E20">
              <w:rPr>
                <w:i/>
              </w:rPr>
              <w:t>Australian Government protective security governance guidelines—Reporting incidents and conducting security investigations</w:t>
            </w:r>
            <w:r w:rsidRPr="001753CD">
              <w:t>, and/or</w:t>
            </w:r>
          </w:p>
          <w:p w14:paraId="386038C4" w14:textId="77777777" w:rsidR="00F837E9" w:rsidRPr="001753CD" w:rsidRDefault="00F837E9" w:rsidP="00A83E20">
            <w:pPr>
              <w:pStyle w:val="Tablesmall"/>
              <w:numPr>
                <w:ilvl w:val="0"/>
                <w:numId w:val="24"/>
              </w:numPr>
            </w:pPr>
            <w:r w:rsidRPr="001753CD">
              <w:rPr>
                <w:i/>
              </w:rPr>
              <w:t>Australian Government Investigations Standards</w:t>
            </w:r>
            <w:r w:rsidRPr="001753CD">
              <w:t>.</w:t>
            </w:r>
          </w:p>
        </w:tc>
        <w:tc>
          <w:tcPr>
            <w:tcW w:w="1276" w:type="dxa"/>
            <w:tcBorders>
              <w:top w:val="single" w:sz="4" w:space="0" w:color="000000"/>
              <w:left w:val="single" w:sz="4" w:space="0" w:color="000000"/>
              <w:bottom w:val="single" w:sz="4" w:space="0" w:color="000000"/>
              <w:right w:val="single" w:sz="4" w:space="0" w:color="000000"/>
            </w:tcBorders>
          </w:tcPr>
          <w:p w14:paraId="5E6E94F0" w14:textId="2D649468" w:rsidR="00F837E9" w:rsidRPr="001753CD" w:rsidRDefault="00E21C58" w:rsidP="00093BA2">
            <w:pPr>
              <w:spacing w:after="0" w:line="271" w:lineRule="auto"/>
              <w:jc w:val="right"/>
              <w:rPr>
                <w:w w:val="100"/>
                <w:kern w:val="0"/>
                <w:sz w:val="18"/>
                <w:szCs w:val="18"/>
              </w:rPr>
            </w:pPr>
            <w:r>
              <w:rPr>
                <w:w w:val="100"/>
                <w:kern w:val="0"/>
                <w:sz w:val="18"/>
                <w:szCs w:val="18"/>
              </w:rPr>
              <w:t>91 (excl. 2 N/A)</w:t>
            </w:r>
          </w:p>
        </w:tc>
        <w:tc>
          <w:tcPr>
            <w:tcW w:w="850" w:type="dxa"/>
            <w:tcBorders>
              <w:top w:val="single" w:sz="4" w:space="0" w:color="000000"/>
              <w:left w:val="single" w:sz="4" w:space="0" w:color="000000"/>
              <w:bottom w:val="single" w:sz="4" w:space="0" w:color="000000"/>
              <w:right w:val="single" w:sz="4" w:space="0" w:color="000000"/>
            </w:tcBorders>
          </w:tcPr>
          <w:p w14:paraId="53549DF1" w14:textId="42C462DE" w:rsidR="00F837E9" w:rsidRPr="00F837E9" w:rsidRDefault="00F837E9" w:rsidP="00093BA2">
            <w:pPr>
              <w:spacing w:after="0" w:line="271" w:lineRule="auto"/>
              <w:jc w:val="right"/>
              <w:rPr>
                <w:w w:val="100"/>
                <w:kern w:val="0"/>
                <w:sz w:val="18"/>
                <w:szCs w:val="18"/>
              </w:rPr>
            </w:pPr>
            <w:r w:rsidRPr="00F837E9">
              <w:rPr>
                <w:sz w:val="18"/>
              </w:rPr>
              <w:t>96.8%</w:t>
            </w:r>
          </w:p>
        </w:tc>
        <w:tc>
          <w:tcPr>
            <w:tcW w:w="851" w:type="dxa"/>
            <w:tcBorders>
              <w:top w:val="single" w:sz="4" w:space="0" w:color="000000"/>
              <w:left w:val="single" w:sz="4" w:space="0" w:color="000000"/>
              <w:bottom w:val="single" w:sz="4" w:space="0" w:color="000000"/>
              <w:right w:val="single" w:sz="4" w:space="0" w:color="000000"/>
            </w:tcBorders>
          </w:tcPr>
          <w:p w14:paraId="703C0FD3" w14:textId="5B4E5BB9" w:rsidR="00F837E9" w:rsidRPr="001753CD" w:rsidRDefault="00F837E9" w:rsidP="00093BA2">
            <w:pPr>
              <w:spacing w:after="0" w:line="271" w:lineRule="auto"/>
              <w:jc w:val="right"/>
              <w:rPr>
                <w:w w:val="100"/>
                <w:kern w:val="0"/>
                <w:sz w:val="18"/>
                <w:szCs w:val="18"/>
              </w:rPr>
            </w:pPr>
            <w:r>
              <w:rPr>
                <w:w w:val="100"/>
                <w:kern w:val="0"/>
                <w:sz w:val="18"/>
                <w:szCs w:val="18"/>
              </w:rPr>
              <w:t>93.5%</w:t>
            </w:r>
          </w:p>
        </w:tc>
        <w:tc>
          <w:tcPr>
            <w:tcW w:w="930" w:type="dxa"/>
            <w:tcBorders>
              <w:top w:val="single" w:sz="4" w:space="0" w:color="000000"/>
              <w:left w:val="single" w:sz="4" w:space="0" w:color="000000"/>
              <w:bottom w:val="single" w:sz="4" w:space="0" w:color="000000"/>
              <w:right w:val="single" w:sz="4" w:space="0" w:color="000000"/>
            </w:tcBorders>
          </w:tcPr>
          <w:p w14:paraId="4B37F35C" w14:textId="78B0E586" w:rsidR="00F837E9" w:rsidRPr="001753CD" w:rsidRDefault="00C61193" w:rsidP="00093BA2">
            <w:pPr>
              <w:spacing w:after="0" w:line="271" w:lineRule="auto"/>
              <w:jc w:val="right"/>
              <w:rPr>
                <w:w w:val="100"/>
                <w:kern w:val="0"/>
                <w:sz w:val="18"/>
                <w:szCs w:val="18"/>
              </w:rPr>
            </w:pPr>
            <w:r>
              <w:rPr>
                <w:w w:val="100"/>
                <w:kern w:val="0"/>
                <w:sz w:val="18"/>
                <w:szCs w:val="18"/>
              </w:rPr>
              <w:t>+</w:t>
            </w:r>
            <w:r w:rsidR="00772C5E">
              <w:rPr>
                <w:w w:val="100"/>
                <w:kern w:val="0"/>
                <w:sz w:val="18"/>
                <w:szCs w:val="18"/>
              </w:rPr>
              <w:t>3.3</w:t>
            </w:r>
          </w:p>
        </w:tc>
        <w:tc>
          <w:tcPr>
            <w:tcW w:w="1779" w:type="dxa"/>
            <w:tcBorders>
              <w:top w:val="single" w:sz="4" w:space="0" w:color="000000"/>
              <w:left w:val="single" w:sz="4" w:space="0" w:color="000000"/>
              <w:bottom w:val="single" w:sz="4" w:space="0" w:color="000000"/>
              <w:right w:val="single" w:sz="4" w:space="0" w:color="000000"/>
            </w:tcBorders>
          </w:tcPr>
          <w:p w14:paraId="3C7FE4DE" w14:textId="368FFF22" w:rsidR="00F837E9" w:rsidRPr="001753CD" w:rsidRDefault="00C61193" w:rsidP="00A83E20">
            <w:pPr>
              <w:pStyle w:val="Tablesmall"/>
            </w:pPr>
            <w:r>
              <w:t>N/A</w:t>
            </w:r>
          </w:p>
        </w:tc>
      </w:tr>
      <w:tr w:rsidR="00F837E9" w:rsidRPr="001753CD" w14:paraId="43FAFD29" w14:textId="77777777" w:rsidTr="003D36B6">
        <w:tc>
          <w:tcPr>
            <w:tcW w:w="959" w:type="dxa"/>
            <w:tcBorders>
              <w:top w:val="single" w:sz="4" w:space="0" w:color="000000"/>
              <w:left w:val="single" w:sz="4" w:space="0" w:color="000000"/>
              <w:bottom w:val="single" w:sz="4" w:space="0" w:color="000000"/>
              <w:right w:val="single" w:sz="4" w:space="0" w:color="000000"/>
            </w:tcBorders>
            <w:shd w:val="clear" w:color="auto" w:fill="auto"/>
            <w:hideMark/>
          </w:tcPr>
          <w:p w14:paraId="59662A5A" w14:textId="77777777" w:rsidR="00F837E9" w:rsidRPr="001753CD" w:rsidRDefault="00F837E9" w:rsidP="001753CD">
            <w:pPr>
              <w:spacing w:after="0"/>
              <w:jc w:val="center"/>
              <w:rPr>
                <w:w w:val="100"/>
                <w:kern w:val="0"/>
                <w:sz w:val="18"/>
                <w:szCs w:val="18"/>
              </w:rPr>
            </w:pPr>
            <w:r w:rsidRPr="001753CD">
              <w:rPr>
                <w:w w:val="100"/>
                <w:kern w:val="0"/>
                <w:sz w:val="18"/>
                <w:szCs w:val="18"/>
                <w:u w:val="single"/>
              </w:rPr>
              <w:t>GOV- 9</w:t>
            </w:r>
          </w:p>
        </w:tc>
        <w:tc>
          <w:tcPr>
            <w:tcW w:w="3889" w:type="dxa"/>
            <w:tcBorders>
              <w:top w:val="single" w:sz="4" w:space="0" w:color="000000"/>
              <w:left w:val="single" w:sz="4" w:space="0" w:color="000000"/>
              <w:bottom w:val="single" w:sz="4" w:space="0" w:color="000000"/>
              <w:right w:val="single" w:sz="4" w:space="0" w:color="000000"/>
            </w:tcBorders>
            <w:shd w:val="clear" w:color="auto" w:fill="auto"/>
            <w:hideMark/>
          </w:tcPr>
          <w:p w14:paraId="3F73984F" w14:textId="77777777" w:rsidR="00F837E9" w:rsidRPr="001753CD" w:rsidRDefault="00F837E9" w:rsidP="00A83E20">
            <w:pPr>
              <w:pStyle w:val="Tablesmall"/>
            </w:pPr>
            <w:r w:rsidRPr="001753CD">
              <w:t xml:space="preserve">Entities must give all employees, including contractors, guidance on Sections 70 and 79 of the </w:t>
            </w:r>
            <w:r w:rsidRPr="001753CD">
              <w:rPr>
                <w:i/>
              </w:rPr>
              <w:t>Crimes Act 1914</w:t>
            </w:r>
            <w:r w:rsidRPr="001753CD">
              <w:t xml:space="preserve">, section 91 of the </w:t>
            </w:r>
            <w:r w:rsidRPr="001753CD">
              <w:rPr>
                <w:i/>
                <w:iCs/>
              </w:rPr>
              <w:t>Criminal Code</w:t>
            </w:r>
            <w:r w:rsidRPr="001753CD">
              <w:t xml:space="preserve"> </w:t>
            </w:r>
            <w:r w:rsidRPr="001753CD">
              <w:rPr>
                <w:i/>
              </w:rPr>
              <w:t>Act</w:t>
            </w:r>
            <w:r w:rsidRPr="001753CD">
              <w:t xml:space="preserve"> </w:t>
            </w:r>
            <w:r w:rsidRPr="001753CD">
              <w:rPr>
                <w:i/>
                <w:iCs/>
              </w:rPr>
              <w:t>1995</w:t>
            </w:r>
            <w:r w:rsidRPr="001753CD">
              <w:t xml:space="preserve">, the </w:t>
            </w:r>
            <w:r w:rsidRPr="001753CD">
              <w:rPr>
                <w:i/>
                <w:iCs/>
              </w:rPr>
              <w:t xml:space="preserve">Freedom of Information Act 1982 </w:t>
            </w:r>
            <w:r w:rsidRPr="001753CD">
              <w:t xml:space="preserve">and the </w:t>
            </w:r>
            <w:r w:rsidRPr="001753CD">
              <w:rPr>
                <w:iCs/>
              </w:rPr>
              <w:t>Australian Privacy Principles</w:t>
            </w:r>
            <w:r w:rsidRPr="001753CD">
              <w:rPr>
                <w:i/>
                <w:iCs/>
              </w:rPr>
              <w:t xml:space="preserve"> </w:t>
            </w:r>
            <w:r w:rsidRPr="001753CD">
              <w:t xml:space="preserve">contained in the </w:t>
            </w:r>
            <w:r w:rsidRPr="001753CD">
              <w:rPr>
                <w:i/>
                <w:iCs/>
              </w:rPr>
              <w:t>Privacy Act 1988,</w:t>
            </w:r>
            <w:r w:rsidRPr="001753CD">
              <w:t xml:space="preserve"> including how this legislation relates to their role.</w:t>
            </w:r>
          </w:p>
        </w:tc>
        <w:tc>
          <w:tcPr>
            <w:tcW w:w="1276" w:type="dxa"/>
            <w:tcBorders>
              <w:top w:val="single" w:sz="4" w:space="0" w:color="000000"/>
              <w:left w:val="single" w:sz="4" w:space="0" w:color="000000"/>
              <w:bottom w:val="single" w:sz="4" w:space="0" w:color="000000"/>
              <w:right w:val="single" w:sz="4" w:space="0" w:color="000000"/>
            </w:tcBorders>
          </w:tcPr>
          <w:p w14:paraId="50A6F1D4" w14:textId="0F7FF366" w:rsidR="00F837E9" w:rsidRPr="001753CD" w:rsidRDefault="00E21C58" w:rsidP="00093BA2">
            <w:pPr>
              <w:spacing w:after="0" w:line="271" w:lineRule="auto"/>
              <w:jc w:val="right"/>
              <w:rPr>
                <w:w w:val="100"/>
                <w:kern w:val="0"/>
                <w:sz w:val="18"/>
                <w:szCs w:val="18"/>
              </w:rPr>
            </w:pPr>
            <w:r>
              <w:rPr>
                <w:w w:val="100"/>
                <w:kern w:val="0"/>
                <w:sz w:val="18"/>
                <w:szCs w:val="18"/>
              </w:rPr>
              <w:t>91</w:t>
            </w:r>
          </w:p>
        </w:tc>
        <w:tc>
          <w:tcPr>
            <w:tcW w:w="850" w:type="dxa"/>
            <w:tcBorders>
              <w:top w:val="single" w:sz="4" w:space="0" w:color="000000"/>
              <w:left w:val="single" w:sz="4" w:space="0" w:color="000000"/>
              <w:bottom w:val="single" w:sz="4" w:space="0" w:color="000000"/>
              <w:right w:val="single" w:sz="4" w:space="0" w:color="000000"/>
            </w:tcBorders>
          </w:tcPr>
          <w:p w14:paraId="2F9837C5" w14:textId="0311C587" w:rsidR="00F837E9" w:rsidRPr="00F837E9" w:rsidRDefault="00F837E9" w:rsidP="00093BA2">
            <w:pPr>
              <w:spacing w:after="0" w:line="271" w:lineRule="auto"/>
              <w:jc w:val="right"/>
              <w:rPr>
                <w:w w:val="100"/>
                <w:kern w:val="0"/>
                <w:sz w:val="18"/>
                <w:szCs w:val="18"/>
              </w:rPr>
            </w:pPr>
            <w:r w:rsidRPr="00F837E9">
              <w:rPr>
                <w:sz w:val="18"/>
              </w:rPr>
              <w:t>96.8%</w:t>
            </w:r>
          </w:p>
        </w:tc>
        <w:tc>
          <w:tcPr>
            <w:tcW w:w="851" w:type="dxa"/>
            <w:tcBorders>
              <w:top w:val="single" w:sz="4" w:space="0" w:color="000000"/>
              <w:left w:val="single" w:sz="4" w:space="0" w:color="000000"/>
              <w:bottom w:val="single" w:sz="4" w:space="0" w:color="000000"/>
              <w:right w:val="single" w:sz="4" w:space="0" w:color="000000"/>
            </w:tcBorders>
          </w:tcPr>
          <w:p w14:paraId="7DA04DAA" w14:textId="6821A68A" w:rsidR="00F837E9" w:rsidRPr="001753CD" w:rsidRDefault="00F837E9" w:rsidP="00093BA2">
            <w:pPr>
              <w:spacing w:after="0" w:line="271" w:lineRule="auto"/>
              <w:jc w:val="right"/>
              <w:rPr>
                <w:w w:val="100"/>
                <w:kern w:val="0"/>
                <w:sz w:val="18"/>
                <w:szCs w:val="18"/>
              </w:rPr>
            </w:pPr>
            <w:r>
              <w:rPr>
                <w:w w:val="100"/>
                <w:kern w:val="0"/>
                <w:sz w:val="18"/>
                <w:szCs w:val="18"/>
              </w:rPr>
              <w:t>96.8%</w:t>
            </w:r>
          </w:p>
        </w:tc>
        <w:tc>
          <w:tcPr>
            <w:tcW w:w="930" w:type="dxa"/>
            <w:tcBorders>
              <w:top w:val="single" w:sz="4" w:space="0" w:color="000000"/>
              <w:left w:val="single" w:sz="4" w:space="0" w:color="000000"/>
              <w:bottom w:val="single" w:sz="4" w:space="0" w:color="000000"/>
              <w:right w:val="single" w:sz="4" w:space="0" w:color="000000"/>
            </w:tcBorders>
          </w:tcPr>
          <w:p w14:paraId="09D06F71" w14:textId="53AB9646" w:rsidR="00F837E9" w:rsidRPr="001753CD" w:rsidRDefault="00C61193" w:rsidP="00093BA2">
            <w:pPr>
              <w:spacing w:after="0" w:line="271" w:lineRule="auto"/>
              <w:jc w:val="right"/>
              <w:rPr>
                <w:w w:val="100"/>
                <w:kern w:val="0"/>
                <w:sz w:val="18"/>
                <w:szCs w:val="18"/>
              </w:rPr>
            </w:pPr>
            <w:r>
              <w:rPr>
                <w:w w:val="100"/>
                <w:kern w:val="0"/>
                <w:sz w:val="18"/>
                <w:szCs w:val="18"/>
              </w:rPr>
              <w:t>±</w:t>
            </w:r>
            <w:r w:rsidR="00772C5E">
              <w:rPr>
                <w:w w:val="100"/>
                <w:kern w:val="0"/>
                <w:sz w:val="18"/>
                <w:szCs w:val="18"/>
              </w:rPr>
              <w:t>0.0</w:t>
            </w:r>
          </w:p>
        </w:tc>
        <w:tc>
          <w:tcPr>
            <w:tcW w:w="1779" w:type="dxa"/>
            <w:tcBorders>
              <w:top w:val="single" w:sz="4" w:space="0" w:color="000000"/>
              <w:left w:val="single" w:sz="4" w:space="0" w:color="000000"/>
              <w:bottom w:val="single" w:sz="4" w:space="0" w:color="000000"/>
              <w:right w:val="single" w:sz="4" w:space="0" w:color="000000"/>
            </w:tcBorders>
          </w:tcPr>
          <w:p w14:paraId="1C4FFF1F" w14:textId="4D3B8408" w:rsidR="00F837E9" w:rsidRPr="001753CD" w:rsidRDefault="00C61193" w:rsidP="00A83E20">
            <w:pPr>
              <w:pStyle w:val="Tablesmall"/>
            </w:pPr>
            <w:r>
              <w:t>No change in compliance</w:t>
            </w:r>
          </w:p>
        </w:tc>
      </w:tr>
      <w:tr w:rsidR="00F837E9" w:rsidRPr="001753CD" w14:paraId="29E49C73" w14:textId="77777777" w:rsidTr="003D36B6">
        <w:tc>
          <w:tcPr>
            <w:tcW w:w="959" w:type="dxa"/>
            <w:tcBorders>
              <w:top w:val="single" w:sz="4" w:space="0" w:color="000000"/>
              <w:left w:val="single" w:sz="4" w:space="0" w:color="000000"/>
              <w:bottom w:val="single" w:sz="4" w:space="0" w:color="000000"/>
              <w:right w:val="single" w:sz="4" w:space="0" w:color="000000"/>
            </w:tcBorders>
            <w:shd w:val="clear" w:color="auto" w:fill="auto"/>
            <w:hideMark/>
          </w:tcPr>
          <w:p w14:paraId="0ECEF0E1" w14:textId="77777777" w:rsidR="00F837E9" w:rsidRPr="001753CD" w:rsidRDefault="00F837E9" w:rsidP="001753CD">
            <w:pPr>
              <w:spacing w:after="0"/>
              <w:jc w:val="center"/>
              <w:rPr>
                <w:w w:val="100"/>
                <w:kern w:val="0"/>
                <w:sz w:val="18"/>
                <w:szCs w:val="18"/>
                <w:u w:val="single"/>
              </w:rPr>
            </w:pPr>
            <w:r w:rsidRPr="001753CD">
              <w:rPr>
                <w:w w:val="100"/>
                <w:kern w:val="0"/>
                <w:sz w:val="18"/>
                <w:szCs w:val="18"/>
                <w:u w:val="single"/>
              </w:rPr>
              <w:t>GOV-10</w:t>
            </w:r>
          </w:p>
        </w:tc>
        <w:tc>
          <w:tcPr>
            <w:tcW w:w="3889" w:type="dxa"/>
            <w:tcBorders>
              <w:top w:val="single" w:sz="4" w:space="0" w:color="000000"/>
              <w:left w:val="single" w:sz="4" w:space="0" w:color="000000"/>
              <w:bottom w:val="single" w:sz="4" w:space="0" w:color="000000"/>
              <w:right w:val="single" w:sz="4" w:space="0" w:color="000000"/>
            </w:tcBorders>
            <w:shd w:val="clear" w:color="auto" w:fill="auto"/>
            <w:hideMark/>
          </w:tcPr>
          <w:p w14:paraId="33FB9931" w14:textId="77777777" w:rsidR="00F837E9" w:rsidRPr="001753CD" w:rsidRDefault="00F837E9" w:rsidP="00A83E20">
            <w:pPr>
              <w:pStyle w:val="Tablesmall"/>
            </w:pPr>
            <w:r w:rsidRPr="001753CD">
              <w:t>Entities must adhere to any provisions concerning the security of people, information and assets contained in multilateral or bilateral agreements and arrangements to which Australia is a party.</w:t>
            </w:r>
          </w:p>
        </w:tc>
        <w:tc>
          <w:tcPr>
            <w:tcW w:w="1276" w:type="dxa"/>
            <w:tcBorders>
              <w:top w:val="single" w:sz="4" w:space="0" w:color="000000"/>
              <w:left w:val="single" w:sz="4" w:space="0" w:color="000000"/>
              <w:bottom w:val="single" w:sz="4" w:space="0" w:color="000000"/>
              <w:right w:val="single" w:sz="4" w:space="0" w:color="000000"/>
            </w:tcBorders>
          </w:tcPr>
          <w:p w14:paraId="5630C225" w14:textId="069E30A1" w:rsidR="00F837E9" w:rsidRPr="001753CD" w:rsidRDefault="00E21C58" w:rsidP="00093BA2">
            <w:pPr>
              <w:spacing w:after="0" w:line="271" w:lineRule="auto"/>
              <w:jc w:val="right"/>
              <w:rPr>
                <w:w w:val="100"/>
                <w:kern w:val="0"/>
                <w:sz w:val="18"/>
                <w:szCs w:val="18"/>
              </w:rPr>
            </w:pPr>
            <w:r>
              <w:rPr>
                <w:w w:val="100"/>
                <w:kern w:val="0"/>
                <w:sz w:val="18"/>
                <w:szCs w:val="18"/>
              </w:rPr>
              <w:t>81 (excl. 10 N/A)</w:t>
            </w:r>
          </w:p>
        </w:tc>
        <w:tc>
          <w:tcPr>
            <w:tcW w:w="850" w:type="dxa"/>
            <w:tcBorders>
              <w:top w:val="single" w:sz="4" w:space="0" w:color="000000"/>
              <w:left w:val="single" w:sz="4" w:space="0" w:color="000000"/>
              <w:bottom w:val="single" w:sz="4" w:space="0" w:color="000000"/>
              <w:right w:val="single" w:sz="4" w:space="0" w:color="000000"/>
            </w:tcBorders>
          </w:tcPr>
          <w:p w14:paraId="2794DB03" w14:textId="5BD38E94" w:rsidR="00F837E9" w:rsidRPr="00F837E9" w:rsidRDefault="00F837E9" w:rsidP="00093BA2">
            <w:pPr>
              <w:spacing w:after="0" w:line="271" w:lineRule="auto"/>
              <w:jc w:val="right"/>
              <w:rPr>
                <w:w w:val="100"/>
                <w:kern w:val="0"/>
                <w:sz w:val="18"/>
                <w:szCs w:val="18"/>
              </w:rPr>
            </w:pPr>
            <w:r w:rsidRPr="00F837E9">
              <w:rPr>
                <w:sz w:val="18"/>
              </w:rPr>
              <w:t>86.2%</w:t>
            </w:r>
          </w:p>
        </w:tc>
        <w:tc>
          <w:tcPr>
            <w:tcW w:w="851" w:type="dxa"/>
            <w:tcBorders>
              <w:top w:val="single" w:sz="4" w:space="0" w:color="000000"/>
              <w:left w:val="single" w:sz="4" w:space="0" w:color="000000"/>
              <w:bottom w:val="single" w:sz="4" w:space="0" w:color="000000"/>
              <w:right w:val="single" w:sz="4" w:space="0" w:color="000000"/>
            </w:tcBorders>
          </w:tcPr>
          <w:p w14:paraId="14A2C634" w14:textId="6DFEF045" w:rsidR="00F837E9" w:rsidRPr="001753CD" w:rsidRDefault="00F837E9" w:rsidP="00093BA2">
            <w:pPr>
              <w:spacing w:after="0" w:line="271" w:lineRule="auto"/>
              <w:jc w:val="right"/>
              <w:rPr>
                <w:w w:val="100"/>
                <w:kern w:val="0"/>
                <w:sz w:val="18"/>
                <w:szCs w:val="18"/>
              </w:rPr>
            </w:pPr>
            <w:r>
              <w:rPr>
                <w:w w:val="100"/>
                <w:kern w:val="0"/>
                <w:sz w:val="18"/>
                <w:szCs w:val="18"/>
              </w:rPr>
              <w:t>86.0%</w:t>
            </w:r>
          </w:p>
        </w:tc>
        <w:tc>
          <w:tcPr>
            <w:tcW w:w="930" w:type="dxa"/>
            <w:tcBorders>
              <w:top w:val="single" w:sz="4" w:space="0" w:color="000000"/>
              <w:left w:val="single" w:sz="4" w:space="0" w:color="000000"/>
              <w:bottom w:val="single" w:sz="4" w:space="0" w:color="000000"/>
              <w:right w:val="single" w:sz="4" w:space="0" w:color="000000"/>
            </w:tcBorders>
          </w:tcPr>
          <w:p w14:paraId="439A70A3" w14:textId="1A8DF98F" w:rsidR="00F837E9" w:rsidRPr="001753CD" w:rsidRDefault="00C61193" w:rsidP="00093BA2">
            <w:pPr>
              <w:spacing w:after="0" w:line="271" w:lineRule="auto"/>
              <w:jc w:val="right"/>
              <w:rPr>
                <w:w w:val="100"/>
                <w:kern w:val="0"/>
                <w:sz w:val="18"/>
                <w:szCs w:val="18"/>
              </w:rPr>
            </w:pPr>
            <w:r>
              <w:rPr>
                <w:w w:val="100"/>
                <w:kern w:val="0"/>
                <w:sz w:val="18"/>
                <w:szCs w:val="18"/>
              </w:rPr>
              <w:t>+</w:t>
            </w:r>
            <w:r w:rsidR="00772C5E">
              <w:rPr>
                <w:w w:val="100"/>
                <w:kern w:val="0"/>
                <w:sz w:val="18"/>
                <w:szCs w:val="18"/>
              </w:rPr>
              <w:t>0.2</w:t>
            </w:r>
          </w:p>
        </w:tc>
        <w:tc>
          <w:tcPr>
            <w:tcW w:w="1779" w:type="dxa"/>
            <w:tcBorders>
              <w:top w:val="single" w:sz="4" w:space="0" w:color="000000"/>
              <w:left w:val="single" w:sz="4" w:space="0" w:color="000000"/>
              <w:bottom w:val="single" w:sz="4" w:space="0" w:color="000000"/>
              <w:right w:val="single" w:sz="4" w:space="0" w:color="000000"/>
            </w:tcBorders>
          </w:tcPr>
          <w:p w14:paraId="16DFFC74" w14:textId="7F450816" w:rsidR="00F837E9" w:rsidRPr="001753CD" w:rsidRDefault="00C61193" w:rsidP="00A83E20">
            <w:pPr>
              <w:pStyle w:val="Tablesmall"/>
            </w:pPr>
            <w:r>
              <w:t>N/A</w:t>
            </w:r>
          </w:p>
        </w:tc>
      </w:tr>
      <w:tr w:rsidR="00F837E9" w:rsidRPr="001753CD" w14:paraId="7A02FBD0" w14:textId="77777777" w:rsidTr="003D36B6">
        <w:trPr>
          <w:trHeight w:val="1795"/>
        </w:trPr>
        <w:tc>
          <w:tcPr>
            <w:tcW w:w="959" w:type="dxa"/>
            <w:tcBorders>
              <w:top w:val="single" w:sz="4" w:space="0" w:color="000000"/>
              <w:left w:val="single" w:sz="4" w:space="0" w:color="000000"/>
              <w:bottom w:val="single" w:sz="4" w:space="0" w:color="000000"/>
              <w:right w:val="single" w:sz="4" w:space="0" w:color="000000"/>
            </w:tcBorders>
            <w:shd w:val="clear" w:color="auto" w:fill="auto"/>
            <w:hideMark/>
          </w:tcPr>
          <w:p w14:paraId="4252A4FE" w14:textId="77777777" w:rsidR="00F837E9" w:rsidRPr="001753CD" w:rsidRDefault="00F837E9" w:rsidP="001753CD">
            <w:pPr>
              <w:spacing w:after="0"/>
              <w:jc w:val="center"/>
              <w:rPr>
                <w:w w:val="100"/>
                <w:kern w:val="0"/>
                <w:sz w:val="18"/>
                <w:szCs w:val="18"/>
              </w:rPr>
            </w:pPr>
            <w:r w:rsidRPr="001753CD">
              <w:rPr>
                <w:w w:val="100"/>
                <w:kern w:val="0"/>
                <w:sz w:val="18"/>
                <w:szCs w:val="18"/>
                <w:u w:val="single"/>
              </w:rPr>
              <w:t>GOV-11</w:t>
            </w:r>
          </w:p>
        </w:tc>
        <w:tc>
          <w:tcPr>
            <w:tcW w:w="3889" w:type="dxa"/>
            <w:tcBorders>
              <w:top w:val="single" w:sz="4" w:space="0" w:color="000000"/>
              <w:left w:val="single" w:sz="4" w:space="0" w:color="000000"/>
              <w:bottom w:val="single" w:sz="4" w:space="0" w:color="000000"/>
              <w:right w:val="single" w:sz="4" w:space="0" w:color="000000"/>
            </w:tcBorders>
            <w:shd w:val="clear" w:color="auto" w:fill="auto"/>
            <w:hideMark/>
          </w:tcPr>
          <w:p w14:paraId="77908D78" w14:textId="77777777" w:rsidR="00F837E9" w:rsidRPr="001753CD" w:rsidRDefault="00F837E9" w:rsidP="00A83E20">
            <w:pPr>
              <w:pStyle w:val="Tablesmall"/>
            </w:pPr>
            <w:r w:rsidRPr="001753CD">
              <w:t>Entities must establish a business continuity management (BCM) program to provide for the continued availability of critical services and assets, and other services and assets when warranted by a threat and risk assessment.</w:t>
            </w:r>
          </w:p>
        </w:tc>
        <w:tc>
          <w:tcPr>
            <w:tcW w:w="1276" w:type="dxa"/>
            <w:tcBorders>
              <w:top w:val="single" w:sz="4" w:space="0" w:color="000000"/>
              <w:left w:val="single" w:sz="4" w:space="0" w:color="000000"/>
              <w:bottom w:val="single" w:sz="4" w:space="0" w:color="000000"/>
              <w:right w:val="single" w:sz="4" w:space="0" w:color="000000"/>
            </w:tcBorders>
          </w:tcPr>
          <w:p w14:paraId="7F9035B1" w14:textId="7DBC319A" w:rsidR="00F837E9" w:rsidRPr="001753CD" w:rsidRDefault="00E21C58" w:rsidP="00093BA2">
            <w:pPr>
              <w:spacing w:after="0" w:line="271" w:lineRule="auto"/>
              <w:jc w:val="right"/>
              <w:rPr>
                <w:w w:val="100"/>
                <w:kern w:val="0"/>
                <w:sz w:val="18"/>
                <w:szCs w:val="18"/>
              </w:rPr>
            </w:pPr>
            <w:r>
              <w:rPr>
                <w:w w:val="100"/>
                <w:kern w:val="0"/>
                <w:sz w:val="18"/>
                <w:szCs w:val="18"/>
              </w:rPr>
              <w:t>90</w:t>
            </w: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14:paraId="5A68C64E" w14:textId="5E11A8FF" w:rsidR="00F837E9" w:rsidRPr="00F837E9" w:rsidRDefault="00F837E9" w:rsidP="00093BA2">
            <w:pPr>
              <w:spacing w:after="0" w:line="271" w:lineRule="auto"/>
              <w:jc w:val="right"/>
              <w:rPr>
                <w:w w:val="100"/>
                <w:kern w:val="0"/>
                <w:sz w:val="18"/>
                <w:szCs w:val="18"/>
              </w:rPr>
            </w:pPr>
            <w:r w:rsidRPr="00F837E9">
              <w:rPr>
                <w:sz w:val="18"/>
              </w:rPr>
              <w:t>95.7%</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008C73AF" w14:textId="685475BC" w:rsidR="00F837E9" w:rsidRPr="001753CD" w:rsidRDefault="00F837E9" w:rsidP="00093BA2">
            <w:pPr>
              <w:spacing w:after="0" w:line="271" w:lineRule="auto"/>
              <w:jc w:val="right"/>
              <w:rPr>
                <w:w w:val="100"/>
                <w:kern w:val="0"/>
                <w:sz w:val="18"/>
                <w:szCs w:val="18"/>
              </w:rPr>
            </w:pPr>
            <w:r>
              <w:rPr>
                <w:w w:val="100"/>
                <w:kern w:val="0"/>
                <w:sz w:val="18"/>
                <w:szCs w:val="18"/>
              </w:rPr>
              <w:t>90.3%</w:t>
            </w:r>
          </w:p>
        </w:tc>
        <w:tc>
          <w:tcPr>
            <w:tcW w:w="930" w:type="dxa"/>
            <w:tcBorders>
              <w:top w:val="single" w:sz="4" w:space="0" w:color="000000"/>
              <w:left w:val="single" w:sz="4" w:space="0" w:color="000000"/>
              <w:bottom w:val="single" w:sz="4" w:space="0" w:color="000000"/>
              <w:right w:val="single" w:sz="4" w:space="0" w:color="000000"/>
            </w:tcBorders>
            <w:shd w:val="clear" w:color="auto" w:fill="auto"/>
          </w:tcPr>
          <w:p w14:paraId="273EAFC8" w14:textId="66530905" w:rsidR="00F837E9" w:rsidRPr="001753CD" w:rsidRDefault="00C61193" w:rsidP="00093BA2">
            <w:pPr>
              <w:spacing w:after="0" w:line="271" w:lineRule="auto"/>
              <w:jc w:val="right"/>
              <w:rPr>
                <w:w w:val="100"/>
                <w:kern w:val="0"/>
                <w:sz w:val="18"/>
                <w:szCs w:val="18"/>
              </w:rPr>
            </w:pPr>
            <w:r>
              <w:rPr>
                <w:w w:val="100"/>
                <w:kern w:val="0"/>
                <w:sz w:val="18"/>
                <w:szCs w:val="18"/>
              </w:rPr>
              <w:t>+</w:t>
            </w:r>
            <w:r w:rsidR="00772C5E">
              <w:rPr>
                <w:w w:val="100"/>
                <w:kern w:val="0"/>
                <w:sz w:val="18"/>
                <w:szCs w:val="18"/>
              </w:rPr>
              <w:t>5.4</w:t>
            </w:r>
          </w:p>
        </w:tc>
        <w:tc>
          <w:tcPr>
            <w:tcW w:w="1779" w:type="dxa"/>
            <w:tcBorders>
              <w:top w:val="single" w:sz="4" w:space="0" w:color="000000"/>
              <w:left w:val="single" w:sz="4" w:space="0" w:color="000000"/>
              <w:bottom w:val="single" w:sz="4" w:space="0" w:color="000000"/>
              <w:right w:val="single" w:sz="4" w:space="0" w:color="000000"/>
            </w:tcBorders>
          </w:tcPr>
          <w:p w14:paraId="2AEA4FC5" w14:textId="04046581" w:rsidR="00F837E9" w:rsidRPr="001753CD" w:rsidRDefault="000C13C7" w:rsidP="000C13C7">
            <w:pPr>
              <w:pStyle w:val="Tablesmall"/>
              <w:rPr>
                <w:rFonts w:cs="Times New Roman"/>
              </w:rPr>
            </w:pPr>
            <w:r>
              <w:rPr>
                <w:rFonts w:cs="Times New Roman"/>
              </w:rPr>
              <w:t>7</w:t>
            </w:r>
            <w:r w:rsidR="006C75BD">
              <w:rPr>
                <w:rFonts w:cs="Times New Roman"/>
              </w:rPr>
              <w:t xml:space="preserve"> of the</w:t>
            </w:r>
            <w:r>
              <w:rPr>
                <w:rFonts w:cs="Times New Roman"/>
              </w:rPr>
              <w:t xml:space="preserve"> 9</w:t>
            </w:r>
            <w:r w:rsidR="006C75BD">
              <w:rPr>
                <w:rFonts w:cs="Times New Roman"/>
              </w:rPr>
              <w:t xml:space="preserve"> </w:t>
            </w:r>
            <w:r w:rsidR="00E75FD4">
              <w:rPr>
                <w:rFonts w:cs="Times New Roman"/>
              </w:rPr>
              <w:t xml:space="preserve">non-compliant entities </w:t>
            </w:r>
            <w:r>
              <w:rPr>
                <w:rFonts w:cs="Times New Roman"/>
              </w:rPr>
              <w:t xml:space="preserve">in 2016-17 </w:t>
            </w:r>
            <w:r w:rsidR="006C75BD">
              <w:rPr>
                <w:rFonts w:cs="Times New Roman"/>
              </w:rPr>
              <w:t>implemented BC</w:t>
            </w:r>
            <w:r w:rsidR="00A45F97">
              <w:rPr>
                <w:rFonts w:cs="Times New Roman"/>
              </w:rPr>
              <w:t>M</w:t>
            </w:r>
            <w:r w:rsidR="00B412C4">
              <w:rPr>
                <w:rFonts w:cs="Times New Roman"/>
              </w:rPr>
              <w:t xml:space="preserve"> programs</w:t>
            </w:r>
            <w:r w:rsidR="006C75BD">
              <w:rPr>
                <w:rFonts w:cs="Times New Roman"/>
              </w:rPr>
              <w:t xml:space="preserve"> in </w:t>
            </w:r>
            <w:r w:rsidR="006C75BD" w:rsidRPr="003D36B6">
              <w:t>accordance</w:t>
            </w:r>
            <w:r w:rsidR="006C75BD">
              <w:rPr>
                <w:rFonts w:cs="Times New Roman"/>
              </w:rPr>
              <w:t xml:space="preserve"> with their implementation strategy in the 2017-18 period</w:t>
            </w:r>
          </w:p>
        </w:tc>
      </w:tr>
      <w:tr w:rsidR="00F837E9" w:rsidRPr="001753CD" w14:paraId="50B8F394" w14:textId="77777777" w:rsidTr="003D36B6">
        <w:tc>
          <w:tcPr>
            <w:tcW w:w="959" w:type="dxa"/>
            <w:tcBorders>
              <w:top w:val="single" w:sz="4" w:space="0" w:color="000000"/>
              <w:left w:val="single" w:sz="4" w:space="0" w:color="000000"/>
              <w:bottom w:val="single" w:sz="4" w:space="0" w:color="000000"/>
              <w:right w:val="single" w:sz="4" w:space="0" w:color="000000"/>
            </w:tcBorders>
            <w:shd w:val="clear" w:color="auto" w:fill="auto"/>
            <w:hideMark/>
          </w:tcPr>
          <w:p w14:paraId="5F834871" w14:textId="77777777" w:rsidR="00F837E9" w:rsidRPr="001753CD" w:rsidRDefault="00F837E9" w:rsidP="001753CD">
            <w:pPr>
              <w:spacing w:after="0"/>
              <w:jc w:val="center"/>
              <w:rPr>
                <w:w w:val="100"/>
                <w:kern w:val="0"/>
                <w:sz w:val="18"/>
                <w:szCs w:val="18"/>
              </w:rPr>
            </w:pPr>
            <w:r w:rsidRPr="001753CD">
              <w:rPr>
                <w:w w:val="100"/>
                <w:kern w:val="0"/>
                <w:sz w:val="18"/>
                <w:szCs w:val="18"/>
                <w:u w:val="single"/>
              </w:rPr>
              <w:t>GOV-12</w:t>
            </w:r>
          </w:p>
        </w:tc>
        <w:tc>
          <w:tcPr>
            <w:tcW w:w="3889" w:type="dxa"/>
            <w:tcBorders>
              <w:top w:val="single" w:sz="4" w:space="0" w:color="000000"/>
              <w:left w:val="single" w:sz="4" w:space="0" w:color="000000"/>
              <w:bottom w:val="single" w:sz="4" w:space="0" w:color="000000"/>
              <w:right w:val="single" w:sz="4" w:space="0" w:color="000000"/>
            </w:tcBorders>
            <w:shd w:val="clear" w:color="auto" w:fill="auto"/>
            <w:hideMark/>
          </w:tcPr>
          <w:p w14:paraId="4A7F1275" w14:textId="77777777" w:rsidR="00F837E9" w:rsidRPr="001753CD" w:rsidRDefault="00F837E9" w:rsidP="00A83E20">
            <w:pPr>
              <w:pStyle w:val="Tablesmall"/>
            </w:pPr>
            <w:r w:rsidRPr="001753CD">
              <w:t>Entities must ensure the contracted service provider complies with the requirements of this policy and any protective security protocols.</w:t>
            </w:r>
          </w:p>
        </w:tc>
        <w:tc>
          <w:tcPr>
            <w:tcW w:w="1276" w:type="dxa"/>
            <w:tcBorders>
              <w:top w:val="single" w:sz="4" w:space="0" w:color="000000"/>
              <w:left w:val="single" w:sz="4" w:space="0" w:color="000000"/>
              <w:bottom w:val="single" w:sz="4" w:space="0" w:color="000000"/>
              <w:right w:val="single" w:sz="4" w:space="0" w:color="000000"/>
            </w:tcBorders>
          </w:tcPr>
          <w:p w14:paraId="07F3F291" w14:textId="37C7EC17" w:rsidR="00F837E9" w:rsidRPr="001753CD" w:rsidRDefault="00E21C58" w:rsidP="00093BA2">
            <w:pPr>
              <w:spacing w:after="0" w:line="271" w:lineRule="auto"/>
              <w:jc w:val="right"/>
              <w:rPr>
                <w:w w:val="100"/>
                <w:kern w:val="0"/>
                <w:sz w:val="18"/>
                <w:szCs w:val="18"/>
              </w:rPr>
            </w:pPr>
            <w:r>
              <w:rPr>
                <w:w w:val="100"/>
                <w:kern w:val="0"/>
                <w:sz w:val="18"/>
                <w:szCs w:val="18"/>
              </w:rPr>
              <w:t>91</w:t>
            </w:r>
          </w:p>
        </w:tc>
        <w:tc>
          <w:tcPr>
            <w:tcW w:w="850" w:type="dxa"/>
            <w:tcBorders>
              <w:top w:val="single" w:sz="4" w:space="0" w:color="000000"/>
              <w:left w:val="single" w:sz="4" w:space="0" w:color="000000"/>
              <w:bottom w:val="single" w:sz="4" w:space="0" w:color="000000"/>
              <w:right w:val="single" w:sz="4" w:space="0" w:color="000000"/>
            </w:tcBorders>
          </w:tcPr>
          <w:p w14:paraId="34AD52E8" w14:textId="668D1853" w:rsidR="00F837E9" w:rsidRPr="00F837E9" w:rsidRDefault="00F837E9" w:rsidP="00093BA2">
            <w:pPr>
              <w:spacing w:after="0" w:line="271" w:lineRule="auto"/>
              <w:jc w:val="right"/>
              <w:rPr>
                <w:w w:val="100"/>
                <w:kern w:val="0"/>
                <w:sz w:val="18"/>
                <w:szCs w:val="18"/>
              </w:rPr>
            </w:pPr>
            <w:r w:rsidRPr="00F837E9">
              <w:rPr>
                <w:sz w:val="18"/>
              </w:rPr>
              <w:t>94.7%</w:t>
            </w:r>
          </w:p>
        </w:tc>
        <w:tc>
          <w:tcPr>
            <w:tcW w:w="851" w:type="dxa"/>
            <w:tcBorders>
              <w:top w:val="single" w:sz="4" w:space="0" w:color="000000"/>
              <w:left w:val="single" w:sz="4" w:space="0" w:color="000000"/>
              <w:bottom w:val="single" w:sz="4" w:space="0" w:color="000000"/>
              <w:right w:val="single" w:sz="4" w:space="0" w:color="000000"/>
            </w:tcBorders>
          </w:tcPr>
          <w:p w14:paraId="78526AE4" w14:textId="1443ECC0" w:rsidR="00F837E9" w:rsidRPr="001753CD" w:rsidRDefault="00F837E9" w:rsidP="00093BA2">
            <w:pPr>
              <w:spacing w:after="0" w:line="271" w:lineRule="auto"/>
              <w:jc w:val="right"/>
              <w:rPr>
                <w:w w:val="100"/>
                <w:kern w:val="0"/>
                <w:sz w:val="18"/>
                <w:szCs w:val="18"/>
              </w:rPr>
            </w:pPr>
            <w:r>
              <w:rPr>
                <w:w w:val="100"/>
                <w:kern w:val="0"/>
                <w:sz w:val="18"/>
                <w:szCs w:val="18"/>
              </w:rPr>
              <w:t>93.5%</w:t>
            </w:r>
          </w:p>
        </w:tc>
        <w:tc>
          <w:tcPr>
            <w:tcW w:w="930" w:type="dxa"/>
            <w:tcBorders>
              <w:top w:val="single" w:sz="4" w:space="0" w:color="000000"/>
              <w:left w:val="single" w:sz="4" w:space="0" w:color="000000"/>
              <w:bottom w:val="single" w:sz="4" w:space="0" w:color="000000"/>
              <w:right w:val="single" w:sz="4" w:space="0" w:color="000000"/>
            </w:tcBorders>
          </w:tcPr>
          <w:p w14:paraId="0CDB9A27" w14:textId="4B0051E8" w:rsidR="00F837E9" w:rsidRPr="001753CD" w:rsidRDefault="00C61193" w:rsidP="00093BA2">
            <w:pPr>
              <w:spacing w:after="0" w:line="271" w:lineRule="auto"/>
              <w:jc w:val="right"/>
              <w:rPr>
                <w:w w:val="100"/>
                <w:kern w:val="0"/>
                <w:sz w:val="18"/>
                <w:szCs w:val="18"/>
              </w:rPr>
            </w:pPr>
            <w:r>
              <w:rPr>
                <w:w w:val="100"/>
                <w:kern w:val="0"/>
                <w:sz w:val="18"/>
                <w:szCs w:val="18"/>
              </w:rPr>
              <w:t>+</w:t>
            </w:r>
            <w:r w:rsidR="00772C5E">
              <w:rPr>
                <w:w w:val="100"/>
                <w:kern w:val="0"/>
                <w:sz w:val="18"/>
                <w:szCs w:val="18"/>
              </w:rPr>
              <w:t>1.1</w:t>
            </w:r>
          </w:p>
        </w:tc>
        <w:tc>
          <w:tcPr>
            <w:tcW w:w="1779" w:type="dxa"/>
            <w:tcBorders>
              <w:top w:val="single" w:sz="4" w:space="0" w:color="000000"/>
              <w:left w:val="single" w:sz="4" w:space="0" w:color="000000"/>
              <w:bottom w:val="single" w:sz="4" w:space="0" w:color="000000"/>
              <w:right w:val="single" w:sz="4" w:space="0" w:color="000000"/>
            </w:tcBorders>
          </w:tcPr>
          <w:p w14:paraId="5FB57E3E" w14:textId="3504AF20" w:rsidR="00F837E9" w:rsidRPr="00C61193" w:rsidRDefault="00C61193" w:rsidP="00A83E20">
            <w:pPr>
              <w:pStyle w:val="Tablesmall"/>
              <w:rPr>
                <w:rFonts w:cs="Times New Roman"/>
              </w:rPr>
            </w:pPr>
            <w:r w:rsidRPr="00C61193">
              <w:rPr>
                <w:rFonts w:cs="Times New Roman"/>
              </w:rPr>
              <w:t>N/A</w:t>
            </w:r>
          </w:p>
        </w:tc>
      </w:tr>
      <w:tr w:rsidR="00F837E9" w:rsidRPr="001753CD" w14:paraId="42F077C5" w14:textId="77777777" w:rsidTr="003D36B6">
        <w:tc>
          <w:tcPr>
            <w:tcW w:w="959" w:type="dxa"/>
            <w:tcBorders>
              <w:top w:val="single" w:sz="4" w:space="0" w:color="000000"/>
              <w:left w:val="single" w:sz="4" w:space="0" w:color="000000"/>
              <w:bottom w:val="single" w:sz="4" w:space="0" w:color="000000"/>
              <w:right w:val="single" w:sz="4" w:space="0" w:color="000000"/>
            </w:tcBorders>
            <w:shd w:val="clear" w:color="auto" w:fill="auto"/>
            <w:hideMark/>
          </w:tcPr>
          <w:p w14:paraId="6265538C" w14:textId="77777777" w:rsidR="00F837E9" w:rsidRPr="001753CD" w:rsidRDefault="00F837E9" w:rsidP="001753CD">
            <w:pPr>
              <w:spacing w:after="0"/>
              <w:jc w:val="center"/>
              <w:rPr>
                <w:w w:val="100"/>
                <w:kern w:val="0"/>
                <w:sz w:val="18"/>
                <w:szCs w:val="18"/>
              </w:rPr>
            </w:pPr>
            <w:r w:rsidRPr="001753CD">
              <w:rPr>
                <w:w w:val="100"/>
                <w:kern w:val="0"/>
                <w:sz w:val="18"/>
                <w:szCs w:val="18"/>
                <w:u w:val="single"/>
              </w:rPr>
              <w:t>GOV-13</w:t>
            </w:r>
          </w:p>
        </w:tc>
        <w:tc>
          <w:tcPr>
            <w:tcW w:w="3889" w:type="dxa"/>
            <w:tcBorders>
              <w:top w:val="single" w:sz="4" w:space="0" w:color="000000"/>
              <w:left w:val="single" w:sz="4" w:space="0" w:color="000000"/>
              <w:bottom w:val="single" w:sz="4" w:space="0" w:color="000000"/>
              <w:right w:val="single" w:sz="4" w:space="0" w:color="000000"/>
            </w:tcBorders>
            <w:shd w:val="clear" w:color="auto" w:fill="auto"/>
            <w:hideMark/>
          </w:tcPr>
          <w:p w14:paraId="4D96CE53" w14:textId="3D0301AC" w:rsidR="00F837E9" w:rsidRPr="001753CD" w:rsidRDefault="00F837E9" w:rsidP="00A83E20">
            <w:pPr>
              <w:pStyle w:val="Tablesmall"/>
            </w:pPr>
            <w:r w:rsidRPr="001753CD">
              <w:t xml:space="preserve">Entities must comply with section 10 of the </w:t>
            </w:r>
            <w:r w:rsidRPr="00A83E20">
              <w:rPr>
                <w:i/>
              </w:rPr>
              <w:t>Public Governance, Performance and Accountability Rule 2014</w:t>
            </w:r>
            <w:r w:rsidRPr="001753CD">
              <w:t xml:space="preserve"> and the </w:t>
            </w:r>
            <w:r w:rsidRPr="00A83E20">
              <w:rPr>
                <w:i/>
              </w:rPr>
              <w:t>Commonwealth Fraud Control Policy</w:t>
            </w:r>
            <w:r w:rsidRPr="001753CD">
              <w:t>.</w:t>
            </w:r>
          </w:p>
        </w:tc>
        <w:tc>
          <w:tcPr>
            <w:tcW w:w="1276" w:type="dxa"/>
            <w:tcBorders>
              <w:top w:val="single" w:sz="4" w:space="0" w:color="000000"/>
              <w:left w:val="single" w:sz="4" w:space="0" w:color="000000"/>
              <w:bottom w:val="single" w:sz="4" w:space="0" w:color="000000"/>
              <w:right w:val="single" w:sz="4" w:space="0" w:color="000000"/>
            </w:tcBorders>
          </w:tcPr>
          <w:p w14:paraId="2D762F94" w14:textId="0BB8EDAC" w:rsidR="00F837E9" w:rsidRPr="001753CD" w:rsidRDefault="00E21C58" w:rsidP="00093BA2">
            <w:pPr>
              <w:spacing w:after="0" w:line="271" w:lineRule="auto"/>
              <w:jc w:val="right"/>
              <w:rPr>
                <w:w w:val="100"/>
                <w:kern w:val="0"/>
                <w:sz w:val="18"/>
                <w:szCs w:val="18"/>
              </w:rPr>
            </w:pPr>
            <w:r>
              <w:rPr>
                <w:w w:val="100"/>
                <w:kern w:val="0"/>
                <w:sz w:val="18"/>
                <w:szCs w:val="18"/>
              </w:rPr>
              <w:t>94</w:t>
            </w:r>
          </w:p>
        </w:tc>
        <w:tc>
          <w:tcPr>
            <w:tcW w:w="850" w:type="dxa"/>
            <w:tcBorders>
              <w:top w:val="single" w:sz="4" w:space="0" w:color="000000"/>
              <w:left w:val="single" w:sz="4" w:space="0" w:color="000000"/>
              <w:bottom w:val="single" w:sz="4" w:space="0" w:color="000000"/>
              <w:right w:val="single" w:sz="4" w:space="0" w:color="000000"/>
            </w:tcBorders>
          </w:tcPr>
          <w:p w14:paraId="2A0C0A0C" w14:textId="4DEB1240" w:rsidR="00F837E9" w:rsidRPr="00F837E9" w:rsidRDefault="00F837E9" w:rsidP="00093BA2">
            <w:pPr>
              <w:spacing w:after="0" w:line="271" w:lineRule="auto"/>
              <w:jc w:val="right"/>
              <w:rPr>
                <w:w w:val="100"/>
                <w:kern w:val="0"/>
                <w:sz w:val="18"/>
                <w:szCs w:val="18"/>
              </w:rPr>
            </w:pPr>
            <w:r w:rsidRPr="00F837E9">
              <w:rPr>
                <w:sz w:val="18"/>
              </w:rPr>
              <w:t>100.0%</w:t>
            </w:r>
          </w:p>
        </w:tc>
        <w:tc>
          <w:tcPr>
            <w:tcW w:w="851" w:type="dxa"/>
            <w:tcBorders>
              <w:top w:val="single" w:sz="4" w:space="0" w:color="000000"/>
              <w:left w:val="single" w:sz="4" w:space="0" w:color="000000"/>
              <w:bottom w:val="single" w:sz="4" w:space="0" w:color="000000"/>
              <w:right w:val="single" w:sz="4" w:space="0" w:color="000000"/>
            </w:tcBorders>
          </w:tcPr>
          <w:p w14:paraId="2AEA3A90" w14:textId="0CDE4138" w:rsidR="00F837E9" w:rsidRPr="001753CD" w:rsidRDefault="00F837E9" w:rsidP="00093BA2">
            <w:pPr>
              <w:spacing w:after="0" w:line="271" w:lineRule="auto"/>
              <w:jc w:val="right"/>
              <w:rPr>
                <w:w w:val="100"/>
                <w:kern w:val="0"/>
                <w:sz w:val="18"/>
                <w:szCs w:val="18"/>
              </w:rPr>
            </w:pPr>
            <w:r>
              <w:rPr>
                <w:w w:val="100"/>
                <w:kern w:val="0"/>
                <w:sz w:val="18"/>
                <w:szCs w:val="18"/>
              </w:rPr>
              <w:t>98.9%</w:t>
            </w:r>
          </w:p>
        </w:tc>
        <w:tc>
          <w:tcPr>
            <w:tcW w:w="930" w:type="dxa"/>
            <w:tcBorders>
              <w:top w:val="single" w:sz="4" w:space="0" w:color="000000"/>
              <w:left w:val="single" w:sz="4" w:space="0" w:color="000000"/>
              <w:bottom w:val="single" w:sz="4" w:space="0" w:color="000000"/>
              <w:right w:val="single" w:sz="4" w:space="0" w:color="000000"/>
            </w:tcBorders>
          </w:tcPr>
          <w:p w14:paraId="76D575BC" w14:textId="3CDED0E2" w:rsidR="00F837E9" w:rsidRPr="001753CD" w:rsidRDefault="00C61193" w:rsidP="00093BA2">
            <w:pPr>
              <w:spacing w:after="0" w:line="271" w:lineRule="auto"/>
              <w:jc w:val="right"/>
              <w:rPr>
                <w:w w:val="100"/>
                <w:kern w:val="0"/>
                <w:sz w:val="18"/>
                <w:szCs w:val="18"/>
              </w:rPr>
            </w:pPr>
            <w:r>
              <w:rPr>
                <w:w w:val="100"/>
                <w:kern w:val="0"/>
                <w:sz w:val="18"/>
                <w:szCs w:val="18"/>
              </w:rPr>
              <w:t>+</w:t>
            </w:r>
            <w:r w:rsidR="00772C5E">
              <w:rPr>
                <w:w w:val="100"/>
                <w:kern w:val="0"/>
                <w:sz w:val="18"/>
                <w:szCs w:val="18"/>
              </w:rPr>
              <w:t>1.1</w:t>
            </w:r>
          </w:p>
        </w:tc>
        <w:tc>
          <w:tcPr>
            <w:tcW w:w="1779" w:type="dxa"/>
            <w:tcBorders>
              <w:top w:val="single" w:sz="4" w:space="0" w:color="000000"/>
              <w:left w:val="single" w:sz="4" w:space="0" w:color="000000"/>
              <w:bottom w:val="single" w:sz="4" w:space="0" w:color="000000"/>
              <w:right w:val="single" w:sz="4" w:space="0" w:color="000000"/>
            </w:tcBorders>
          </w:tcPr>
          <w:p w14:paraId="76129BD0" w14:textId="0FBF2B34" w:rsidR="00F837E9" w:rsidRPr="00C61193" w:rsidRDefault="00C61193" w:rsidP="00A83E20">
            <w:pPr>
              <w:pStyle w:val="Tablesmall"/>
              <w:rPr>
                <w:rFonts w:cs="Times New Roman"/>
              </w:rPr>
            </w:pPr>
            <w:r w:rsidRPr="00C61193">
              <w:rPr>
                <w:rFonts w:cs="Times New Roman"/>
              </w:rPr>
              <w:t>N/A</w:t>
            </w:r>
          </w:p>
        </w:tc>
      </w:tr>
      <w:tr w:rsidR="00144272" w:rsidRPr="001753CD" w14:paraId="2085F903" w14:textId="77777777" w:rsidTr="00E64F15">
        <w:tc>
          <w:tcPr>
            <w:tcW w:w="10534" w:type="dxa"/>
            <w:gridSpan w:val="7"/>
            <w:tcBorders>
              <w:top w:val="single" w:sz="4" w:space="0" w:color="000000"/>
              <w:left w:val="single" w:sz="4" w:space="0" w:color="000000"/>
              <w:bottom w:val="single" w:sz="4" w:space="0" w:color="000000"/>
              <w:right w:val="single" w:sz="4" w:space="0" w:color="000000"/>
            </w:tcBorders>
            <w:shd w:val="clear" w:color="auto" w:fill="C6D9F1"/>
          </w:tcPr>
          <w:p w14:paraId="1E2F8820" w14:textId="0C6FE117" w:rsidR="00144272" w:rsidRPr="001753CD" w:rsidRDefault="00144272" w:rsidP="00A83E20">
            <w:pPr>
              <w:pStyle w:val="Tablesmall"/>
              <w:rPr>
                <w:rFonts w:eastAsia="Times New Roman"/>
                <w:b/>
                <w:color w:val="000000"/>
              </w:rPr>
            </w:pPr>
            <w:r>
              <w:rPr>
                <w:rFonts w:asciiTheme="minorHAnsi" w:hAnsiTheme="minorHAnsi" w:cstheme="minorHAnsi"/>
                <w:b/>
              </w:rPr>
              <w:t>Personnel security</w:t>
            </w:r>
          </w:p>
        </w:tc>
      </w:tr>
      <w:tr w:rsidR="00093BA2" w:rsidRPr="001753CD" w14:paraId="090912D7" w14:textId="77777777" w:rsidTr="003D36B6">
        <w:tc>
          <w:tcPr>
            <w:tcW w:w="959" w:type="dxa"/>
            <w:tcBorders>
              <w:top w:val="single" w:sz="4" w:space="0" w:color="000000"/>
              <w:left w:val="single" w:sz="4" w:space="0" w:color="000000"/>
              <w:bottom w:val="single" w:sz="4" w:space="0" w:color="000000"/>
              <w:right w:val="single" w:sz="4" w:space="0" w:color="000000"/>
            </w:tcBorders>
            <w:shd w:val="clear" w:color="auto" w:fill="auto"/>
          </w:tcPr>
          <w:p w14:paraId="5315CA60" w14:textId="3B1AE3E1" w:rsidR="00093BA2" w:rsidRPr="00144272" w:rsidRDefault="00093BA2" w:rsidP="001753CD">
            <w:pPr>
              <w:spacing w:after="0"/>
              <w:jc w:val="center"/>
              <w:rPr>
                <w:w w:val="100"/>
                <w:kern w:val="0"/>
                <w:sz w:val="18"/>
                <w:szCs w:val="18"/>
              </w:rPr>
            </w:pPr>
            <w:r w:rsidRPr="00144272">
              <w:rPr>
                <w:rFonts w:asciiTheme="minorHAnsi" w:hAnsiTheme="minorHAnsi" w:cstheme="minorHAnsi"/>
                <w:sz w:val="18"/>
                <w:szCs w:val="20"/>
                <w:u w:val="single"/>
              </w:rPr>
              <w:t>PERSEC-1</w:t>
            </w:r>
          </w:p>
        </w:tc>
        <w:tc>
          <w:tcPr>
            <w:tcW w:w="3889" w:type="dxa"/>
            <w:tcBorders>
              <w:top w:val="single" w:sz="4" w:space="0" w:color="000000"/>
              <w:left w:val="single" w:sz="4" w:space="0" w:color="000000"/>
              <w:bottom w:val="single" w:sz="4" w:space="0" w:color="000000"/>
              <w:right w:val="single" w:sz="4" w:space="0" w:color="000000"/>
            </w:tcBorders>
            <w:shd w:val="clear" w:color="auto" w:fill="auto"/>
          </w:tcPr>
          <w:p w14:paraId="11A5153E" w14:textId="77777777" w:rsidR="00093BA2" w:rsidRPr="00144272" w:rsidRDefault="00093BA2" w:rsidP="00A83E20">
            <w:pPr>
              <w:pStyle w:val="Tablesmall"/>
            </w:pPr>
            <w:r w:rsidRPr="00144272">
              <w:t>Entities must ensure that their personnel who access Australian Government resources (people, information and assets):</w:t>
            </w:r>
          </w:p>
          <w:p w14:paraId="052CB196" w14:textId="77777777" w:rsidR="00093BA2" w:rsidRPr="00144272" w:rsidRDefault="00093BA2" w:rsidP="00A83E20">
            <w:pPr>
              <w:pStyle w:val="Tablesmall"/>
              <w:numPr>
                <w:ilvl w:val="0"/>
                <w:numId w:val="24"/>
              </w:numPr>
            </w:pPr>
            <w:r w:rsidRPr="00144272">
              <w:t>are eligible to have access</w:t>
            </w:r>
          </w:p>
          <w:p w14:paraId="1EA5749A" w14:textId="77777777" w:rsidR="00093BA2" w:rsidRPr="00144272" w:rsidRDefault="00093BA2" w:rsidP="00A83E20">
            <w:pPr>
              <w:pStyle w:val="Tablesmall"/>
              <w:numPr>
                <w:ilvl w:val="0"/>
                <w:numId w:val="24"/>
              </w:numPr>
            </w:pPr>
            <w:r w:rsidRPr="00144272">
              <w:t>have had their identity established</w:t>
            </w:r>
          </w:p>
          <w:p w14:paraId="4C76F8C2" w14:textId="77777777" w:rsidR="00093BA2" w:rsidRPr="00144272" w:rsidRDefault="00093BA2" w:rsidP="00A83E20">
            <w:pPr>
              <w:pStyle w:val="Tablesmall"/>
              <w:numPr>
                <w:ilvl w:val="0"/>
                <w:numId w:val="24"/>
              </w:numPr>
            </w:pPr>
            <w:r w:rsidRPr="00144272">
              <w:t>are suitable to have access, and</w:t>
            </w:r>
          </w:p>
          <w:p w14:paraId="0601ABAE" w14:textId="0B3208E4" w:rsidR="00093BA2" w:rsidRPr="00144272" w:rsidRDefault="00093BA2" w:rsidP="00A83E20">
            <w:pPr>
              <w:pStyle w:val="Tablesmall"/>
              <w:numPr>
                <w:ilvl w:val="0"/>
                <w:numId w:val="24"/>
              </w:numPr>
            </w:pPr>
            <w:proofErr w:type="gramStart"/>
            <w:r w:rsidRPr="00144272">
              <w:t>agree</w:t>
            </w:r>
            <w:proofErr w:type="gramEnd"/>
            <w:r w:rsidRPr="00144272">
              <w:t xml:space="preserve"> to comply with the Government’s policies, standards, protocols and guidelines that safeguard that entity’s resources from harm.</w:t>
            </w:r>
          </w:p>
        </w:tc>
        <w:tc>
          <w:tcPr>
            <w:tcW w:w="1276" w:type="dxa"/>
            <w:tcBorders>
              <w:top w:val="single" w:sz="4" w:space="0" w:color="000000"/>
              <w:left w:val="single" w:sz="4" w:space="0" w:color="000000"/>
              <w:bottom w:val="single" w:sz="4" w:space="0" w:color="000000"/>
              <w:right w:val="single" w:sz="4" w:space="0" w:color="000000"/>
            </w:tcBorders>
          </w:tcPr>
          <w:p w14:paraId="0923EDC8" w14:textId="74CCACD6" w:rsidR="00093BA2" w:rsidRPr="001753CD" w:rsidRDefault="00FE3B20" w:rsidP="00093BA2">
            <w:pPr>
              <w:spacing w:after="0" w:line="271" w:lineRule="auto"/>
              <w:jc w:val="right"/>
              <w:rPr>
                <w:w w:val="100"/>
                <w:kern w:val="0"/>
                <w:sz w:val="18"/>
                <w:szCs w:val="18"/>
              </w:rPr>
            </w:pPr>
            <w:r>
              <w:rPr>
                <w:w w:val="100"/>
                <w:kern w:val="0"/>
                <w:sz w:val="18"/>
                <w:szCs w:val="18"/>
              </w:rPr>
              <w:t>88</w:t>
            </w:r>
          </w:p>
        </w:tc>
        <w:tc>
          <w:tcPr>
            <w:tcW w:w="850" w:type="dxa"/>
            <w:tcBorders>
              <w:top w:val="single" w:sz="4" w:space="0" w:color="000000"/>
              <w:left w:val="single" w:sz="4" w:space="0" w:color="000000"/>
              <w:bottom w:val="single" w:sz="4" w:space="0" w:color="000000"/>
              <w:right w:val="single" w:sz="4" w:space="0" w:color="000000"/>
            </w:tcBorders>
          </w:tcPr>
          <w:p w14:paraId="4265D4A4" w14:textId="00DF0FA9" w:rsidR="00093BA2" w:rsidRPr="00093BA2" w:rsidRDefault="00093BA2" w:rsidP="00093BA2">
            <w:pPr>
              <w:spacing w:after="0" w:line="271" w:lineRule="auto"/>
              <w:jc w:val="right"/>
              <w:rPr>
                <w:w w:val="100"/>
                <w:kern w:val="0"/>
                <w:sz w:val="18"/>
                <w:szCs w:val="18"/>
              </w:rPr>
            </w:pPr>
            <w:r w:rsidRPr="00093BA2">
              <w:rPr>
                <w:color w:val="000000"/>
                <w:sz w:val="18"/>
              </w:rPr>
              <w:t>93.6%</w:t>
            </w:r>
          </w:p>
        </w:tc>
        <w:tc>
          <w:tcPr>
            <w:tcW w:w="851" w:type="dxa"/>
            <w:tcBorders>
              <w:top w:val="single" w:sz="4" w:space="0" w:color="000000"/>
              <w:left w:val="single" w:sz="4" w:space="0" w:color="000000"/>
              <w:bottom w:val="single" w:sz="4" w:space="0" w:color="000000"/>
              <w:right w:val="single" w:sz="4" w:space="0" w:color="000000"/>
            </w:tcBorders>
          </w:tcPr>
          <w:p w14:paraId="579B8040" w14:textId="4578AF0D" w:rsidR="00093BA2" w:rsidRPr="001753CD" w:rsidRDefault="00093BA2" w:rsidP="00093BA2">
            <w:pPr>
              <w:spacing w:after="0" w:line="271" w:lineRule="auto"/>
              <w:jc w:val="right"/>
              <w:rPr>
                <w:w w:val="100"/>
                <w:kern w:val="0"/>
                <w:sz w:val="18"/>
                <w:szCs w:val="18"/>
              </w:rPr>
            </w:pPr>
            <w:r>
              <w:rPr>
                <w:w w:val="100"/>
                <w:kern w:val="0"/>
                <w:sz w:val="18"/>
                <w:szCs w:val="18"/>
              </w:rPr>
              <w:t>91.4%</w:t>
            </w:r>
          </w:p>
        </w:tc>
        <w:tc>
          <w:tcPr>
            <w:tcW w:w="930" w:type="dxa"/>
            <w:tcBorders>
              <w:top w:val="single" w:sz="4" w:space="0" w:color="000000"/>
              <w:left w:val="single" w:sz="4" w:space="0" w:color="000000"/>
              <w:bottom w:val="single" w:sz="4" w:space="0" w:color="000000"/>
              <w:right w:val="single" w:sz="4" w:space="0" w:color="000000"/>
            </w:tcBorders>
          </w:tcPr>
          <w:p w14:paraId="03940DF1" w14:textId="0F86AE71" w:rsidR="00093BA2" w:rsidRPr="001753CD" w:rsidRDefault="00C61193" w:rsidP="00093BA2">
            <w:pPr>
              <w:spacing w:after="0" w:line="271" w:lineRule="auto"/>
              <w:jc w:val="right"/>
              <w:rPr>
                <w:w w:val="100"/>
                <w:kern w:val="0"/>
                <w:sz w:val="18"/>
                <w:szCs w:val="18"/>
              </w:rPr>
            </w:pPr>
            <w:r>
              <w:rPr>
                <w:w w:val="100"/>
                <w:kern w:val="0"/>
                <w:sz w:val="18"/>
                <w:szCs w:val="18"/>
              </w:rPr>
              <w:t>+</w:t>
            </w:r>
            <w:r w:rsidR="00093BA2">
              <w:rPr>
                <w:w w:val="100"/>
                <w:kern w:val="0"/>
                <w:sz w:val="18"/>
                <w:szCs w:val="18"/>
              </w:rPr>
              <w:t>2.2</w:t>
            </w:r>
          </w:p>
        </w:tc>
        <w:tc>
          <w:tcPr>
            <w:tcW w:w="1779" w:type="dxa"/>
            <w:tcBorders>
              <w:top w:val="single" w:sz="4" w:space="0" w:color="000000"/>
              <w:left w:val="single" w:sz="4" w:space="0" w:color="000000"/>
              <w:bottom w:val="single" w:sz="4" w:space="0" w:color="000000"/>
              <w:right w:val="single" w:sz="4" w:space="0" w:color="000000"/>
            </w:tcBorders>
          </w:tcPr>
          <w:p w14:paraId="61E77F3C" w14:textId="33E935CB" w:rsidR="00093BA2" w:rsidRPr="00C61193" w:rsidRDefault="00C61193" w:rsidP="00A83E20">
            <w:pPr>
              <w:pStyle w:val="Tablesmall"/>
              <w:rPr>
                <w:rFonts w:cs="Times New Roman"/>
              </w:rPr>
            </w:pPr>
            <w:r w:rsidRPr="00C61193">
              <w:rPr>
                <w:rFonts w:cs="Times New Roman"/>
              </w:rPr>
              <w:t>N/A</w:t>
            </w:r>
          </w:p>
        </w:tc>
      </w:tr>
      <w:tr w:rsidR="00093BA2" w:rsidRPr="001753CD" w14:paraId="7B733BBC" w14:textId="77777777" w:rsidTr="003D36B6">
        <w:tc>
          <w:tcPr>
            <w:tcW w:w="959" w:type="dxa"/>
            <w:tcBorders>
              <w:top w:val="single" w:sz="4" w:space="0" w:color="000000"/>
              <w:left w:val="single" w:sz="4" w:space="0" w:color="000000"/>
              <w:bottom w:val="single" w:sz="4" w:space="0" w:color="000000"/>
              <w:right w:val="single" w:sz="4" w:space="0" w:color="000000"/>
            </w:tcBorders>
            <w:shd w:val="clear" w:color="auto" w:fill="auto"/>
          </w:tcPr>
          <w:p w14:paraId="796B39B4" w14:textId="053E0D95" w:rsidR="00093BA2" w:rsidRPr="00144272" w:rsidRDefault="00093BA2" w:rsidP="001753CD">
            <w:pPr>
              <w:spacing w:after="0"/>
              <w:jc w:val="center"/>
              <w:rPr>
                <w:w w:val="100"/>
                <w:kern w:val="0"/>
                <w:sz w:val="18"/>
                <w:szCs w:val="18"/>
              </w:rPr>
            </w:pPr>
            <w:r w:rsidRPr="00144272">
              <w:rPr>
                <w:rFonts w:asciiTheme="minorHAnsi" w:hAnsiTheme="minorHAnsi" w:cstheme="minorHAnsi"/>
                <w:sz w:val="18"/>
                <w:szCs w:val="20"/>
                <w:u w:val="single"/>
              </w:rPr>
              <w:t>PERSEC-2</w:t>
            </w:r>
          </w:p>
        </w:tc>
        <w:tc>
          <w:tcPr>
            <w:tcW w:w="3889" w:type="dxa"/>
            <w:tcBorders>
              <w:top w:val="single" w:sz="4" w:space="0" w:color="000000"/>
              <w:left w:val="single" w:sz="4" w:space="0" w:color="000000"/>
              <w:bottom w:val="single" w:sz="4" w:space="0" w:color="000000"/>
              <w:right w:val="single" w:sz="4" w:space="0" w:color="000000"/>
            </w:tcBorders>
            <w:shd w:val="clear" w:color="auto" w:fill="auto"/>
          </w:tcPr>
          <w:p w14:paraId="2191AD06" w14:textId="389BBB5C" w:rsidR="00093BA2" w:rsidRPr="00144272" w:rsidRDefault="00093BA2" w:rsidP="00A83E20">
            <w:pPr>
              <w:pStyle w:val="Tablesmall"/>
            </w:pPr>
            <w:r w:rsidRPr="00144272">
              <w:t>Entities must have policies and procedures to assess and manage the ongoing suitability for employment of their personnel.</w:t>
            </w:r>
          </w:p>
        </w:tc>
        <w:tc>
          <w:tcPr>
            <w:tcW w:w="1276" w:type="dxa"/>
            <w:tcBorders>
              <w:top w:val="single" w:sz="4" w:space="0" w:color="000000"/>
              <w:left w:val="single" w:sz="4" w:space="0" w:color="000000"/>
              <w:bottom w:val="single" w:sz="4" w:space="0" w:color="000000"/>
              <w:right w:val="single" w:sz="4" w:space="0" w:color="000000"/>
            </w:tcBorders>
          </w:tcPr>
          <w:p w14:paraId="6CA7719B" w14:textId="6B0F9164" w:rsidR="00093BA2" w:rsidRPr="001753CD" w:rsidRDefault="00FE3B20" w:rsidP="00093BA2">
            <w:pPr>
              <w:spacing w:after="0" w:line="271" w:lineRule="auto"/>
              <w:jc w:val="right"/>
              <w:rPr>
                <w:w w:val="100"/>
                <w:kern w:val="0"/>
                <w:sz w:val="18"/>
                <w:szCs w:val="18"/>
              </w:rPr>
            </w:pPr>
            <w:r>
              <w:rPr>
                <w:w w:val="100"/>
                <w:kern w:val="0"/>
                <w:sz w:val="18"/>
                <w:szCs w:val="18"/>
              </w:rPr>
              <w:t>85</w:t>
            </w:r>
          </w:p>
        </w:tc>
        <w:tc>
          <w:tcPr>
            <w:tcW w:w="850" w:type="dxa"/>
            <w:tcBorders>
              <w:top w:val="single" w:sz="4" w:space="0" w:color="000000"/>
              <w:left w:val="single" w:sz="4" w:space="0" w:color="000000"/>
              <w:bottom w:val="single" w:sz="4" w:space="0" w:color="000000"/>
              <w:right w:val="single" w:sz="4" w:space="0" w:color="000000"/>
            </w:tcBorders>
          </w:tcPr>
          <w:p w14:paraId="6EBE2A83" w14:textId="0868748E" w:rsidR="00093BA2" w:rsidRPr="00093BA2" w:rsidRDefault="00093BA2" w:rsidP="00093BA2">
            <w:pPr>
              <w:spacing w:after="0" w:line="271" w:lineRule="auto"/>
              <w:jc w:val="right"/>
              <w:rPr>
                <w:w w:val="100"/>
                <w:kern w:val="0"/>
                <w:sz w:val="18"/>
                <w:szCs w:val="18"/>
              </w:rPr>
            </w:pPr>
            <w:r w:rsidRPr="00093BA2">
              <w:rPr>
                <w:color w:val="000000"/>
                <w:sz w:val="18"/>
              </w:rPr>
              <w:t>90.4%</w:t>
            </w:r>
          </w:p>
        </w:tc>
        <w:tc>
          <w:tcPr>
            <w:tcW w:w="851" w:type="dxa"/>
            <w:tcBorders>
              <w:top w:val="single" w:sz="4" w:space="0" w:color="000000"/>
              <w:left w:val="single" w:sz="4" w:space="0" w:color="000000"/>
              <w:bottom w:val="single" w:sz="4" w:space="0" w:color="000000"/>
              <w:right w:val="single" w:sz="4" w:space="0" w:color="000000"/>
            </w:tcBorders>
          </w:tcPr>
          <w:p w14:paraId="1071D050" w14:textId="41E057EB" w:rsidR="00093BA2" w:rsidRPr="001753CD" w:rsidRDefault="00093BA2" w:rsidP="00093BA2">
            <w:pPr>
              <w:spacing w:after="0" w:line="271" w:lineRule="auto"/>
              <w:jc w:val="right"/>
              <w:rPr>
                <w:w w:val="100"/>
                <w:kern w:val="0"/>
                <w:sz w:val="18"/>
                <w:szCs w:val="18"/>
              </w:rPr>
            </w:pPr>
            <w:r>
              <w:rPr>
                <w:w w:val="100"/>
                <w:kern w:val="0"/>
                <w:sz w:val="18"/>
                <w:szCs w:val="18"/>
              </w:rPr>
              <w:t>88.2%</w:t>
            </w:r>
          </w:p>
        </w:tc>
        <w:tc>
          <w:tcPr>
            <w:tcW w:w="930" w:type="dxa"/>
            <w:tcBorders>
              <w:top w:val="single" w:sz="4" w:space="0" w:color="000000"/>
              <w:left w:val="single" w:sz="4" w:space="0" w:color="000000"/>
              <w:bottom w:val="single" w:sz="4" w:space="0" w:color="000000"/>
              <w:right w:val="single" w:sz="4" w:space="0" w:color="000000"/>
            </w:tcBorders>
          </w:tcPr>
          <w:p w14:paraId="7951561D" w14:textId="6D953106" w:rsidR="00093BA2" w:rsidRPr="001753CD" w:rsidRDefault="00C61193" w:rsidP="00093BA2">
            <w:pPr>
              <w:spacing w:after="0" w:line="271" w:lineRule="auto"/>
              <w:jc w:val="right"/>
              <w:rPr>
                <w:w w:val="100"/>
                <w:kern w:val="0"/>
                <w:sz w:val="18"/>
                <w:szCs w:val="18"/>
              </w:rPr>
            </w:pPr>
            <w:r>
              <w:rPr>
                <w:w w:val="100"/>
                <w:kern w:val="0"/>
                <w:sz w:val="18"/>
                <w:szCs w:val="18"/>
              </w:rPr>
              <w:t>+</w:t>
            </w:r>
            <w:r w:rsidR="00093BA2">
              <w:rPr>
                <w:w w:val="100"/>
                <w:kern w:val="0"/>
                <w:sz w:val="18"/>
                <w:szCs w:val="18"/>
              </w:rPr>
              <w:t>2.2</w:t>
            </w:r>
          </w:p>
        </w:tc>
        <w:tc>
          <w:tcPr>
            <w:tcW w:w="1779" w:type="dxa"/>
            <w:tcBorders>
              <w:top w:val="single" w:sz="4" w:space="0" w:color="000000"/>
              <w:left w:val="single" w:sz="4" w:space="0" w:color="000000"/>
              <w:bottom w:val="single" w:sz="4" w:space="0" w:color="000000"/>
              <w:right w:val="single" w:sz="4" w:space="0" w:color="000000"/>
            </w:tcBorders>
          </w:tcPr>
          <w:p w14:paraId="40619A8F" w14:textId="5F15CD0C" w:rsidR="00093BA2" w:rsidRPr="00C61193" w:rsidRDefault="00C61193" w:rsidP="00A83E20">
            <w:pPr>
              <w:pStyle w:val="Tablesmall"/>
              <w:rPr>
                <w:rFonts w:cs="Times New Roman"/>
              </w:rPr>
            </w:pPr>
            <w:r>
              <w:rPr>
                <w:rFonts w:cs="Times New Roman"/>
              </w:rPr>
              <w:t>N/A</w:t>
            </w:r>
          </w:p>
        </w:tc>
      </w:tr>
      <w:tr w:rsidR="00093BA2" w:rsidRPr="001753CD" w14:paraId="1A039576" w14:textId="77777777" w:rsidTr="003D36B6">
        <w:tc>
          <w:tcPr>
            <w:tcW w:w="959" w:type="dxa"/>
            <w:tcBorders>
              <w:top w:val="single" w:sz="4" w:space="0" w:color="000000"/>
              <w:left w:val="single" w:sz="4" w:space="0" w:color="000000"/>
              <w:bottom w:val="single" w:sz="4" w:space="0" w:color="000000"/>
              <w:right w:val="single" w:sz="4" w:space="0" w:color="000000"/>
            </w:tcBorders>
            <w:shd w:val="clear" w:color="auto" w:fill="auto"/>
          </w:tcPr>
          <w:p w14:paraId="4EAEA335" w14:textId="2C613C92" w:rsidR="00093BA2" w:rsidRPr="00144272" w:rsidRDefault="00093BA2" w:rsidP="001753CD">
            <w:pPr>
              <w:spacing w:after="0"/>
              <w:jc w:val="center"/>
              <w:rPr>
                <w:w w:val="100"/>
                <w:kern w:val="0"/>
                <w:sz w:val="18"/>
                <w:szCs w:val="18"/>
              </w:rPr>
            </w:pPr>
            <w:r w:rsidRPr="00144272">
              <w:rPr>
                <w:rFonts w:asciiTheme="minorHAnsi" w:hAnsiTheme="minorHAnsi" w:cstheme="minorHAnsi"/>
                <w:sz w:val="18"/>
                <w:szCs w:val="20"/>
                <w:u w:val="single"/>
              </w:rPr>
              <w:t>PERSEC-3</w:t>
            </w:r>
          </w:p>
        </w:tc>
        <w:tc>
          <w:tcPr>
            <w:tcW w:w="3889" w:type="dxa"/>
            <w:tcBorders>
              <w:top w:val="single" w:sz="4" w:space="0" w:color="000000"/>
              <w:left w:val="single" w:sz="4" w:space="0" w:color="000000"/>
              <w:bottom w:val="single" w:sz="4" w:space="0" w:color="000000"/>
              <w:right w:val="single" w:sz="4" w:space="0" w:color="000000"/>
            </w:tcBorders>
            <w:shd w:val="clear" w:color="auto" w:fill="auto"/>
          </w:tcPr>
          <w:p w14:paraId="1CB80E29" w14:textId="33B61E9A" w:rsidR="00093BA2" w:rsidRPr="00144272" w:rsidRDefault="00093BA2" w:rsidP="00A83E20">
            <w:pPr>
              <w:pStyle w:val="Tablesmall"/>
            </w:pPr>
            <w:r w:rsidRPr="00144272">
              <w:t xml:space="preserve">Entities must </w:t>
            </w:r>
            <w:proofErr w:type="gramStart"/>
            <w:r w:rsidR="0019354F" w:rsidRPr="00144272">
              <w:t>identify</w:t>
            </w:r>
            <w:r w:rsidR="0019354F">
              <w:t>,</w:t>
            </w:r>
            <w:proofErr w:type="gramEnd"/>
            <w:r w:rsidRPr="00144272">
              <w:t xml:space="preserve"> record and review positions that require a security clearance and the level of clearance required.</w:t>
            </w:r>
          </w:p>
        </w:tc>
        <w:tc>
          <w:tcPr>
            <w:tcW w:w="1276" w:type="dxa"/>
            <w:tcBorders>
              <w:top w:val="single" w:sz="4" w:space="0" w:color="000000"/>
              <w:left w:val="single" w:sz="4" w:space="0" w:color="000000"/>
              <w:bottom w:val="single" w:sz="4" w:space="0" w:color="000000"/>
              <w:right w:val="single" w:sz="4" w:space="0" w:color="000000"/>
            </w:tcBorders>
          </w:tcPr>
          <w:p w14:paraId="5C03EF91" w14:textId="4F4988B6" w:rsidR="00093BA2" w:rsidRPr="001753CD" w:rsidRDefault="00FE3B20" w:rsidP="00093BA2">
            <w:pPr>
              <w:spacing w:after="0" w:line="271" w:lineRule="auto"/>
              <w:jc w:val="right"/>
              <w:rPr>
                <w:w w:val="100"/>
                <w:kern w:val="0"/>
                <w:sz w:val="18"/>
                <w:szCs w:val="18"/>
              </w:rPr>
            </w:pPr>
            <w:r>
              <w:rPr>
                <w:w w:val="100"/>
                <w:kern w:val="0"/>
                <w:sz w:val="18"/>
                <w:szCs w:val="18"/>
              </w:rPr>
              <w:t>91 (excl. 1 N/A)</w:t>
            </w:r>
          </w:p>
        </w:tc>
        <w:tc>
          <w:tcPr>
            <w:tcW w:w="850" w:type="dxa"/>
            <w:tcBorders>
              <w:top w:val="single" w:sz="4" w:space="0" w:color="000000"/>
              <w:left w:val="single" w:sz="4" w:space="0" w:color="000000"/>
              <w:bottom w:val="single" w:sz="4" w:space="0" w:color="000000"/>
              <w:right w:val="single" w:sz="4" w:space="0" w:color="000000"/>
            </w:tcBorders>
          </w:tcPr>
          <w:p w14:paraId="1E0A821E" w14:textId="2A4C1ADE" w:rsidR="00093BA2" w:rsidRPr="00093BA2" w:rsidRDefault="00093BA2" w:rsidP="00093BA2">
            <w:pPr>
              <w:spacing w:after="0" w:line="271" w:lineRule="auto"/>
              <w:jc w:val="right"/>
              <w:rPr>
                <w:w w:val="100"/>
                <w:kern w:val="0"/>
                <w:sz w:val="18"/>
                <w:szCs w:val="18"/>
              </w:rPr>
            </w:pPr>
            <w:r w:rsidRPr="00093BA2">
              <w:rPr>
                <w:color w:val="000000"/>
                <w:sz w:val="18"/>
              </w:rPr>
              <w:t>96.8%</w:t>
            </w:r>
          </w:p>
        </w:tc>
        <w:tc>
          <w:tcPr>
            <w:tcW w:w="851" w:type="dxa"/>
            <w:tcBorders>
              <w:top w:val="single" w:sz="4" w:space="0" w:color="000000"/>
              <w:left w:val="single" w:sz="4" w:space="0" w:color="000000"/>
              <w:bottom w:val="single" w:sz="4" w:space="0" w:color="000000"/>
              <w:right w:val="single" w:sz="4" w:space="0" w:color="000000"/>
            </w:tcBorders>
          </w:tcPr>
          <w:p w14:paraId="142E76B8" w14:textId="5699B62D" w:rsidR="00093BA2" w:rsidRPr="001753CD" w:rsidRDefault="00093BA2" w:rsidP="00093BA2">
            <w:pPr>
              <w:spacing w:after="0" w:line="271" w:lineRule="auto"/>
              <w:jc w:val="right"/>
              <w:rPr>
                <w:w w:val="100"/>
                <w:kern w:val="0"/>
                <w:sz w:val="18"/>
                <w:szCs w:val="18"/>
              </w:rPr>
            </w:pPr>
            <w:r>
              <w:rPr>
                <w:w w:val="100"/>
                <w:kern w:val="0"/>
                <w:sz w:val="18"/>
                <w:szCs w:val="18"/>
              </w:rPr>
              <w:t>94.6%</w:t>
            </w:r>
          </w:p>
        </w:tc>
        <w:tc>
          <w:tcPr>
            <w:tcW w:w="930" w:type="dxa"/>
            <w:tcBorders>
              <w:top w:val="single" w:sz="4" w:space="0" w:color="000000"/>
              <w:left w:val="single" w:sz="4" w:space="0" w:color="000000"/>
              <w:bottom w:val="single" w:sz="4" w:space="0" w:color="000000"/>
              <w:right w:val="single" w:sz="4" w:space="0" w:color="000000"/>
            </w:tcBorders>
          </w:tcPr>
          <w:p w14:paraId="558D1EB3" w14:textId="48FB5914" w:rsidR="00093BA2" w:rsidRPr="001753CD" w:rsidRDefault="00C61193" w:rsidP="00093BA2">
            <w:pPr>
              <w:spacing w:after="0" w:line="271" w:lineRule="auto"/>
              <w:jc w:val="right"/>
              <w:rPr>
                <w:w w:val="100"/>
                <w:kern w:val="0"/>
                <w:sz w:val="18"/>
                <w:szCs w:val="18"/>
              </w:rPr>
            </w:pPr>
            <w:r>
              <w:rPr>
                <w:w w:val="100"/>
                <w:kern w:val="0"/>
                <w:sz w:val="18"/>
                <w:szCs w:val="18"/>
              </w:rPr>
              <w:t>+</w:t>
            </w:r>
            <w:r w:rsidR="00093BA2">
              <w:rPr>
                <w:w w:val="100"/>
                <w:kern w:val="0"/>
                <w:sz w:val="18"/>
                <w:szCs w:val="18"/>
              </w:rPr>
              <w:t>2.2</w:t>
            </w:r>
          </w:p>
        </w:tc>
        <w:tc>
          <w:tcPr>
            <w:tcW w:w="1779" w:type="dxa"/>
            <w:tcBorders>
              <w:top w:val="single" w:sz="4" w:space="0" w:color="000000"/>
              <w:left w:val="single" w:sz="4" w:space="0" w:color="000000"/>
              <w:bottom w:val="single" w:sz="4" w:space="0" w:color="000000"/>
              <w:right w:val="single" w:sz="4" w:space="0" w:color="000000"/>
            </w:tcBorders>
          </w:tcPr>
          <w:p w14:paraId="21DF992A" w14:textId="62682EA2" w:rsidR="00093BA2" w:rsidRPr="00C61193" w:rsidRDefault="00C61193" w:rsidP="00A83E20">
            <w:pPr>
              <w:pStyle w:val="Tablesmall"/>
              <w:rPr>
                <w:rFonts w:cs="Times New Roman"/>
              </w:rPr>
            </w:pPr>
            <w:r>
              <w:rPr>
                <w:rFonts w:cs="Times New Roman"/>
              </w:rPr>
              <w:t>N/A</w:t>
            </w:r>
          </w:p>
        </w:tc>
      </w:tr>
      <w:tr w:rsidR="00093BA2" w:rsidRPr="001753CD" w14:paraId="1FA5F303" w14:textId="77777777" w:rsidTr="003D36B6">
        <w:tc>
          <w:tcPr>
            <w:tcW w:w="959" w:type="dxa"/>
            <w:tcBorders>
              <w:top w:val="single" w:sz="4" w:space="0" w:color="000000"/>
              <w:left w:val="single" w:sz="4" w:space="0" w:color="000000"/>
              <w:bottom w:val="single" w:sz="4" w:space="0" w:color="000000"/>
              <w:right w:val="single" w:sz="4" w:space="0" w:color="000000"/>
            </w:tcBorders>
            <w:shd w:val="clear" w:color="auto" w:fill="auto"/>
          </w:tcPr>
          <w:p w14:paraId="168981FF" w14:textId="2B094373" w:rsidR="00093BA2" w:rsidRPr="00144272" w:rsidRDefault="00093BA2" w:rsidP="001753CD">
            <w:pPr>
              <w:spacing w:after="0"/>
              <w:jc w:val="center"/>
              <w:rPr>
                <w:w w:val="100"/>
                <w:kern w:val="0"/>
                <w:sz w:val="18"/>
                <w:szCs w:val="18"/>
              </w:rPr>
            </w:pPr>
            <w:r w:rsidRPr="00144272">
              <w:rPr>
                <w:rFonts w:asciiTheme="minorHAnsi" w:hAnsiTheme="minorHAnsi" w:cstheme="minorHAnsi"/>
                <w:sz w:val="18"/>
                <w:szCs w:val="20"/>
                <w:u w:val="single"/>
              </w:rPr>
              <w:t>PERSEC-4</w:t>
            </w:r>
          </w:p>
        </w:tc>
        <w:tc>
          <w:tcPr>
            <w:tcW w:w="3889" w:type="dxa"/>
            <w:tcBorders>
              <w:top w:val="single" w:sz="4" w:space="0" w:color="000000"/>
              <w:left w:val="single" w:sz="4" w:space="0" w:color="000000"/>
              <w:bottom w:val="single" w:sz="4" w:space="0" w:color="000000"/>
              <w:right w:val="single" w:sz="4" w:space="0" w:color="000000"/>
            </w:tcBorders>
            <w:shd w:val="clear" w:color="auto" w:fill="auto"/>
          </w:tcPr>
          <w:p w14:paraId="344CDAF8" w14:textId="1D6D4C40" w:rsidR="00093BA2" w:rsidRPr="00144272" w:rsidRDefault="00093BA2" w:rsidP="00A83E20">
            <w:pPr>
              <w:pStyle w:val="Tablesmall"/>
            </w:pPr>
            <w:r w:rsidRPr="00144272">
              <w:t>Entities must ensure their personnel with ongoing access to Australian Government security classified resources hold a security clearance at the appropriate level, sponsored by an Australian Government entity.</w:t>
            </w:r>
          </w:p>
        </w:tc>
        <w:tc>
          <w:tcPr>
            <w:tcW w:w="1276" w:type="dxa"/>
            <w:tcBorders>
              <w:top w:val="single" w:sz="4" w:space="0" w:color="000000"/>
              <w:left w:val="single" w:sz="4" w:space="0" w:color="000000"/>
              <w:bottom w:val="single" w:sz="4" w:space="0" w:color="000000"/>
              <w:right w:val="single" w:sz="4" w:space="0" w:color="000000"/>
            </w:tcBorders>
          </w:tcPr>
          <w:p w14:paraId="037932F1" w14:textId="530E90CC" w:rsidR="00093BA2" w:rsidRPr="001753CD" w:rsidRDefault="00FE3B20" w:rsidP="00093BA2">
            <w:pPr>
              <w:spacing w:after="0" w:line="271" w:lineRule="auto"/>
              <w:jc w:val="right"/>
              <w:rPr>
                <w:w w:val="100"/>
                <w:kern w:val="0"/>
                <w:sz w:val="18"/>
                <w:szCs w:val="18"/>
              </w:rPr>
            </w:pPr>
            <w:r>
              <w:rPr>
                <w:w w:val="100"/>
                <w:kern w:val="0"/>
                <w:sz w:val="18"/>
                <w:szCs w:val="18"/>
              </w:rPr>
              <w:t>85 (excl. 3 N/A)</w:t>
            </w:r>
          </w:p>
        </w:tc>
        <w:tc>
          <w:tcPr>
            <w:tcW w:w="850" w:type="dxa"/>
            <w:tcBorders>
              <w:top w:val="single" w:sz="4" w:space="0" w:color="000000"/>
              <w:left w:val="single" w:sz="4" w:space="0" w:color="000000"/>
              <w:bottom w:val="single" w:sz="4" w:space="0" w:color="000000"/>
              <w:right w:val="single" w:sz="4" w:space="0" w:color="000000"/>
            </w:tcBorders>
          </w:tcPr>
          <w:p w14:paraId="5BA3E8AB" w14:textId="44AF8D3A" w:rsidR="00093BA2" w:rsidRPr="00093BA2" w:rsidRDefault="00093BA2" w:rsidP="00093BA2">
            <w:pPr>
              <w:spacing w:after="0" w:line="271" w:lineRule="auto"/>
              <w:jc w:val="right"/>
              <w:rPr>
                <w:w w:val="100"/>
                <w:kern w:val="0"/>
                <w:sz w:val="18"/>
                <w:szCs w:val="18"/>
              </w:rPr>
            </w:pPr>
            <w:r w:rsidRPr="00093BA2">
              <w:rPr>
                <w:color w:val="000000"/>
                <w:sz w:val="18"/>
              </w:rPr>
              <w:t>90.4%</w:t>
            </w:r>
          </w:p>
        </w:tc>
        <w:tc>
          <w:tcPr>
            <w:tcW w:w="851" w:type="dxa"/>
            <w:tcBorders>
              <w:top w:val="single" w:sz="4" w:space="0" w:color="000000"/>
              <w:left w:val="single" w:sz="4" w:space="0" w:color="000000"/>
              <w:bottom w:val="single" w:sz="4" w:space="0" w:color="000000"/>
              <w:right w:val="single" w:sz="4" w:space="0" w:color="000000"/>
            </w:tcBorders>
          </w:tcPr>
          <w:p w14:paraId="3A21CCE6" w14:textId="61EEB416" w:rsidR="00093BA2" w:rsidRPr="001753CD" w:rsidRDefault="00093BA2" w:rsidP="00093BA2">
            <w:pPr>
              <w:spacing w:after="0" w:line="271" w:lineRule="auto"/>
              <w:jc w:val="right"/>
              <w:rPr>
                <w:w w:val="100"/>
                <w:kern w:val="0"/>
                <w:sz w:val="18"/>
                <w:szCs w:val="18"/>
              </w:rPr>
            </w:pPr>
            <w:r>
              <w:rPr>
                <w:w w:val="100"/>
                <w:kern w:val="0"/>
                <w:sz w:val="18"/>
                <w:szCs w:val="18"/>
              </w:rPr>
              <w:t>93.5%</w:t>
            </w:r>
          </w:p>
        </w:tc>
        <w:tc>
          <w:tcPr>
            <w:tcW w:w="930" w:type="dxa"/>
            <w:tcBorders>
              <w:top w:val="single" w:sz="4" w:space="0" w:color="000000"/>
              <w:left w:val="single" w:sz="4" w:space="0" w:color="000000"/>
              <w:bottom w:val="single" w:sz="4" w:space="0" w:color="000000"/>
              <w:right w:val="single" w:sz="4" w:space="0" w:color="000000"/>
            </w:tcBorders>
          </w:tcPr>
          <w:p w14:paraId="3DBE7928" w14:textId="27954624" w:rsidR="00093BA2" w:rsidRPr="001753CD" w:rsidRDefault="00093BA2" w:rsidP="00093BA2">
            <w:pPr>
              <w:spacing w:after="0" w:line="271" w:lineRule="auto"/>
              <w:jc w:val="right"/>
              <w:rPr>
                <w:w w:val="100"/>
                <w:kern w:val="0"/>
                <w:sz w:val="18"/>
                <w:szCs w:val="18"/>
              </w:rPr>
            </w:pPr>
            <w:r>
              <w:rPr>
                <w:w w:val="100"/>
                <w:kern w:val="0"/>
                <w:sz w:val="18"/>
                <w:szCs w:val="18"/>
              </w:rPr>
              <w:t>-3.1</w:t>
            </w:r>
          </w:p>
        </w:tc>
        <w:tc>
          <w:tcPr>
            <w:tcW w:w="1779" w:type="dxa"/>
            <w:tcBorders>
              <w:top w:val="single" w:sz="4" w:space="0" w:color="000000"/>
              <w:left w:val="single" w:sz="4" w:space="0" w:color="000000"/>
              <w:bottom w:val="single" w:sz="4" w:space="0" w:color="000000"/>
              <w:right w:val="single" w:sz="4" w:space="0" w:color="000000"/>
            </w:tcBorders>
          </w:tcPr>
          <w:p w14:paraId="4F3AD90F" w14:textId="51D1DE8F" w:rsidR="00093BA2" w:rsidRPr="00C61193" w:rsidRDefault="00C61193" w:rsidP="00A83E20">
            <w:pPr>
              <w:pStyle w:val="Tablesmall"/>
              <w:rPr>
                <w:rFonts w:cs="Times New Roman"/>
              </w:rPr>
            </w:pPr>
            <w:r>
              <w:rPr>
                <w:rFonts w:cs="Times New Roman"/>
              </w:rPr>
              <w:t>N/A</w:t>
            </w:r>
          </w:p>
        </w:tc>
      </w:tr>
      <w:tr w:rsidR="00093BA2" w:rsidRPr="001753CD" w14:paraId="230A9E3B" w14:textId="77777777" w:rsidTr="003D36B6">
        <w:tc>
          <w:tcPr>
            <w:tcW w:w="959" w:type="dxa"/>
            <w:tcBorders>
              <w:top w:val="single" w:sz="4" w:space="0" w:color="000000"/>
              <w:left w:val="single" w:sz="4" w:space="0" w:color="000000"/>
              <w:bottom w:val="single" w:sz="4" w:space="0" w:color="000000"/>
              <w:right w:val="single" w:sz="4" w:space="0" w:color="000000"/>
            </w:tcBorders>
            <w:shd w:val="clear" w:color="auto" w:fill="auto"/>
          </w:tcPr>
          <w:p w14:paraId="3C687668" w14:textId="16D4C0F4" w:rsidR="00093BA2" w:rsidRPr="00144272" w:rsidRDefault="00093BA2" w:rsidP="001753CD">
            <w:pPr>
              <w:spacing w:after="0"/>
              <w:jc w:val="center"/>
              <w:rPr>
                <w:w w:val="100"/>
                <w:kern w:val="0"/>
                <w:sz w:val="18"/>
                <w:szCs w:val="18"/>
              </w:rPr>
            </w:pPr>
            <w:r w:rsidRPr="00144272">
              <w:rPr>
                <w:rFonts w:asciiTheme="minorHAnsi" w:hAnsiTheme="minorHAnsi" w:cstheme="minorHAnsi"/>
                <w:sz w:val="18"/>
                <w:szCs w:val="20"/>
                <w:u w:val="single"/>
              </w:rPr>
              <w:t>PERSEC-5</w:t>
            </w:r>
          </w:p>
        </w:tc>
        <w:tc>
          <w:tcPr>
            <w:tcW w:w="3889" w:type="dxa"/>
            <w:tcBorders>
              <w:top w:val="single" w:sz="4" w:space="0" w:color="000000"/>
              <w:left w:val="single" w:sz="4" w:space="0" w:color="000000"/>
              <w:bottom w:val="single" w:sz="4" w:space="0" w:color="000000"/>
              <w:right w:val="single" w:sz="4" w:space="0" w:color="000000"/>
            </w:tcBorders>
            <w:shd w:val="clear" w:color="auto" w:fill="auto"/>
          </w:tcPr>
          <w:p w14:paraId="7AFB0995" w14:textId="77777777" w:rsidR="00093BA2" w:rsidRPr="00144272" w:rsidRDefault="00093BA2" w:rsidP="00A83E20">
            <w:pPr>
              <w:pStyle w:val="Tablesmall"/>
            </w:pPr>
            <w:r w:rsidRPr="00144272">
              <w:t>Before issuing an eligibility waiver (citizenship or checkable background) and prior to requesting an Australian Government security clearance an entity must:</w:t>
            </w:r>
          </w:p>
          <w:p w14:paraId="0BAB9B22" w14:textId="77777777" w:rsidR="00093BA2" w:rsidRPr="00A83E20" w:rsidRDefault="00093BA2" w:rsidP="00A83E20">
            <w:pPr>
              <w:pStyle w:val="Tablesmall"/>
              <w:numPr>
                <w:ilvl w:val="0"/>
                <w:numId w:val="24"/>
              </w:numPr>
            </w:pPr>
            <w:r w:rsidRPr="00A83E20">
              <w:t>justify an exceptional business requirement</w:t>
            </w:r>
          </w:p>
          <w:p w14:paraId="516B2085" w14:textId="77777777" w:rsidR="00093BA2" w:rsidRPr="00A83E20" w:rsidRDefault="00093BA2" w:rsidP="00A83E20">
            <w:pPr>
              <w:pStyle w:val="Tablesmall"/>
              <w:numPr>
                <w:ilvl w:val="0"/>
                <w:numId w:val="24"/>
              </w:numPr>
            </w:pPr>
            <w:r w:rsidRPr="00A83E20">
              <w:t>conduct and document a risk assessment</w:t>
            </w:r>
          </w:p>
          <w:p w14:paraId="15CB7EDD" w14:textId="77777777" w:rsidR="00093BA2" w:rsidRPr="00A83E20" w:rsidRDefault="00093BA2" w:rsidP="00A83E20">
            <w:pPr>
              <w:pStyle w:val="Tablesmall"/>
              <w:numPr>
                <w:ilvl w:val="0"/>
                <w:numId w:val="24"/>
              </w:numPr>
            </w:pPr>
            <w:r w:rsidRPr="00A83E20">
              <w:t>define the period covered by the waiver (which cannot be open-ended)</w:t>
            </w:r>
          </w:p>
          <w:p w14:paraId="3ACE9105" w14:textId="77777777" w:rsidR="00093BA2" w:rsidRPr="00A83E20" w:rsidRDefault="00093BA2" w:rsidP="00A83E20">
            <w:pPr>
              <w:pStyle w:val="Tablesmall"/>
              <w:numPr>
                <w:ilvl w:val="0"/>
                <w:numId w:val="24"/>
              </w:numPr>
            </w:pPr>
            <w:r w:rsidRPr="00A83E20">
              <w:t xml:space="preserve">gain agreement from the clearance applicant to meet the conditions of the waiver </w:t>
            </w:r>
          </w:p>
          <w:p w14:paraId="0E935617" w14:textId="219E3127" w:rsidR="00093BA2" w:rsidRPr="00144272" w:rsidRDefault="00093BA2" w:rsidP="00A83E20">
            <w:pPr>
              <w:pStyle w:val="Tablesmall"/>
              <w:numPr>
                <w:ilvl w:val="0"/>
                <w:numId w:val="24"/>
              </w:numPr>
            </w:pPr>
            <w:proofErr w:type="gramStart"/>
            <w:r w:rsidRPr="00A83E20">
              <w:t>consult</w:t>
            </w:r>
            <w:proofErr w:type="gramEnd"/>
            <w:r w:rsidRPr="00144272">
              <w:rPr>
                <w:rFonts w:asciiTheme="minorHAnsi" w:hAnsiTheme="minorHAnsi" w:cstheme="minorHAnsi"/>
                <w:szCs w:val="20"/>
              </w:rPr>
              <w:t xml:space="preserve"> with the vetting entity.</w:t>
            </w:r>
          </w:p>
        </w:tc>
        <w:tc>
          <w:tcPr>
            <w:tcW w:w="1276" w:type="dxa"/>
            <w:tcBorders>
              <w:top w:val="single" w:sz="4" w:space="0" w:color="000000"/>
              <w:left w:val="single" w:sz="4" w:space="0" w:color="000000"/>
              <w:bottom w:val="single" w:sz="4" w:space="0" w:color="000000"/>
              <w:right w:val="single" w:sz="4" w:space="0" w:color="000000"/>
            </w:tcBorders>
          </w:tcPr>
          <w:p w14:paraId="455A6FD2" w14:textId="70D5C46A" w:rsidR="00093BA2" w:rsidRPr="001753CD" w:rsidRDefault="00FE3B20" w:rsidP="00093BA2">
            <w:pPr>
              <w:spacing w:after="0" w:line="271" w:lineRule="auto"/>
              <w:jc w:val="right"/>
              <w:rPr>
                <w:w w:val="100"/>
                <w:kern w:val="0"/>
                <w:sz w:val="18"/>
                <w:szCs w:val="18"/>
              </w:rPr>
            </w:pPr>
            <w:r>
              <w:rPr>
                <w:w w:val="100"/>
                <w:kern w:val="0"/>
                <w:sz w:val="18"/>
                <w:szCs w:val="18"/>
              </w:rPr>
              <w:t>87 (excl. 5 N/A)</w:t>
            </w:r>
          </w:p>
        </w:tc>
        <w:tc>
          <w:tcPr>
            <w:tcW w:w="850" w:type="dxa"/>
            <w:tcBorders>
              <w:top w:val="single" w:sz="4" w:space="0" w:color="000000"/>
              <w:left w:val="single" w:sz="4" w:space="0" w:color="000000"/>
              <w:bottom w:val="single" w:sz="4" w:space="0" w:color="000000"/>
              <w:right w:val="single" w:sz="4" w:space="0" w:color="000000"/>
            </w:tcBorders>
          </w:tcPr>
          <w:p w14:paraId="39809F5C" w14:textId="1DC9D2B6" w:rsidR="00093BA2" w:rsidRPr="00093BA2" w:rsidRDefault="00093BA2" w:rsidP="00093BA2">
            <w:pPr>
              <w:spacing w:after="0" w:line="271" w:lineRule="auto"/>
              <w:jc w:val="right"/>
              <w:rPr>
                <w:w w:val="100"/>
                <w:kern w:val="0"/>
                <w:sz w:val="18"/>
                <w:szCs w:val="18"/>
              </w:rPr>
            </w:pPr>
            <w:r w:rsidRPr="00093BA2">
              <w:rPr>
                <w:color w:val="000000"/>
                <w:sz w:val="18"/>
              </w:rPr>
              <w:t>92.6%</w:t>
            </w:r>
          </w:p>
        </w:tc>
        <w:tc>
          <w:tcPr>
            <w:tcW w:w="851" w:type="dxa"/>
            <w:tcBorders>
              <w:top w:val="single" w:sz="4" w:space="0" w:color="000000"/>
              <w:left w:val="single" w:sz="4" w:space="0" w:color="000000"/>
              <w:bottom w:val="single" w:sz="4" w:space="0" w:color="000000"/>
              <w:right w:val="single" w:sz="4" w:space="0" w:color="000000"/>
            </w:tcBorders>
          </w:tcPr>
          <w:p w14:paraId="166E5E9F" w14:textId="1D7FA4BC" w:rsidR="00093BA2" w:rsidRPr="001753CD" w:rsidRDefault="00093BA2" w:rsidP="00093BA2">
            <w:pPr>
              <w:spacing w:after="0" w:line="271" w:lineRule="auto"/>
              <w:jc w:val="right"/>
              <w:rPr>
                <w:w w:val="100"/>
                <w:kern w:val="0"/>
                <w:sz w:val="18"/>
                <w:szCs w:val="18"/>
              </w:rPr>
            </w:pPr>
            <w:r>
              <w:rPr>
                <w:w w:val="100"/>
                <w:kern w:val="0"/>
                <w:sz w:val="18"/>
                <w:szCs w:val="18"/>
              </w:rPr>
              <w:t>90.3%</w:t>
            </w:r>
          </w:p>
        </w:tc>
        <w:tc>
          <w:tcPr>
            <w:tcW w:w="930" w:type="dxa"/>
            <w:tcBorders>
              <w:top w:val="single" w:sz="4" w:space="0" w:color="000000"/>
              <w:left w:val="single" w:sz="4" w:space="0" w:color="000000"/>
              <w:bottom w:val="single" w:sz="4" w:space="0" w:color="000000"/>
              <w:right w:val="single" w:sz="4" w:space="0" w:color="000000"/>
            </w:tcBorders>
          </w:tcPr>
          <w:p w14:paraId="2330B734" w14:textId="48F3B88A" w:rsidR="00093BA2" w:rsidRPr="001753CD" w:rsidRDefault="00C61193" w:rsidP="00093BA2">
            <w:pPr>
              <w:spacing w:after="0" w:line="271" w:lineRule="auto"/>
              <w:jc w:val="right"/>
              <w:rPr>
                <w:w w:val="100"/>
                <w:kern w:val="0"/>
                <w:sz w:val="18"/>
                <w:szCs w:val="18"/>
              </w:rPr>
            </w:pPr>
            <w:r>
              <w:rPr>
                <w:w w:val="100"/>
                <w:kern w:val="0"/>
                <w:sz w:val="18"/>
                <w:szCs w:val="18"/>
              </w:rPr>
              <w:t>+</w:t>
            </w:r>
            <w:r w:rsidR="00093BA2">
              <w:rPr>
                <w:w w:val="100"/>
                <w:kern w:val="0"/>
                <w:sz w:val="18"/>
                <w:szCs w:val="18"/>
              </w:rPr>
              <w:t>2.3</w:t>
            </w:r>
          </w:p>
        </w:tc>
        <w:tc>
          <w:tcPr>
            <w:tcW w:w="1779" w:type="dxa"/>
            <w:tcBorders>
              <w:top w:val="single" w:sz="4" w:space="0" w:color="000000"/>
              <w:left w:val="single" w:sz="4" w:space="0" w:color="000000"/>
              <w:bottom w:val="single" w:sz="4" w:space="0" w:color="000000"/>
              <w:right w:val="single" w:sz="4" w:space="0" w:color="000000"/>
            </w:tcBorders>
          </w:tcPr>
          <w:p w14:paraId="1EF11DA2" w14:textId="7B53E864" w:rsidR="00093BA2" w:rsidRPr="00C61193" w:rsidRDefault="00C61193" w:rsidP="00A83E20">
            <w:pPr>
              <w:pStyle w:val="Tablesmall"/>
              <w:rPr>
                <w:rFonts w:cs="Times New Roman"/>
              </w:rPr>
            </w:pPr>
            <w:r>
              <w:rPr>
                <w:rFonts w:cs="Times New Roman"/>
              </w:rPr>
              <w:t>N/A</w:t>
            </w:r>
          </w:p>
        </w:tc>
      </w:tr>
      <w:tr w:rsidR="00093BA2" w:rsidRPr="001753CD" w14:paraId="54F07DAC" w14:textId="77777777" w:rsidTr="003D36B6">
        <w:tc>
          <w:tcPr>
            <w:tcW w:w="959" w:type="dxa"/>
            <w:tcBorders>
              <w:top w:val="single" w:sz="4" w:space="0" w:color="000000"/>
              <w:left w:val="single" w:sz="4" w:space="0" w:color="000000"/>
              <w:bottom w:val="single" w:sz="4" w:space="0" w:color="000000"/>
              <w:right w:val="single" w:sz="4" w:space="0" w:color="000000"/>
            </w:tcBorders>
            <w:shd w:val="clear" w:color="auto" w:fill="auto"/>
          </w:tcPr>
          <w:p w14:paraId="6964F0C2" w14:textId="14FB6C37" w:rsidR="00093BA2" w:rsidRPr="00144272" w:rsidRDefault="00093BA2" w:rsidP="001753CD">
            <w:pPr>
              <w:spacing w:after="0"/>
              <w:jc w:val="center"/>
              <w:rPr>
                <w:w w:val="100"/>
                <w:kern w:val="0"/>
                <w:sz w:val="18"/>
                <w:szCs w:val="18"/>
              </w:rPr>
            </w:pPr>
            <w:r w:rsidRPr="00144272">
              <w:rPr>
                <w:rFonts w:asciiTheme="minorHAnsi" w:hAnsiTheme="minorHAnsi" w:cstheme="minorHAnsi"/>
                <w:sz w:val="18"/>
                <w:szCs w:val="20"/>
                <w:u w:val="single"/>
              </w:rPr>
              <w:t>PERSEC-6</w:t>
            </w:r>
          </w:p>
        </w:tc>
        <w:tc>
          <w:tcPr>
            <w:tcW w:w="3889" w:type="dxa"/>
            <w:tcBorders>
              <w:top w:val="single" w:sz="4" w:space="0" w:color="000000"/>
              <w:left w:val="single" w:sz="4" w:space="0" w:color="000000"/>
              <w:bottom w:val="single" w:sz="4" w:space="0" w:color="000000"/>
              <w:right w:val="single" w:sz="4" w:space="0" w:color="000000"/>
            </w:tcBorders>
            <w:shd w:val="clear" w:color="auto" w:fill="auto"/>
          </w:tcPr>
          <w:p w14:paraId="60752C93" w14:textId="0C734476" w:rsidR="00093BA2" w:rsidRPr="00144272" w:rsidRDefault="00093BA2" w:rsidP="00A83E20">
            <w:pPr>
              <w:pStyle w:val="Tablesmall"/>
            </w:pPr>
            <w:r w:rsidRPr="00144272">
              <w:rPr>
                <w:rStyle w:val="Strong"/>
                <w:rFonts w:asciiTheme="minorHAnsi" w:hAnsiTheme="minorHAnsi"/>
                <w:b w:val="0"/>
                <w:szCs w:val="20"/>
              </w:rPr>
              <w:t>Entities, other than authorised vetting entities, must use the Australian Government Security Vetting Entity (AGSVA) to conduct initial vetting and reviews.</w:t>
            </w:r>
          </w:p>
        </w:tc>
        <w:tc>
          <w:tcPr>
            <w:tcW w:w="1276" w:type="dxa"/>
            <w:tcBorders>
              <w:top w:val="single" w:sz="4" w:space="0" w:color="000000"/>
              <w:left w:val="single" w:sz="4" w:space="0" w:color="000000"/>
              <w:bottom w:val="single" w:sz="4" w:space="0" w:color="000000"/>
              <w:right w:val="single" w:sz="4" w:space="0" w:color="000000"/>
            </w:tcBorders>
          </w:tcPr>
          <w:p w14:paraId="0A3BE50A" w14:textId="53DCFC56" w:rsidR="00093BA2" w:rsidRPr="001753CD" w:rsidRDefault="00FE3B20" w:rsidP="00093BA2">
            <w:pPr>
              <w:spacing w:after="0" w:line="271" w:lineRule="auto"/>
              <w:jc w:val="right"/>
              <w:rPr>
                <w:w w:val="100"/>
                <w:kern w:val="0"/>
                <w:sz w:val="18"/>
                <w:szCs w:val="18"/>
              </w:rPr>
            </w:pPr>
            <w:r>
              <w:rPr>
                <w:w w:val="100"/>
                <w:kern w:val="0"/>
                <w:sz w:val="18"/>
                <w:szCs w:val="18"/>
              </w:rPr>
              <w:t>93 (excl. 1 N/A)</w:t>
            </w:r>
          </w:p>
        </w:tc>
        <w:tc>
          <w:tcPr>
            <w:tcW w:w="850" w:type="dxa"/>
            <w:tcBorders>
              <w:top w:val="single" w:sz="4" w:space="0" w:color="000000"/>
              <w:left w:val="single" w:sz="4" w:space="0" w:color="000000"/>
              <w:bottom w:val="single" w:sz="4" w:space="0" w:color="000000"/>
              <w:right w:val="single" w:sz="4" w:space="0" w:color="000000"/>
            </w:tcBorders>
          </w:tcPr>
          <w:p w14:paraId="36CE57BF" w14:textId="62A549CF" w:rsidR="00093BA2" w:rsidRPr="00093BA2" w:rsidRDefault="00093BA2" w:rsidP="00093BA2">
            <w:pPr>
              <w:spacing w:after="0" w:line="271" w:lineRule="auto"/>
              <w:jc w:val="right"/>
              <w:rPr>
                <w:w w:val="100"/>
                <w:kern w:val="0"/>
                <w:sz w:val="18"/>
                <w:szCs w:val="18"/>
              </w:rPr>
            </w:pPr>
            <w:r w:rsidRPr="00093BA2">
              <w:rPr>
                <w:color w:val="000000"/>
                <w:sz w:val="18"/>
              </w:rPr>
              <w:t>98.9%</w:t>
            </w:r>
          </w:p>
        </w:tc>
        <w:tc>
          <w:tcPr>
            <w:tcW w:w="851" w:type="dxa"/>
            <w:tcBorders>
              <w:top w:val="single" w:sz="4" w:space="0" w:color="000000"/>
              <w:left w:val="single" w:sz="4" w:space="0" w:color="000000"/>
              <w:bottom w:val="single" w:sz="4" w:space="0" w:color="000000"/>
              <w:right w:val="single" w:sz="4" w:space="0" w:color="000000"/>
            </w:tcBorders>
          </w:tcPr>
          <w:p w14:paraId="25090D2F" w14:textId="1F070593" w:rsidR="00093BA2" w:rsidRPr="001753CD" w:rsidRDefault="00093BA2" w:rsidP="00093BA2">
            <w:pPr>
              <w:spacing w:after="0" w:line="271" w:lineRule="auto"/>
              <w:jc w:val="right"/>
              <w:rPr>
                <w:w w:val="100"/>
                <w:kern w:val="0"/>
                <w:sz w:val="18"/>
                <w:szCs w:val="18"/>
              </w:rPr>
            </w:pPr>
            <w:r>
              <w:rPr>
                <w:w w:val="100"/>
                <w:kern w:val="0"/>
                <w:sz w:val="18"/>
                <w:szCs w:val="18"/>
              </w:rPr>
              <w:t>97.8%</w:t>
            </w:r>
          </w:p>
        </w:tc>
        <w:tc>
          <w:tcPr>
            <w:tcW w:w="930" w:type="dxa"/>
            <w:tcBorders>
              <w:top w:val="single" w:sz="4" w:space="0" w:color="000000"/>
              <w:left w:val="single" w:sz="4" w:space="0" w:color="000000"/>
              <w:bottom w:val="single" w:sz="4" w:space="0" w:color="000000"/>
              <w:right w:val="single" w:sz="4" w:space="0" w:color="000000"/>
            </w:tcBorders>
          </w:tcPr>
          <w:p w14:paraId="674B92E6" w14:textId="564FA82D" w:rsidR="00093BA2" w:rsidRPr="001753CD" w:rsidRDefault="00C61193" w:rsidP="00093BA2">
            <w:pPr>
              <w:spacing w:after="0" w:line="271" w:lineRule="auto"/>
              <w:jc w:val="right"/>
              <w:rPr>
                <w:w w:val="100"/>
                <w:kern w:val="0"/>
                <w:sz w:val="18"/>
                <w:szCs w:val="18"/>
              </w:rPr>
            </w:pPr>
            <w:r>
              <w:rPr>
                <w:w w:val="100"/>
                <w:kern w:val="0"/>
                <w:sz w:val="18"/>
                <w:szCs w:val="18"/>
              </w:rPr>
              <w:t>+</w:t>
            </w:r>
            <w:r w:rsidR="00093BA2">
              <w:rPr>
                <w:w w:val="100"/>
                <w:kern w:val="0"/>
                <w:sz w:val="18"/>
                <w:szCs w:val="18"/>
              </w:rPr>
              <w:t>1.1</w:t>
            </w:r>
          </w:p>
        </w:tc>
        <w:tc>
          <w:tcPr>
            <w:tcW w:w="1779" w:type="dxa"/>
            <w:tcBorders>
              <w:top w:val="single" w:sz="4" w:space="0" w:color="000000"/>
              <w:left w:val="single" w:sz="4" w:space="0" w:color="000000"/>
              <w:bottom w:val="single" w:sz="4" w:space="0" w:color="000000"/>
              <w:right w:val="single" w:sz="4" w:space="0" w:color="000000"/>
            </w:tcBorders>
          </w:tcPr>
          <w:p w14:paraId="594F5EB0" w14:textId="5D07395D" w:rsidR="00093BA2" w:rsidRPr="00C61193" w:rsidRDefault="00C61193" w:rsidP="00A83E20">
            <w:pPr>
              <w:pStyle w:val="Tablesmall"/>
              <w:rPr>
                <w:rFonts w:cs="Times New Roman"/>
              </w:rPr>
            </w:pPr>
            <w:r>
              <w:rPr>
                <w:rFonts w:cs="Times New Roman"/>
              </w:rPr>
              <w:t>N/A</w:t>
            </w:r>
          </w:p>
        </w:tc>
      </w:tr>
      <w:tr w:rsidR="00093BA2" w:rsidRPr="001753CD" w14:paraId="080011FD" w14:textId="77777777" w:rsidTr="003D36B6">
        <w:tc>
          <w:tcPr>
            <w:tcW w:w="959" w:type="dxa"/>
            <w:tcBorders>
              <w:top w:val="single" w:sz="4" w:space="0" w:color="000000"/>
              <w:left w:val="single" w:sz="4" w:space="0" w:color="000000"/>
              <w:bottom w:val="single" w:sz="4" w:space="0" w:color="000000"/>
              <w:right w:val="single" w:sz="4" w:space="0" w:color="000000"/>
            </w:tcBorders>
            <w:shd w:val="clear" w:color="auto" w:fill="auto"/>
          </w:tcPr>
          <w:p w14:paraId="2912135E" w14:textId="6BACF82A" w:rsidR="00093BA2" w:rsidRPr="00144272" w:rsidRDefault="00093BA2" w:rsidP="001753CD">
            <w:pPr>
              <w:spacing w:after="0"/>
              <w:jc w:val="center"/>
              <w:rPr>
                <w:w w:val="100"/>
                <w:kern w:val="0"/>
                <w:sz w:val="18"/>
                <w:szCs w:val="18"/>
              </w:rPr>
            </w:pPr>
            <w:r w:rsidRPr="00144272">
              <w:rPr>
                <w:rFonts w:asciiTheme="minorHAnsi" w:hAnsiTheme="minorHAnsi" w:cstheme="minorHAnsi"/>
                <w:sz w:val="18"/>
                <w:szCs w:val="20"/>
                <w:u w:val="single"/>
              </w:rPr>
              <w:t>PERSEC-7</w:t>
            </w:r>
          </w:p>
        </w:tc>
        <w:tc>
          <w:tcPr>
            <w:tcW w:w="3889" w:type="dxa"/>
            <w:tcBorders>
              <w:top w:val="single" w:sz="4" w:space="0" w:color="000000"/>
              <w:left w:val="single" w:sz="4" w:space="0" w:color="000000"/>
              <w:bottom w:val="single" w:sz="4" w:space="0" w:color="000000"/>
              <w:right w:val="single" w:sz="4" w:space="0" w:color="000000"/>
            </w:tcBorders>
            <w:shd w:val="clear" w:color="auto" w:fill="auto"/>
          </w:tcPr>
          <w:p w14:paraId="357DB57F" w14:textId="65B94244" w:rsidR="00093BA2" w:rsidRPr="00144272" w:rsidRDefault="00093BA2" w:rsidP="00A83E20">
            <w:pPr>
              <w:pStyle w:val="Tablesmall"/>
            </w:pPr>
            <w:r w:rsidRPr="00144272">
              <w:rPr>
                <w:color w:val="000000"/>
                <w:lang w:val="en-US"/>
              </w:rPr>
              <w:t>Entities must establish, implement and maintain security clearance policies and procedures for clearance maintenance in their entities.</w:t>
            </w:r>
          </w:p>
        </w:tc>
        <w:tc>
          <w:tcPr>
            <w:tcW w:w="1276" w:type="dxa"/>
            <w:tcBorders>
              <w:top w:val="single" w:sz="4" w:space="0" w:color="000000"/>
              <w:left w:val="single" w:sz="4" w:space="0" w:color="000000"/>
              <w:bottom w:val="single" w:sz="4" w:space="0" w:color="000000"/>
              <w:right w:val="single" w:sz="4" w:space="0" w:color="000000"/>
            </w:tcBorders>
          </w:tcPr>
          <w:p w14:paraId="32A89364" w14:textId="7ACDA6DA" w:rsidR="00093BA2" w:rsidRPr="001753CD" w:rsidRDefault="00FE3B20" w:rsidP="00093BA2">
            <w:pPr>
              <w:spacing w:after="0" w:line="271" w:lineRule="auto"/>
              <w:jc w:val="right"/>
              <w:rPr>
                <w:w w:val="100"/>
                <w:kern w:val="0"/>
                <w:sz w:val="18"/>
                <w:szCs w:val="18"/>
              </w:rPr>
            </w:pPr>
            <w:r>
              <w:rPr>
                <w:w w:val="100"/>
                <w:kern w:val="0"/>
                <w:sz w:val="18"/>
                <w:szCs w:val="18"/>
              </w:rPr>
              <w:t>84 (excl. 1 N/A)</w:t>
            </w:r>
          </w:p>
        </w:tc>
        <w:tc>
          <w:tcPr>
            <w:tcW w:w="850" w:type="dxa"/>
            <w:tcBorders>
              <w:top w:val="single" w:sz="4" w:space="0" w:color="000000"/>
              <w:left w:val="single" w:sz="4" w:space="0" w:color="000000"/>
              <w:bottom w:val="single" w:sz="4" w:space="0" w:color="000000"/>
              <w:right w:val="single" w:sz="4" w:space="0" w:color="000000"/>
            </w:tcBorders>
          </w:tcPr>
          <w:p w14:paraId="082B3D65" w14:textId="7A0D8527" w:rsidR="00093BA2" w:rsidRPr="00093BA2" w:rsidRDefault="00093BA2" w:rsidP="00093BA2">
            <w:pPr>
              <w:spacing w:after="0" w:line="271" w:lineRule="auto"/>
              <w:jc w:val="right"/>
              <w:rPr>
                <w:w w:val="100"/>
                <w:kern w:val="0"/>
                <w:sz w:val="18"/>
                <w:szCs w:val="18"/>
              </w:rPr>
            </w:pPr>
            <w:r w:rsidRPr="00093BA2">
              <w:rPr>
                <w:color w:val="000000"/>
                <w:sz w:val="18"/>
              </w:rPr>
              <w:t>89.4%</w:t>
            </w:r>
          </w:p>
        </w:tc>
        <w:tc>
          <w:tcPr>
            <w:tcW w:w="851" w:type="dxa"/>
            <w:tcBorders>
              <w:top w:val="single" w:sz="4" w:space="0" w:color="000000"/>
              <w:left w:val="single" w:sz="4" w:space="0" w:color="000000"/>
              <w:bottom w:val="single" w:sz="4" w:space="0" w:color="000000"/>
              <w:right w:val="single" w:sz="4" w:space="0" w:color="000000"/>
            </w:tcBorders>
          </w:tcPr>
          <w:p w14:paraId="7DDF0BE7" w14:textId="6B6D9624" w:rsidR="00093BA2" w:rsidRPr="001753CD" w:rsidRDefault="00093BA2" w:rsidP="00093BA2">
            <w:pPr>
              <w:spacing w:after="0" w:line="271" w:lineRule="auto"/>
              <w:jc w:val="right"/>
              <w:rPr>
                <w:w w:val="100"/>
                <w:kern w:val="0"/>
                <w:sz w:val="18"/>
                <w:szCs w:val="18"/>
              </w:rPr>
            </w:pPr>
            <w:r>
              <w:rPr>
                <w:w w:val="100"/>
                <w:kern w:val="0"/>
                <w:sz w:val="18"/>
                <w:szCs w:val="18"/>
              </w:rPr>
              <w:t>88.2%</w:t>
            </w:r>
          </w:p>
        </w:tc>
        <w:tc>
          <w:tcPr>
            <w:tcW w:w="930" w:type="dxa"/>
            <w:tcBorders>
              <w:top w:val="single" w:sz="4" w:space="0" w:color="000000"/>
              <w:left w:val="single" w:sz="4" w:space="0" w:color="000000"/>
              <w:bottom w:val="single" w:sz="4" w:space="0" w:color="000000"/>
              <w:right w:val="single" w:sz="4" w:space="0" w:color="000000"/>
            </w:tcBorders>
          </w:tcPr>
          <w:p w14:paraId="70D8904E" w14:textId="3BC02B73" w:rsidR="00093BA2" w:rsidRPr="001753CD" w:rsidRDefault="00C61193" w:rsidP="00093BA2">
            <w:pPr>
              <w:spacing w:after="0" w:line="271" w:lineRule="auto"/>
              <w:jc w:val="right"/>
              <w:rPr>
                <w:w w:val="100"/>
                <w:kern w:val="0"/>
                <w:sz w:val="18"/>
                <w:szCs w:val="18"/>
              </w:rPr>
            </w:pPr>
            <w:r>
              <w:rPr>
                <w:w w:val="100"/>
                <w:kern w:val="0"/>
                <w:sz w:val="18"/>
                <w:szCs w:val="18"/>
              </w:rPr>
              <w:t>+</w:t>
            </w:r>
            <w:r w:rsidR="00093BA2">
              <w:rPr>
                <w:w w:val="100"/>
                <w:kern w:val="0"/>
                <w:sz w:val="18"/>
                <w:szCs w:val="18"/>
              </w:rPr>
              <w:t>1.2</w:t>
            </w:r>
          </w:p>
        </w:tc>
        <w:tc>
          <w:tcPr>
            <w:tcW w:w="1779" w:type="dxa"/>
            <w:tcBorders>
              <w:top w:val="single" w:sz="4" w:space="0" w:color="000000"/>
              <w:left w:val="single" w:sz="4" w:space="0" w:color="000000"/>
              <w:bottom w:val="single" w:sz="4" w:space="0" w:color="000000"/>
              <w:right w:val="single" w:sz="4" w:space="0" w:color="000000"/>
            </w:tcBorders>
          </w:tcPr>
          <w:p w14:paraId="3F24F60C" w14:textId="79309A58" w:rsidR="00093BA2" w:rsidRPr="00C61193" w:rsidRDefault="00C61193" w:rsidP="00A83E20">
            <w:pPr>
              <w:pStyle w:val="Tablesmall"/>
              <w:rPr>
                <w:rFonts w:cs="Times New Roman"/>
              </w:rPr>
            </w:pPr>
            <w:r>
              <w:rPr>
                <w:rFonts w:cs="Times New Roman"/>
              </w:rPr>
              <w:t>N/A</w:t>
            </w:r>
          </w:p>
        </w:tc>
      </w:tr>
      <w:tr w:rsidR="00093BA2" w:rsidRPr="001753CD" w14:paraId="1F189B4D" w14:textId="77777777" w:rsidTr="003D36B6">
        <w:tc>
          <w:tcPr>
            <w:tcW w:w="959" w:type="dxa"/>
            <w:tcBorders>
              <w:top w:val="single" w:sz="4" w:space="0" w:color="000000"/>
              <w:left w:val="single" w:sz="4" w:space="0" w:color="000000"/>
              <w:bottom w:val="single" w:sz="4" w:space="0" w:color="000000"/>
              <w:right w:val="single" w:sz="4" w:space="0" w:color="000000"/>
            </w:tcBorders>
            <w:shd w:val="clear" w:color="auto" w:fill="auto"/>
          </w:tcPr>
          <w:p w14:paraId="05BED268" w14:textId="73231A57" w:rsidR="00093BA2" w:rsidRPr="00144272" w:rsidRDefault="00093BA2" w:rsidP="001753CD">
            <w:pPr>
              <w:spacing w:after="0"/>
              <w:jc w:val="center"/>
              <w:rPr>
                <w:w w:val="100"/>
                <w:kern w:val="0"/>
                <w:sz w:val="18"/>
                <w:szCs w:val="18"/>
              </w:rPr>
            </w:pPr>
            <w:r w:rsidRPr="00144272">
              <w:rPr>
                <w:rFonts w:asciiTheme="minorHAnsi" w:hAnsiTheme="minorHAnsi" w:cstheme="minorHAnsi"/>
                <w:sz w:val="18"/>
                <w:szCs w:val="20"/>
                <w:u w:val="single"/>
              </w:rPr>
              <w:t>PERSEC-8</w:t>
            </w:r>
          </w:p>
        </w:tc>
        <w:tc>
          <w:tcPr>
            <w:tcW w:w="3889" w:type="dxa"/>
            <w:tcBorders>
              <w:top w:val="single" w:sz="4" w:space="0" w:color="000000"/>
              <w:left w:val="single" w:sz="4" w:space="0" w:color="000000"/>
              <w:bottom w:val="single" w:sz="4" w:space="0" w:color="000000"/>
              <w:right w:val="single" w:sz="4" w:space="0" w:color="000000"/>
            </w:tcBorders>
            <w:shd w:val="clear" w:color="auto" w:fill="auto"/>
          </w:tcPr>
          <w:p w14:paraId="049A9BCE" w14:textId="24B68327" w:rsidR="00093BA2" w:rsidRPr="00144272" w:rsidRDefault="00093BA2" w:rsidP="00A83E20">
            <w:pPr>
              <w:pStyle w:val="Tablesmall"/>
            </w:pPr>
            <w:r w:rsidRPr="00144272">
              <w:rPr>
                <w:color w:val="000000"/>
                <w:lang w:val="en-US"/>
              </w:rPr>
              <w:t>Entities and vetting entities must share information that may impact on an individual’s ongoing suitability to hold an Australian Government security clearance.</w:t>
            </w:r>
          </w:p>
        </w:tc>
        <w:tc>
          <w:tcPr>
            <w:tcW w:w="1276" w:type="dxa"/>
            <w:tcBorders>
              <w:top w:val="single" w:sz="4" w:space="0" w:color="000000"/>
              <w:left w:val="single" w:sz="4" w:space="0" w:color="000000"/>
              <w:bottom w:val="single" w:sz="4" w:space="0" w:color="000000"/>
              <w:right w:val="single" w:sz="4" w:space="0" w:color="000000"/>
            </w:tcBorders>
          </w:tcPr>
          <w:p w14:paraId="3A57CDE8" w14:textId="58856D8C" w:rsidR="00093BA2" w:rsidRPr="001753CD" w:rsidRDefault="00FE3B20" w:rsidP="00093BA2">
            <w:pPr>
              <w:spacing w:after="0" w:line="271" w:lineRule="auto"/>
              <w:jc w:val="right"/>
              <w:rPr>
                <w:w w:val="100"/>
                <w:kern w:val="0"/>
                <w:sz w:val="18"/>
                <w:szCs w:val="18"/>
              </w:rPr>
            </w:pPr>
            <w:r>
              <w:rPr>
                <w:w w:val="100"/>
                <w:kern w:val="0"/>
                <w:sz w:val="18"/>
                <w:szCs w:val="18"/>
              </w:rPr>
              <w:t>91 (excl. 1 N/A)</w:t>
            </w:r>
          </w:p>
        </w:tc>
        <w:tc>
          <w:tcPr>
            <w:tcW w:w="850" w:type="dxa"/>
            <w:tcBorders>
              <w:top w:val="single" w:sz="4" w:space="0" w:color="000000"/>
              <w:left w:val="single" w:sz="4" w:space="0" w:color="000000"/>
              <w:bottom w:val="single" w:sz="4" w:space="0" w:color="000000"/>
              <w:right w:val="single" w:sz="4" w:space="0" w:color="000000"/>
            </w:tcBorders>
          </w:tcPr>
          <w:p w14:paraId="55830D3B" w14:textId="73BA2C24" w:rsidR="00093BA2" w:rsidRPr="00093BA2" w:rsidRDefault="00093BA2" w:rsidP="00093BA2">
            <w:pPr>
              <w:spacing w:after="0" w:line="271" w:lineRule="auto"/>
              <w:jc w:val="right"/>
              <w:rPr>
                <w:w w:val="100"/>
                <w:kern w:val="0"/>
                <w:sz w:val="18"/>
                <w:szCs w:val="18"/>
              </w:rPr>
            </w:pPr>
            <w:r w:rsidRPr="00093BA2">
              <w:rPr>
                <w:color w:val="000000"/>
                <w:sz w:val="18"/>
              </w:rPr>
              <w:t>96.8%</w:t>
            </w:r>
          </w:p>
        </w:tc>
        <w:tc>
          <w:tcPr>
            <w:tcW w:w="851" w:type="dxa"/>
            <w:tcBorders>
              <w:top w:val="single" w:sz="4" w:space="0" w:color="000000"/>
              <w:left w:val="single" w:sz="4" w:space="0" w:color="000000"/>
              <w:bottom w:val="single" w:sz="4" w:space="0" w:color="000000"/>
              <w:right w:val="single" w:sz="4" w:space="0" w:color="000000"/>
            </w:tcBorders>
          </w:tcPr>
          <w:p w14:paraId="1F9F6302" w14:textId="6625D6B1" w:rsidR="00093BA2" w:rsidRPr="001753CD" w:rsidRDefault="00093BA2" w:rsidP="00093BA2">
            <w:pPr>
              <w:spacing w:after="0" w:line="271" w:lineRule="auto"/>
              <w:jc w:val="right"/>
              <w:rPr>
                <w:w w:val="100"/>
                <w:kern w:val="0"/>
                <w:sz w:val="18"/>
                <w:szCs w:val="18"/>
              </w:rPr>
            </w:pPr>
            <w:r>
              <w:rPr>
                <w:w w:val="100"/>
                <w:kern w:val="0"/>
                <w:sz w:val="18"/>
                <w:szCs w:val="18"/>
              </w:rPr>
              <w:t>95.7%</w:t>
            </w:r>
          </w:p>
        </w:tc>
        <w:tc>
          <w:tcPr>
            <w:tcW w:w="930" w:type="dxa"/>
            <w:tcBorders>
              <w:top w:val="single" w:sz="4" w:space="0" w:color="000000"/>
              <w:left w:val="single" w:sz="4" w:space="0" w:color="000000"/>
              <w:bottom w:val="single" w:sz="4" w:space="0" w:color="000000"/>
              <w:right w:val="single" w:sz="4" w:space="0" w:color="000000"/>
            </w:tcBorders>
          </w:tcPr>
          <w:p w14:paraId="40A5FDA5" w14:textId="12D62117" w:rsidR="00093BA2" w:rsidRPr="001753CD" w:rsidRDefault="00C61193" w:rsidP="00093BA2">
            <w:pPr>
              <w:spacing w:after="0" w:line="271" w:lineRule="auto"/>
              <w:jc w:val="right"/>
              <w:rPr>
                <w:w w:val="100"/>
                <w:kern w:val="0"/>
                <w:sz w:val="18"/>
                <w:szCs w:val="18"/>
              </w:rPr>
            </w:pPr>
            <w:r>
              <w:rPr>
                <w:w w:val="100"/>
                <w:kern w:val="0"/>
                <w:sz w:val="18"/>
                <w:szCs w:val="18"/>
              </w:rPr>
              <w:t>+</w:t>
            </w:r>
            <w:r w:rsidR="00093BA2">
              <w:rPr>
                <w:w w:val="100"/>
                <w:kern w:val="0"/>
                <w:sz w:val="18"/>
                <w:szCs w:val="18"/>
              </w:rPr>
              <w:t>1.1</w:t>
            </w:r>
          </w:p>
        </w:tc>
        <w:tc>
          <w:tcPr>
            <w:tcW w:w="1779" w:type="dxa"/>
            <w:tcBorders>
              <w:top w:val="single" w:sz="4" w:space="0" w:color="000000"/>
              <w:left w:val="single" w:sz="4" w:space="0" w:color="000000"/>
              <w:bottom w:val="single" w:sz="4" w:space="0" w:color="000000"/>
              <w:right w:val="single" w:sz="4" w:space="0" w:color="000000"/>
            </w:tcBorders>
          </w:tcPr>
          <w:p w14:paraId="3B008C71" w14:textId="589E21F2" w:rsidR="00093BA2" w:rsidRPr="00C61193" w:rsidRDefault="00C61193" w:rsidP="00A83E20">
            <w:pPr>
              <w:pStyle w:val="Tablesmall"/>
              <w:rPr>
                <w:rFonts w:cs="Times New Roman"/>
              </w:rPr>
            </w:pPr>
            <w:r>
              <w:rPr>
                <w:rFonts w:cs="Times New Roman"/>
              </w:rPr>
              <w:t>N/A</w:t>
            </w:r>
          </w:p>
        </w:tc>
      </w:tr>
      <w:tr w:rsidR="00093BA2" w:rsidRPr="001753CD" w14:paraId="087BF1B2" w14:textId="77777777" w:rsidTr="003D36B6">
        <w:tc>
          <w:tcPr>
            <w:tcW w:w="959" w:type="dxa"/>
            <w:tcBorders>
              <w:top w:val="single" w:sz="4" w:space="0" w:color="000000"/>
              <w:left w:val="single" w:sz="4" w:space="0" w:color="000000"/>
              <w:bottom w:val="single" w:sz="4" w:space="0" w:color="000000"/>
              <w:right w:val="single" w:sz="4" w:space="0" w:color="000000"/>
            </w:tcBorders>
            <w:shd w:val="clear" w:color="auto" w:fill="auto"/>
          </w:tcPr>
          <w:p w14:paraId="0E0AA10F" w14:textId="33202181" w:rsidR="00093BA2" w:rsidRPr="00144272" w:rsidRDefault="00093BA2" w:rsidP="001753CD">
            <w:pPr>
              <w:spacing w:after="0"/>
              <w:jc w:val="center"/>
              <w:rPr>
                <w:w w:val="100"/>
                <w:kern w:val="0"/>
                <w:sz w:val="18"/>
                <w:szCs w:val="18"/>
              </w:rPr>
            </w:pPr>
            <w:r w:rsidRPr="00144272">
              <w:rPr>
                <w:rFonts w:asciiTheme="minorHAnsi" w:hAnsiTheme="minorHAnsi" w:cstheme="minorHAnsi"/>
                <w:sz w:val="18"/>
                <w:szCs w:val="20"/>
                <w:u w:val="single"/>
              </w:rPr>
              <w:t>PERSEC-9</w:t>
            </w:r>
          </w:p>
        </w:tc>
        <w:tc>
          <w:tcPr>
            <w:tcW w:w="3889" w:type="dxa"/>
            <w:tcBorders>
              <w:top w:val="single" w:sz="4" w:space="0" w:color="000000"/>
              <w:left w:val="single" w:sz="4" w:space="0" w:color="000000"/>
              <w:bottom w:val="single" w:sz="4" w:space="0" w:color="000000"/>
              <w:right w:val="single" w:sz="4" w:space="0" w:color="000000"/>
            </w:tcBorders>
            <w:shd w:val="clear" w:color="auto" w:fill="auto"/>
          </w:tcPr>
          <w:p w14:paraId="72B22901" w14:textId="77777777" w:rsidR="00093BA2" w:rsidRPr="00144272" w:rsidRDefault="00093BA2" w:rsidP="00A83E20">
            <w:pPr>
              <w:pStyle w:val="Tablesmall"/>
            </w:pPr>
            <w:r w:rsidRPr="00144272">
              <w:t xml:space="preserve">Entities must have separation policies and procedures for departing clearance holders, which includes </w:t>
            </w:r>
            <w:r w:rsidRPr="00144272">
              <w:rPr>
                <w:bCs/>
              </w:rPr>
              <w:t>a requirement to</w:t>
            </w:r>
            <w:r w:rsidRPr="00144272">
              <w:t>:</w:t>
            </w:r>
          </w:p>
          <w:p w14:paraId="37DBEEB8" w14:textId="77777777" w:rsidR="00093BA2" w:rsidRPr="00A83E20" w:rsidRDefault="00093BA2" w:rsidP="00A83E20">
            <w:pPr>
              <w:pStyle w:val="Tablesmall"/>
              <w:numPr>
                <w:ilvl w:val="0"/>
                <w:numId w:val="24"/>
              </w:numPr>
            </w:pPr>
            <w:r w:rsidRPr="00144272">
              <w:rPr>
                <w:rFonts w:asciiTheme="minorHAnsi" w:hAnsiTheme="minorHAnsi" w:cstheme="minorHAnsi"/>
                <w:szCs w:val="20"/>
              </w:rPr>
              <w:t xml:space="preserve">inform vetting entities when a clearance </w:t>
            </w:r>
            <w:r w:rsidRPr="00A83E20">
              <w:t>holder leaves entity employment or contract engagement</w:t>
            </w:r>
          </w:p>
          <w:p w14:paraId="48D165E2" w14:textId="0A46B481" w:rsidR="00E64F15" w:rsidRPr="00A83E20" w:rsidRDefault="00093BA2" w:rsidP="00A83E20">
            <w:pPr>
              <w:pStyle w:val="Tablesmall"/>
              <w:numPr>
                <w:ilvl w:val="0"/>
                <w:numId w:val="24"/>
              </w:numPr>
              <w:rPr>
                <w:rFonts w:asciiTheme="minorHAnsi" w:hAnsiTheme="minorHAnsi" w:cstheme="minorHAnsi"/>
                <w:szCs w:val="20"/>
              </w:rPr>
            </w:pPr>
            <w:r w:rsidRPr="00A83E20">
              <w:t>advise vetting</w:t>
            </w:r>
            <w:r w:rsidRPr="00144272">
              <w:rPr>
                <w:rFonts w:asciiTheme="minorHAnsi" w:hAnsiTheme="minorHAnsi" w:cstheme="minorHAnsi"/>
                <w:szCs w:val="20"/>
              </w:rPr>
              <w:t xml:space="preserve"> entities of any security concerns</w:t>
            </w:r>
          </w:p>
        </w:tc>
        <w:tc>
          <w:tcPr>
            <w:tcW w:w="1276" w:type="dxa"/>
            <w:tcBorders>
              <w:top w:val="single" w:sz="4" w:space="0" w:color="000000"/>
              <w:left w:val="single" w:sz="4" w:space="0" w:color="000000"/>
              <w:bottom w:val="single" w:sz="4" w:space="0" w:color="000000"/>
              <w:right w:val="single" w:sz="4" w:space="0" w:color="000000"/>
            </w:tcBorders>
          </w:tcPr>
          <w:p w14:paraId="243E7A1A" w14:textId="35FB607C" w:rsidR="00093BA2" w:rsidRPr="001753CD" w:rsidRDefault="00FE3B20" w:rsidP="00093BA2">
            <w:pPr>
              <w:spacing w:after="0" w:line="271" w:lineRule="auto"/>
              <w:jc w:val="right"/>
              <w:rPr>
                <w:w w:val="100"/>
                <w:kern w:val="0"/>
                <w:sz w:val="18"/>
                <w:szCs w:val="18"/>
              </w:rPr>
            </w:pPr>
            <w:r>
              <w:rPr>
                <w:w w:val="100"/>
                <w:kern w:val="0"/>
                <w:sz w:val="18"/>
                <w:szCs w:val="18"/>
              </w:rPr>
              <w:t>90 (excl. 1 N/A)</w:t>
            </w:r>
          </w:p>
        </w:tc>
        <w:tc>
          <w:tcPr>
            <w:tcW w:w="850" w:type="dxa"/>
            <w:tcBorders>
              <w:top w:val="single" w:sz="4" w:space="0" w:color="000000"/>
              <w:left w:val="single" w:sz="4" w:space="0" w:color="000000"/>
              <w:bottom w:val="single" w:sz="4" w:space="0" w:color="000000"/>
              <w:right w:val="single" w:sz="4" w:space="0" w:color="000000"/>
            </w:tcBorders>
          </w:tcPr>
          <w:p w14:paraId="0BDEF99C" w14:textId="2FD0FB3E" w:rsidR="00093BA2" w:rsidRPr="00093BA2" w:rsidRDefault="005955A3" w:rsidP="005955A3">
            <w:pPr>
              <w:spacing w:after="0" w:line="271" w:lineRule="auto"/>
              <w:jc w:val="right"/>
              <w:rPr>
                <w:w w:val="100"/>
                <w:kern w:val="0"/>
                <w:sz w:val="18"/>
                <w:szCs w:val="18"/>
              </w:rPr>
            </w:pPr>
            <w:r>
              <w:rPr>
                <w:color w:val="000000"/>
                <w:sz w:val="18"/>
              </w:rPr>
              <w:t>96</w:t>
            </w:r>
            <w:r w:rsidR="00093BA2" w:rsidRPr="00093BA2">
              <w:rPr>
                <w:color w:val="000000"/>
                <w:sz w:val="18"/>
              </w:rPr>
              <w:t>.</w:t>
            </w:r>
            <w:r>
              <w:rPr>
                <w:color w:val="000000"/>
                <w:sz w:val="18"/>
              </w:rPr>
              <w:t>8</w:t>
            </w:r>
            <w:r w:rsidR="00093BA2" w:rsidRPr="00093BA2">
              <w:rPr>
                <w:color w:val="000000"/>
                <w:sz w:val="18"/>
              </w:rPr>
              <w:t>%</w:t>
            </w:r>
          </w:p>
        </w:tc>
        <w:tc>
          <w:tcPr>
            <w:tcW w:w="851" w:type="dxa"/>
            <w:tcBorders>
              <w:top w:val="single" w:sz="4" w:space="0" w:color="000000"/>
              <w:left w:val="single" w:sz="4" w:space="0" w:color="000000"/>
              <w:bottom w:val="single" w:sz="4" w:space="0" w:color="000000"/>
              <w:right w:val="single" w:sz="4" w:space="0" w:color="000000"/>
            </w:tcBorders>
          </w:tcPr>
          <w:p w14:paraId="041A9810" w14:textId="54AA28A1" w:rsidR="00093BA2" w:rsidRPr="001753CD" w:rsidRDefault="00093BA2" w:rsidP="00093BA2">
            <w:pPr>
              <w:spacing w:after="0" w:line="271" w:lineRule="auto"/>
              <w:jc w:val="right"/>
              <w:rPr>
                <w:w w:val="100"/>
                <w:kern w:val="0"/>
                <w:sz w:val="18"/>
                <w:szCs w:val="18"/>
              </w:rPr>
            </w:pPr>
            <w:r>
              <w:rPr>
                <w:w w:val="100"/>
                <w:kern w:val="0"/>
                <w:sz w:val="18"/>
                <w:szCs w:val="18"/>
              </w:rPr>
              <w:t>92.5%</w:t>
            </w:r>
          </w:p>
        </w:tc>
        <w:tc>
          <w:tcPr>
            <w:tcW w:w="930" w:type="dxa"/>
            <w:tcBorders>
              <w:top w:val="single" w:sz="4" w:space="0" w:color="000000"/>
              <w:left w:val="single" w:sz="4" w:space="0" w:color="000000"/>
              <w:bottom w:val="single" w:sz="4" w:space="0" w:color="000000"/>
              <w:right w:val="single" w:sz="4" w:space="0" w:color="000000"/>
            </w:tcBorders>
          </w:tcPr>
          <w:p w14:paraId="0B484EBF" w14:textId="34E1D89F" w:rsidR="00093BA2" w:rsidRPr="001753CD" w:rsidRDefault="00C61193" w:rsidP="005955A3">
            <w:pPr>
              <w:spacing w:after="0" w:line="271" w:lineRule="auto"/>
              <w:jc w:val="right"/>
              <w:rPr>
                <w:w w:val="100"/>
                <w:kern w:val="0"/>
                <w:sz w:val="18"/>
                <w:szCs w:val="18"/>
              </w:rPr>
            </w:pPr>
            <w:r>
              <w:rPr>
                <w:w w:val="100"/>
                <w:kern w:val="0"/>
                <w:sz w:val="18"/>
                <w:szCs w:val="18"/>
              </w:rPr>
              <w:t>+</w:t>
            </w:r>
            <w:r w:rsidR="005955A3">
              <w:rPr>
                <w:w w:val="100"/>
                <w:kern w:val="0"/>
                <w:sz w:val="18"/>
                <w:szCs w:val="18"/>
              </w:rPr>
              <w:t>4</w:t>
            </w:r>
            <w:r w:rsidR="00093BA2">
              <w:rPr>
                <w:w w:val="100"/>
                <w:kern w:val="0"/>
                <w:sz w:val="18"/>
                <w:szCs w:val="18"/>
              </w:rPr>
              <w:t>.</w:t>
            </w:r>
            <w:r w:rsidR="005955A3">
              <w:rPr>
                <w:w w:val="100"/>
                <w:kern w:val="0"/>
                <w:sz w:val="18"/>
                <w:szCs w:val="18"/>
              </w:rPr>
              <w:t>3</w:t>
            </w:r>
          </w:p>
        </w:tc>
        <w:tc>
          <w:tcPr>
            <w:tcW w:w="1779" w:type="dxa"/>
            <w:tcBorders>
              <w:top w:val="single" w:sz="4" w:space="0" w:color="000000"/>
              <w:left w:val="single" w:sz="4" w:space="0" w:color="000000"/>
              <w:bottom w:val="single" w:sz="4" w:space="0" w:color="000000"/>
              <w:right w:val="single" w:sz="4" w:space="0" w:color="000000"/>
            </w:tcBorders>
          </w:tcPr>
          <w:p w14:paraId="700199F3" w14:textId="4589240B" w:rsidR="00093BA2" w:rsidRPr="00C61193" w:rsidRDefault="00C61193" w:rsidP="00A83E20">
            <w:pPr>
              <w:pStyle w:val="Tablesmall"/>
              <w:rPr>
                <w:rFonts w:cs="Times New Roman"/>
              </w:rPr>
            </w:pPr>
            <w:r>
              <w:rPr>
                <w:rFonts w:cs="Times New Roman"/>
              </w:rPr>
              <w:t>N/A</w:t>
            </w:r>
          </w:p>
        </w:tc>
      </w:tr>
      <w:tr w:rsidR="00144272" w:rsidRPr="001753CD" w14:paraId="4BF9B770" w14:textId="77777777" w:rsidTr="00E64F15">
        <w:tc>
          <w:tcPr>
            <w:tcW w:w="10534" w:type="dxa"/>
            <w:gridSpan w:val="7"/>
            <w:tcBorders>
              <w:top w:val="single" w:sz="4" w:space="0" w:color="000000"/>
              <w:left w:val="single" w:sz="4" w:space="0" w:color="000000"/>
              <w:bottom w:val="single" w:sz="4" w:space="0" w:color="000000"/>
              <w:right w:val="single" w:sz="4" w:space="0" w:color="000000"/>
            </w:tcBorders>
            <w:shd w:val="clear" w:color="auto" w:fill="C6D9F1"/>
          </w:tcPr>
          <w:p w14:paraId="15F3FB3B" w14:textId="569A064D" w:rsidR="00144272" w:rsidRPr="001753CD" w:rsidRDefault="00144272" w:rsidP="00A83E20">
            <w:pPr>
              <w:pStyle w:val="Tablesmall"/>
            </w:pPr>
            <w:r w:rsidRPr="001753CD">
              <w:rPr>
                <w:rFonts w:eastAsia="Times New Roman"/>
                <w:b/>
                <w:color w:val="000000"/>
              </w:rPr>
              <w:t>Information security</w:t>
            </w:r>
          </w:p>
        </w:tc>
      </w:tr>
      <w:tr w:rsidR="00093BA2" w:rsidRPr="001753CD" w14:paraId="1FFCA8A2" w14:textId="77777777" w:rsidTr="003D36B6">
        <w:trPr>
          <w:cantSplit/>
        </w:trPr>
        <w:tc>
          <w:tcPr>
            <w:tcW w:w="959" w:type="dxa"/>
            <w:tcBorders>
              <w:top w:val="single" w:sz="4" w:space="0" w:color="000000"/>
              <w:left w:val="single" w:sz="4" w:space="0" w:color="000000"/>
              <w:bottom w:val="single" w:sz="4" w:space="0" w:color="000000"/>
              <w:right w:val="single" w:sz="4" w:space="0" w:color="000000"/>
            </w:tcBorders>
            <w:shd w:val="clear" w:color="auto" w:fill="auto"/>
          </w:tcPr>
          <w:p w14:paraId="45FF1596" w14:textId="6DF0A3CB" w:rsidR="00093BA2" w:rsidRPr="001753CD" w:rsidRDefault="00093BA2" w:rsidP="001753CD">
            <w:pPr>
              <w:spacing w:after="0"/>
              <w:jc w:val="center"/>
              <w:rPr>
                <w:w w:val="100"/>
                <w:kern w:val="0"/>
                <w:sz w:val="18"/>
                <w:szCs w:val="18"/>
              </w:rPr>
            </w:pPr>
            <w:r w:rsidRPr="001753CD">
              <w:rPr>
                <w:w w:val="100"/>
                <w:kern w:val="0"/>
                <w:sz w:val="18"/>
                <w:szCs w:val="18"/>
                <w:u w:val="single"/>
              </w:rPr>
              <w:t>INFOSEC-1</w:t>
            </w:r>
          </w:p>
        </w:tc>
        <w:tc>
          <w:tcPr>
            <w:tcW w:w="3889" w:type="dxa"/>
            <w:tcBorders>
              <w:top w:val="single" w:sz="4" w:space="0" w:color="000000"/>
              <w:left w:val="single" w:sz="4" w:space="0" w:color="000000"/>
              <w:bottom w:val="single" w:sz="4" w:space="0" w:color="000000"/>
              <w:right w:val="single" w:sz="4" w:space="0" w:color="000000"/>
            </w:tcBorders>
            <w:shd w:val="clear" w:color="auto" w:fill="auto"/>
          </w:tcPr>
          <w:p w14:paraId="65EBE36C" w14:textId="43C88B32" w:rsidR="00093BA2" w:rsidRPr="001753CD" w:rsidRDefault="00093BA2" w:rsidP="00A83E20">
            <w:pPr>
              <w:pStyle w:val="Tablesmall"/>
              <w:rPr>
                <w:bCs/>
              </w:rPr>
            </w:pPr>
            <w:r w:rsidRPr="001753CD">
              <w:t>Entity heads must provide clear direction on information security through the development and implementation of an entity information security policy, and address entity information security requirements as part of the entity security plan.</w:t>
            </w:r>
          </w:p>
        </w:tc>
        <w:tc>
          <w:tcPr>
            <w:tcW w:w="1276" w:type="dxa"/>
            <w:tcBorders>
              <w:top w:val="single" w:sz="4" w:space="0" w:color="000000"/>
              <w:left w:val="single" w:sz="4" w:space="0" w:color="000000"/>
              <w:bottom w:val="single" w:sz="4" w:space="0" w:color="000000"/>
              <w:right w:val="single" w:sz="4" w:space="0" w:color="000000"/>
            </w:tcBorders>
          </w:tcPr>
          <w:p w14:paraId="25808E76" w14:textId="07B14EE4" w:rsidR="00093BA2" w:rsidRPr="001753CD" w:rsidRDefault="00FE3B20" w:rsidP="00093BA2">
            <w:pPr>
              <w:spacing w:after="0" w:line="271" w:lineRule="auto"/>
              <w:jc w:val="right"/>
              <w:rPr>
                <w:w w:val="100"/>
                <w:kern w:val="0"/>
                <w:sz w:val="18"/>
                <w:szCs w:val="18"/>
              </w:rPr>
            </w:pPr>
            <w:r>
              <w:rPr>
                <w:w w:val="100"/>
                <w:kern w:val="0"/>
                <w:sz w:val="18"/>
                <w:szCs w:val="18"/>
              </w:rPr>
              <w:t>88</w:t>
            </w:r>
          </w:p>
        </w:tc>
        <w:tc>
          <w:tcPr>
            <w:tcW w:w="850" w:type="dxa"/>
            <w:tcBorders>
              <w:top w:val="single" w:sz="4" w:space="0" w:color="000000"/>
              <w:left w:val="single" w:sz="4" w:space="0" w:color="000000"/>
              <w:bottom w:val="single" w:sz="4" w:space="0" w:color="000000"/>
              <w:right w:val="single" w:sz="4" w:space="0" w:color="000000"/>
            </w:tcBorders>
          </w:tcPr>
          <w:p w14:paraId="4FE611BE" w14:textId="48612DD5" w:rsidR="00093BA2" w:rsidRPr="00093BA2" w:rsidRDefault="00093BA2" w:rsidP="00093BA2">
            <w:pPr>
              <w:spacing w:after="0" w:line="271" w:lineRule="auto"/>
              <w:jc w:val="right"/>
              <w:rPr>
                <w:w w:val="100"/>
                <w:kern w:val="0"/>
                <w:sz w:val="18"/>
                <w:szCs w:val="18"/>
              </w:rPr>
            </w:pPr>
            <w:r w:rsidRPr="00093BA2">
              <w:rPr>
                <w:color w:val="000000"/>
                <w:sz w:val="18"/>
              </w:rPr>
              <w:t>93.6%</w:t>
            </w:r>
          </w:p>
        </w:tc>
        <w:tc>
          <w:tcPr>
            <w:tcW w:w="851" w:type="dxa"/>
            <w:tcBorders>
              <w:top w:val="single" w:sz="4" w:space="0" w:color="000000"/>
              <w:left w:val="single" w:sz="4" w:space="0" w:color="000000"/>
              <w:bottom w:val="single" w:sz="4" w:space="0" w:color="000000"/>
              <w:right w:val="single" w:sz="4" w:space="0" w:color="000000"/>
            </w:tcBorders>
          </w:tcPr>
          <w:p w14:paraId="48438DCD" w14:textId="1EE58AA6" w:rsidR="00093BA2" w:rsidRPr="001753CD" w:rsidRDefault="00093BA2" w:rsidP="00093BA2">
            <w:pPr>
              <w:spacing w:after="0" w:line="271" w:lineRule="auto"/>
              <w:jc w:val="right"/>
              <w:rPr>
                <w:w w:val="100"/>
                <w:kern w:val="0"/>
                <w:sz w:val="18"/>
                <w:szCs w:val="18"/>
              </w:rPr>
            </w:pPr>
            <w:r>
              <w:rPr>
                <w:w w:val="100"/>
                <w:kern w:val="0"/>
                <w:sz w:val="18"/>
                <w:szCs w:val="18"/>
              </w:rPr>
              <w:t>91.4%</w:t>
            </w:r>
          </w:p>
        </w:tc>
        <w:tc>
          <w:tcPr>
            <w:tcW w:w="930" w:type="dxa"/>
            <w:tcBorders>
              <w:top w:val="single" w:sz="4" w:space="0" w:color="000000"/>
              <w:left w:val="single" w:sz="4" w:space="0" w:color="000000"/>
              <w:bottom w:val="single" w:sz="4" w:space="0" w:color="000000"/>
              <w:right w:val="single" w:sz="4" w:space="0" w:color="000000"/>
            </w:tcBorders>
          </w:tcPr>
          <w:p w14:paraId="62A3BAE7" w14:textId="0ADC083B" w:rsidR="00093BA2" w:rsidRPr="001753CD" w:rsidRDefault="00C61193" w:rsidP="00093BA2">
            <w:pPr>
              <w:spacing w:after="0" w:line="271" w:lineRule="auto"/>
              <w:jc w:val="right"/>
              <w:rPr>
                <w:w w:val="100"/>
                <w:kern w:val="0"/>
                <w:sz w:val="18"/>
                <w:szCs w:val="18"/>
              </w:rPr>
            </w:pPr>
            <w:r>
              <w:rPr>
                <w:w w:val="100"/>
                <w:kern w:val="0"/>
                <w:sz w:val="18"/>
                <w:szCs w:val="18"/>
              </w:rPr>
              <w:t>+</w:t>
            </w:r>
            <w:r w:rsidR="00093BA2">
              <w:rPr>
                <w:w w:val="100"/>
                <w:kern w:val="0"/>
                <w:sz w:val="18"/>
                <w:szCs w:val="18"/>
              </w:rPr>
              <w:t>2.2</w:t>
            </w:r>
          </w:p>
        </w:tc>
        <w:tc>
          <w:tcPr>
            <w:tcW w:w="1779" w:type="dxa"/>
            <w:tcBorders>
              <w:top w:val="single" w:sz="4" w:space="0" w:color="000000"/>
              <w:left w:val="single" w:sz="4" w:space="0" w:color="000000"/>
              <w:bottom w:val="single" w:sz="4" w:space="0" w:color="000000"/>
              <w:right w:val="single" w:sz="4" w:space="0" w:color="000000"/>
            </w:tcBorders>
          </w:tcPr>
          <w:p w14:paraId="3E460A0F" w14:textId="39389FC0" w:rsidR="00093BA2" w:rsidRPr="00C61193" w:rsidRDefault="00C61193" w:rsidP="00A83E20">
            <w:pPr>
              <w:pStyle w:val="Tablesmall"/>
              <w:rPr>
                <w:rFonts w:cs="Times New Roman"/>
              </w:rPr>
            </w:pPr>
            <w:r w:rsidRPr="00C61193">
              <w:rPr>
                <w:rFonts w:cs="Times New Roman"/>
              </w:rPr>
              <w:t>N/A</w:t>
            </w:r>
          </w:p>
        </w:tc>
      </w:tr>
      <w:tr w:rsidR="00093BA2" w:rsidRPr="001753CD" w14:paraId="0D31B43C" w14:textId="77777777" w:rsidTr="003D36B6">
        <w:tc>
          <w:tcPr>
            <w:tcW w:w="959" w:type="dxa"/>
            <w:tcBorders>
              <w:top w:val="single" w:sz="4" w:space="0" w:color="000000"/>
              <w:left w:val="single" w:sz="4" w:space="0" w:color="000000"/>
              <w:bottom w:val="single" w:sz="4" w:space="0" w:color="000000"/>
              <w:right w:val="single" w:sz="4" w:space="0" w:color="000000"/>
            </w:tcBorders>
            <w:shd w:val="clear" w:color="auto" w:fill="auto"/>
          </w:tcPr>
          <w:p w14:paraId="3ADE17C2" w14:textId="7F90DEF1" w:rsidR="00093BA2" w:rsidRPr="001753CD" w:rsidRDefault="00093BA2" w:rsidP="001753CD">
            <w:pPr>
              <w:spacing w:after="0"/>
              <w:jc w:val="center"/>
              <w:rPr>
                <w:w w:val="100"/>
                <w:kern w:val="0"/>
                <w:sz w:val="18"/>
                <w:szCs w:val="18"/>
              </w:rPr>
            </w:pPr>
            <w:r w:rsidRPr="001753CD">
              <w:rPr>
                <w:w w:val="100"/>
                <w:kern w:val="0"/>
                <w:sz w:val="18"/>
                <w:szCs w:val="18"/>
                <w:u w:val="single"/>
              </w:rPr>
              <w:t>INFOSEC-2</w:t>
            </w:r>
          </w:p>
        </w:tc>
        <w:tc>
          <w:tcPr>
            <w:tcW w:w="3889" w:type="dxa"/>
            <w:tcBorders>
              <w:top w:val="single" w:sz="4" w:space="0" w:color="000000"/>
              <w:left w:val="single" w:sz="4" w:space="0" w:color="000000"/>
              <w:bottom w:val="single" w:sz="4" w:space="0" w:color="000000"/>
              <w:right w:val="single" w:sz="4" w:space="0" w:color="000000"/>
            </w:tcBorders>
            <w:shd w:val="clear" w:color="auto" w:fill="auto"/>
          </w:tcPr>
          <w:p w14:paraId="2036F5E8" w14:textId="73C5C553" w:rsidR="00093BA2" w:rsidRPr="001753CD" w:rsidRDefault="00093BA2" w:rsidP="00A83E20">
            <w:pPr>
              <w:pStyle w:val="Tablesmall"/>
              <w:rPr>
                <w:bCs/>
              </w:rPr>
            </w:pPr>
            <w:r w:rsidRPr="001753CD">
              <w:t>Each entity must establish a framework to provide direction and coordinated management of information security.  Frameworks must be appropriate to the level of security risks to the entity’s information environment.</w:t>
            </w:r>
          </w:p>
        </w:tc>
        <w:tc>
          <w:tcPr>
            <w:tcW w:w="1276" w:type="dxa"/>
            <w:tcBorders>
              <w:top w:val="single" w:sz="4" w:space="0" w:color="000000"/>
              <w:left w:val="single" w:sz="4" w:space="0" w:color="000000"/>
              <w:bottom w:val="single" w:sz="4" w:space="0" w:color="000000"/>
              <w:right w:val="single" w:sz="4" w:space="0" w:color="000000"/>
            </w:tcBorders>
          </w:tcPr>
          <w:p w14:paraId="77847ED3" w14:textId="382C2C23" w:rsidR="00093BA2" w:rsidRPr="001753CD" w:rsidRDefault="00FE3B20" w:rsidP="00093BA2">
            <w:pPr>
              <w:spacing w:after="0" w:line="271" w:lineRule="auto"/>
              <w:jc w:val="right"/>
              <w:rPr>
                <w:w w:val="100"/>
                <w:kern w:val="0"/>
                <w:sz w:val="18"/>
                <w:szCs w:val="18"/>
              </w:rPr>
            </w:pPr>
            <w:r>
              <w:rPr>
                <w:w w:val="100"/>
                <w:kern w:val="0"/>
                <w:sz w:val="18"/>
                <w:szCs w:val="18"/>
              </w:rPr>
              <w:t>88 (excl. 1 N/A)</w:t>
            </w:r>
          </w:p>
        </w:tc>
        <w:tc>
          <w:tcPr>
            <w:tcW w:w="850" w:type="dxa"/>
            <w:tcBorders>
              <w:top w:val="single" w:sz="4" w:space="0" w:color="000000"/>
              <w:left w:val="single" w:sz="4" w:space="0" w:color="000000"/>
              <w:bottom w:val="single" w:sz="4" w:space="0" w:color="000000"/>
              <w:right w:val="single" w:sz="4" w:space="0" w:color="000000"/>
            </w:tcBorders>
          </w:tcPr>
          <w:p w14:paraId="310251AD" w14:textId="5328232A" w:rsidR="00093BA2" w:rsidRPr="00093BA2" w:rsidRDefault="00093BA2" w:rsidP="00093BA2">
            <w:pPr>
              <w:spacing w:after="0" w:line="271" w:lineRule="auto"/>
              <w:jc w:val="right"/>
              <w:rPr>
                <w:w w:val="100"/>
                <w:kern w:val="0"/>
                <w:sz w:val="18"/>
                <w:szCs w:val="18"/>
              </w:rPr>
            </w:pPr>
            <w:r w:rsidRPr="00093BA2">
              <w:rPr>
                <w:color w:val="000000"/>
                <w:sz w:val="18"/>
              </w:rPr>
              <w:t>93.6%</w:t>
            </w:r>
          </w:p>
        </w:tc>
        <w:tc>
          <w:tcPr>
            <w:tcW w:w="851" w:type="dxa"/>
            <w:tcBorders>
              <w:top w:val="single" w:sz="4" w:space="0" w:color="000000"/>
              <w:left w:val="single" w:sz="4" w:space="0" w:color="000000"/>
              <w:bottom w:val="single" w:sz="4" w:space="0" w:color="000000"/>
              <w:right w:val="single" w:sz="4" w:space="0" w:color="000000"/>
            </w:tcBorders>
          </w:tcPr>
          <w:p w14:paraId="4104186A" w14:textId="6704B3D5" w:rsidR="00093BA2" w:rsidRPr="001753CD" w:rsidRDefault="00093BA2" w:rsidP="00093BA2">
            <w:pPr>
              <w:spacing w:after="0" w:line="271" w:lineRule="auto"/>
              <w:jc w:val="right"/>
              <w:rPr>
                <w:w w:val="100"/>
                <w:kern w:val="0"/>
                <w:sz w:val="18"/>
                <w:szCs w:val="18"/>
              </w:rPr>
            </w:pPr>
            <w:r>
              <w:rPr>
                <w:w w:val="100"/>
                <w:kern w:val="0"/>
                <w:sz w:val="18"/>
                <w:szCs w:val="18"/>
              </w:rPr>
              <w:t>94.6%</w:t>
            </w:r>
          </w:p>
        </w:tc>
        <w:tc>
          <w:tcPr>
            <w:tcW w:w="930" w:type="dxa"/>
            <w:tcBorders>
              <w:top w:val="single" w:sz="4" w:space="0" w:color="000000"/>
              <w:left w:val="single" w:sz="4" w:space="0" w:color="000000"/>
              <w:bottom w:val="single" w:sz="4" w:space="0" w:color="000000"/>
              <w:right w:val="single" w:sz="4" w:space="0" w:color="000000"/>
            </w:tcBorders>
          </w:tcPr>
          <w:p w14:paraId="552967AF" w14:textId="30B4CA3C" w:rsidR="00093BA2" w:rsidRPr="001753CD" w:rsidRDefault="00093BA2" w:rsidP="00093BA2">
            <w:pPr>
              <w:spacing w:after="0" w:line="271" w:lineRule="auto"/>
              <w:jc w:val="right"/>
              <w:rPr>
                <w:w w:val="100"/>
                <w:kern w:val="0"/>
                <w:sz w:val="18"/>
                <w:szCs w:val="18"/>
              </w:rPr>
            </w:pPr>
            <w:r>
              <w:rPr>
                <w:w w:val="100"/>
                <w:kern w:val="0"/>
                <w:sz w:val="18"/>
                <w:szCs w:val="18"/>
              </w:rPr>
              <w:t>-1.0</w:t>
            </w:r>
          </w:p>
        </w:tc>
        <w:tc>
          <w:tcPr>
            <w:tcW w:w="1779" w:type="dxa"/>
            <w:tcBorders>
              <w:top w:val="single" w:sz="4" w:space="0" w:color="000000"/>
              <w:left w:val="single" w:sz="4" w:space="0" w:color="000000"/>
              <w:bottom w:val="single" w:sz="4" w:space="0" w:color="000000"/>
              <w:right w:val="single" w:sz="4" w:space="0" w:color="000000"/>
            </w:tcBorders>
          </w:tcPr>
          <w:p w14:paraId="307B81DC" w14:textId="4C5555DA" w:rsidR="00093BA2" w:rsidRPr="00C61193" w:rsidRDefault="00C61193" w:rsidP="00A83E20">
            <w:pPr>
              <w:pStyle w:val="Tablesmall"/>
              <w:rPr>
                <w:rFonts w:cs="Times New Roman"/>
              </w:rPr>
            </w:pPr>
            <w:r>
              <w:rPr>
                <w:rFonts w:cs="Times New Roman"/>
              </w:rPr>
              <w:t>N/A</w:t>
            </w:r>
          </w:p>
        </w:tc>
      </w:tr>
      <w:tr w:rsidR="00093BA2" w:rsidRPr="001753CD" w14:paraId="7706C7CD" w14:textId="77777777" w:rsidTr="003D36B6">
        <w:tc>
          <w:tcPr>
            <w:tcW w:w="959" w:type="dxa"/>
            <w:tcBorders>
              <w:top w:val="single" w:sz="4" w:space="0" w:color="000000"/>
              <w:left w:val="single" w:sz="4" w:space="0" w:color="000000"/>
              <w:bottom w:val="single" w:sz="4" w:space="0" w:color="000000"/>
              <w:right w:val="single" w:sz="4" w:space="0" w:color="000000"/>
            </w:tcBorders>
            <w:shd w:val="clear" w:color="auto" w:fill="auto"/>
          </w:tcPr>
          <w:p w14:paraId="46DC1712" w14:textId="052FF213" w:rsidR="00093BA2" w:rsidRPr="001753CD" w:rsidRDefault="00093BA2" w:rsidP="001753CD">
            <w:pPr>
              <w:spacing w:after="0"/>
              <w:jc w:val="center"/>
              <w:rPr>
                <w:w w:val="100"/>
                <w:kern w:val="0"/>
                <w:sz w:val="18"/>
                <w:szCs w:val="18"/>
              </w:rPr>
            </w:pPr>
            <w:r w:rsidRPr="001753CD">
              <w:rPr>
                <w:w w:val="100"/>
                <w:kern w:val="0"/>
                <w:sz w:val="18"/>
                <w:szCs w:val="18"/>
                <w:u w:val="single"/>
              </w:rPr>
              <w:t>INFOSEC-3</w:t>
            </w:r>
          </w:p>
        </w:tc>
        <w:tc>
          <w:tcPr>
            <w:tcW w:w="3889" w:type="dxa"/>
            <w:tcBorders>
              <w:top w:val="single" w:sz="4" w:space="0" w:color="000000"/>
              <w:left w:val="single" w:sz="4" w:space="0" w:color="000000"/>
              <w:bottom w:val="single" w:sz="4" w:space="0" w:color="000000"/>
              <w:right w:val="single" w:sz="4" w:space="0" w:color="000000"/>
            </w:tcBorders>
            <w:shd w:val="clear" w:color="auto" w:fill="auto"/>
          </w:tcPr>
          <w:p w14:paraId="046DED00" w14:textId="1B666C31" w:rsidR="00093BA2" w:rsidRPr="001753CD" w:rsidRDefault="00093BA2" w:rsidP="00A83E20">
            <w:pPr>
              <w:pStyle w:val="Tablesmall"/>
              <w:rPr>
                <w:bCs/>
              </w:rPr>
            </w:pPr>
            <w:r w:rsidRPr="001753CD">
              <w:t>Entities must implement policies and procedures for the security classification and protective control of information assets (in electronic and paper-based formats), which match their value, importance and sensitivity.</w:t>
            </w:r>
          </w:p>
        </w:tc>
        <w:tc>
          <w:tcPr>
            <w:tcW w:w="1276" w:type="dxa"/>
            <w:tcBorders>
              <w:top w:val="single" w:sz="4" w:space="0" w:color="000000"/>
              <w:left w:val="single" w:sz="4" w:space="0" w:color="000000"/>
              <w:bottom w:val="single" w:sz="4" w:space="0" w:color="000000"/>
              <w:right w:val="single" w:sz="4" w:space="0" w:color="000000"/>
            </w:tcBorders>
          </w:tcPr>
          <w:p w14:paraId="0829DC37" w14:textId="2B5E1E09" w:rsidR="00093BA2" w:rsidRPr="001753CD" w:rsidRDefault="00FE3B20" w:rsidP="00093BA2">
            <w:pPr>
              <w:spacing w:after="0" w:line="271" w:lineRule="auto"/>
              <w:jc w:val="right"/>
              <w:rPr>
                <w:w w:val="100"/>
                <w:kern w:val="0"/>
                <w:sz w:val="18"/>
                <w:szCs w:val="18"/>
              </w:rPr>
            </w:pPr>
            <w:r>
              <w:rPr>
                <w:w w:val="100"/>
                <w:kern w:val="0"/>
                <w:sz w:val="18"/>
                <w:szCs w:val="18"/>
              </w:rPr>
              <w:t>78 (excl. 2 N/A)</w:t>
            </w:r>
          </w:p>
        </w:tc>
        <w:tc>
          <w:tcPr>
            <w:tcW w:w="850" w:type="dxa"/>
            <w:tcBorders>
              <w:top w:val="single" w:sz="4" w:space="0" w:color="000000"/>
              <w:left w:val="single" w:sz="4" w:space="0" w:color="000000"/>
              <w:bottom w:val="single" w:sz="4" w:space="0" w:color="000000"/>
              <w:right w:val="single" w:sz="4" w:space="0" w:color="000000"/>
            </w:tcBorders>
          </w:tcPr>
          <w:p w14:paraId="48F1DAD5" w14:textId="45D9D37B" w:rsidR="00093BA2" w:rsidRPr="00093BA2" w:rsidRDefault="00093BA2" w:rsidP="00093BA2">
            <w:pPr>
              <w:spacing w:after="0" w:line="271" w:lineRule="auto"/>
              <w:jc w:val="right"/>
              <w:rPr>
                <w:w w:val="100"/>
                <w:kern w:val="0"/>
                <w:sz w:val="18"/>
                <w:szCs w:val="18"/>
              </w:rPr>
            </w:pPr>
            <w:r w:rsidRPr="00093BA2">
              <w:rPr>
                <w:color w:val="000000"/>
                <w:sz w:val="18"/>
              </w:rPr>
              <w:t>83.0%</w:t>
            </w:r>
          </w:p>
        </w:tc>
        <w:tc>
          <w:tcPr>
            <w:tcW w:w="851" w:type="dxa"/>
            <w:tcBorders>
              <w:top w:val="single" w:sz="4" w:space="0" w:color="000000"/>
              <w:left w:val="single" w:sz="4" w:space="0" w:color="000000"/>
              <w:bottom w:val="single" w:sz="4" w:space="0" w:color="000000"/>
              <w:right w:val="single" w:sz="4" w:space="0" w:color="000000"/>
            </w:tcBorders>
          </w:tcPr>
          <w:p w14:paraId="016507B5" w14:textId="3A73CEB1" w:rsidR="00093BA2" w:rsidRPr="001753CD" w:rsidRDefault="00093BA2" w:rsidP="00093BA2">
            <w:pPr>
              <w:spacing w:after="0" w:line="271" w:lineRule="auto"/>
              <w:jc w:val="right"/>
              <w:rPr>
                <w:w w:val="100"/>
                <w:kern w:val="0"/>
                <w:sz w:val="18"/>
                <w:szCs w:val="18"/>
              </w:rPr>
            </w:pPr>
            <w:r>
              <w:rPr>
                <w:w w:val="100"/>
                <w:kern w:val="0"/>
                <w:sz w:val="18"/>
                <w:szCs w:val="18"/>
              </w:rPr>
              <w:t>88.2%</w:t>
            </w:r>
          </w:p>
        </w:tc>
        <w:tc>
          <w:tcPr>
            <w:tcW w:w="930" w:type="dxa"/>
            <w:tcBorders>
              <w:top w:val="single" w:sz="4" w:space="0" w:color="000000"/>
              <w:left w:val="single" w:sz="4" w:space="0" w:color="000000"/>
              <w:bottom w:val="single" w:sz="4" w:space="0" w:color="000000"/>
              <w:right w:val="single" w:sz="4" w:space="0" w:color="000000"/>
            </w:tcBorders>
          </w:tcPr>
          <w:p w14:paraId="1BE55491" w14:textId="22BF349E" w:rsidR="00093BA2" w:rsidRPr="001753CD" w:rsidRDefault="00093BA2" w:rsidP="00093BA2">
            <w:pPr>
              <w:spacing w:after="0" w:line="271" w:lineRule="auto"/>
              <w:jc w:val="right"/>
              <w:rPr>
                <w:w w:val="100"/>
                <w:kern w:val="0"/>
                <w:sz w:val="18"/>
                <w:szCs w:val="18"/>
              </w:rPr>
            </w:pPr>
            <w:r>
              <w:rPr>
                <w:w w:val="100"/>
                <w:kern w:val="0"/>
                <w:sz w:val="18"/>
                <w:szCs w:val="18"/>
              </w:rPr>
              <w:t>-5.2</w:t>
            </w:r>
          </w:p>
        </w:tc>
        <w:tc>
          <w:tcPr>
            <w:tcW w:w="1779" w:type="dxa"/>
            <w:tcBorders>
              <w:top w:val="single" w:sz="4" w:space="0" w:color="000000"/>
              <w:left w:val="single" w:sz="4" w:space="0" w:color="000000"/>
              <w:bottom w:val="single" w:sz="4" w:space="0" w:color="000000"/>
              <w:right w:val="single" w:sz="4" w:space="0" w:color="000000"/>
            </w:tcBorders>
          </w:tcPr>
          <w:p w14:paraId="47E9FFCA" w14:textId="70151510" w:rsidR="00093BA2" w:rsidRPr="00C61193" w:rsidRDefault="005C1764" w:rsidP="00A83E20">
            <w:pPr>
              <w:pStyle w:val="Tablesmall"/>
              <w:rPr>
                <w:rFonts w:cs="Times New Roman"/>
              </w:rPr>
            </w:pPr>
            <w:r>
              <w:rPr>
                <w:rFonts w:cs="Times New Roman"/>
              </w:rPr>
              <w:t xml:space="preserve">Variation due to entities having identified gaps or changes in their information platforms </w:t>
            </w:r>
            <w:r w:rsidR="002E7AD4" w:rsidRPr="002E7AD4">
              <w:rPr>
                <w:rFonts w:cs="Times New Roman"/>
              </w:rPr>
              <w:t>(</w:t>
            </w:r>
            <w:r>
              <w:rPr>
                <w:rFonts w:cs="Times New Roman"/>
              </w:rPr>
              <w:t xml:space="preserve">for </w:t>
            </w:r>
            <w:proofErr w:type="spellStart"/>
            <w:r>
              <w:rPr>
                <w:rFonts w:cs="Times New Roman"/>
              </w:rPr>
              <w:t>eg</w:t>
            </w:r>
            <w:proofErr w:type="spellEnd"/>
            <w:r>
              <w:rPr>
                <w:rFonts w:cs="Times New Roman"/>
              </w:rPr>
              <w:t xml:space="preserve">, </w:t>
            </w:r>
            <w:r w:rsidR="002E7AD4" w:rsidRPr="002E7AD4">
              <w:rPr>
                <w:rFonts w:cs="Times New Roman"/>
              </w:rPr>
              <w:t>windows tablets with voice and video conferencing capabilities)</w:t>
            </w:r>
            <w:r>
              <w:rPr>
                <w:rFonts w:cs="Times New Roman"/>
              </w:rPr>
              <w:t>.  NCCES noted that they were taking steps to mitigate the risk.</w:t>
            </w:r>
          </w:p>
        </w:tc>
      </w:tr>
      <w:tr w:rsidR="00093BA2" w:rsidRPr="001753CD" w14:paraId="61A178D3" w14:textId="77777777" w:rsidTr="000C13C7">
        <w:trPr>
          <w:cantSplit/>
        </w:trPr>
        <w:tc>
          <w:tcPr>
            <w:tcW w:w="959" w:type="dxa"/>
            <w:tcBorders>
              <w:top w:val="single" w:sz="4" w:space="0" w:color="000000"/>
              <w:left w:val="single" w:sz="4" w:space="0" w:color="000000"/>
              <w:bottom w:val="single" w:sz="4" w:space="0" w:color="000000"/>
              <w:right w:val="single" w:sz="4" w:space="0" w:color="000000"/>
            </w:tcBorders>
            <w:shd w:val="clear" w:color="auto" w:fill="auto"/>
          </w:tcPr>
          <w:p w14:paraId="5A2BFCC8" w14:textId="43514A80" w:rsidR="00093BA2" w:rsidRPr="001753CD" w:rsidRDefault="00093BA2" w:rsidP="001753CD">
            <w:pPr>
              <w:spacing w:after="0"/>
              <w:jc w:val="center"/>
              <w:rPr>
                <w:w w:val="100"/>
                <w:kern w:val="0"/>
                <w:sz w:val="18"/>
                <w:szCs w:val="18"/>
              </w:rPr>
            </w:pPr>
            <w:r w:rsidRPr="001753CD">
              <w:rPr>
                <w:w w:val="100"/>
                <w:kern w:val="0"/>
                <w:sz w:val="18"/>
                <w:szCs w:val="18"/>
                <w:u w:val="single"/>
              </w:rPr>
              <w:t>INFOSEC-4</w:t>
            </w:r>
          </w:p>
        </w:tc>
        <w:tc>
          <w:tcPr>
            <w:tcW w:w="3889" w:type="dxa"/>
            <w:tcBorders>
              <w:top w:val="single" w:sz="4" w:space="0" w:color="000000"/>
              <w:left w:val="single" w:sz="4" w:space="0" w:color="000000"/>
              <w:bottom w:val="single" w:sz="4" w:space="0" w:color="000000"/>
              <w:right w:val="single" w:sz="4" w:space="0" w:color="000000"/>
            </w:tcBorders>
            <w:shd w:val="clear" w:color="auto" w:fill="auto"/>
          </w:tcPr>
          <w:p w14:paraId="648D617E" w14:textId="711402ED" w:rsidR="00093BA2" w:rsidRPr="001753CD" w:rsidRDefault="00093BA2" w:rsidP="00EB2A30">
            <w:pPr>
              <w:pStyle w:val="Tablesmall"/>
              <w:rPr>
                <w:bCs/>
              </w:rPr>
            </w:pPr>
            <w:r w:rsidRPr="001753CD">
              <w:t xml:space="preserve">Entities must document and implement operational procedures and measures to ensure information, ICT systems and network tasks are managed securely and consistently, in accordance with the level of required security.  This includes implementing the mandatory ‘Strategies to Mitigate Targeted Cyber </w:t>
            </w:r>
            <w:r w:rsidR="00EB2A30">
              <w:t>Incidents</w:t>
            </w:r>
            <w:r w:rsidRPr="001753CD">
              <w:t>’ as detailed in the Australian Government Information Security Manual.</w:t>
            </w:r>
            <w:r w:rsidRPr="001753CD">
              <w:rPr>
                <w:lang w:val="en-US"/>
              </w:rPr>
              <w:t> </w:t>
            </w:r>
          </w:p>
        </w:tc>
        <w:tc>
          <w:tcPr>
            <w:tcW w:w="1276" w:type="dxa"/>
            <w:tcBorders>
              <w:top w:val="single" w:sz="4" w:space="0" w:color="000000"/>
              <w:left w:val="single" w:sz="4" w:space="0" w:color="000000"/>
              <w:bottom w:val="single" w:sz="4" w:space="0" w:color="000000"/>
              <w:right w:val="single" w:sz="4" w:space="0" w:color="000000"/>
            </w:tcBorders>
          </w:tcPr>
          <w:p w14:paraId="1EE1FAA3" w14:textId="54B30B05" w:rsidR="00093BA2" w:rsidRPr="001753CD" w:rsidRDefault="00FE3B20" w:rsidP="00093BA2">
            <w:pPr>
              <w:spacing w:after="0" w:line="271" w:lineRule="auto"/>
              <w:jc w:val="right"/>
              <w:rPr>
                <w:w w:val="100"/>
                <w:kern w:val="0"/>
                <w:sz w:val="18"/>
                <w:szCs w:val="18"/>
              </w:rPr>
            </w:pPr>
            <w:r>
              <w:rPr>
                <w:w w:val="100"/>
                <w:kern w:val="0"/>
                <w:sz w:val="18"/>
                <w:szCs w:val="18"/>
              </w:rPr>
              <w:t>58</w:t>
            </w:r>
          </w:p>
        </w:tc>
        <w:tc>
          <w:tcPr>
            <w:tcW w:w="850" w:type="dxa"/>
            <w:tcBorders>
              <w:top w:val="single" w:sz="4" w:space="0" w:color="000000"/>
              <w:left w:val="single" w:sz="4" w:space="0" w:color="000000"/>
              <w:bottom w:val="single" w:sz="4" w:space="0" w:color="000000"/>
              <w:right w:val="single" w:sz="4" w:space="0" w:color="000000"/>
            </w:tcBorders>
          </w:tcPr>
          <w:p w14:paraId="5E590D37" w14:textId="5092EBA0" w:rsidR="00093BA2" w:rsidRPr="00093BA2" w:rsidRDefault="00093BA2" w:rsidP="00093BA2">
            <w:pPr>
              <w:spacing w:after="0" w:line="271" w:lineRule="auto"/>
              <w:jc w:val="right"/>
              <w:rPr>
                <w:w w:val="100"/>
                <w:kern w:val="0"/>
                <w:sz w:val="18"/>
                <w:szCs w:val="18"/>
              </w:rPr>
            </w:pPr>
            <w:r w:rsidRPr="00093BA2">
              <w:rPr>
                <w:color w:val="000000"/>
                <w:sz w:val="18"/>
              </w:rPr>
              <w:t>61.7%</w:t>
            </w:r>
          </w:p>
        </w:tc>
        <w:tc>
          <w:tcPr>
            <w:tcW w:w="851" w:type="dxa"/>
            <w:tcBorders>
              <w:top w:val="single" w:sz="4" w:space="0" w:color="000000"/>
              <w:left w:val="single" w:sz="4" w:space="0" w:color="000000"/>
              <w:bottom w:val="single" w:sz="4" w:space="0" w:color="000000"/>
              <w:right w:val="single" w:sz="4" w:space="0" w:color="000000"/>
            </w:tcBorders>
          </w:tcPr>
          <w:p w14:paraId="195CD432" w14:textId="07CD2DC0" w:rsidR="00093BA2" w:rsidRPr="001753CD" w:rsidRDefault="00093BA2" w:rsidP="00093BA2">
            <w:pPr>
              <w:spacing w:after="0" w:line="271" w:lineRule="auto"/>
              <w:jc w:val="right"/>
              <w:rPr>
                <w:w w:val="100"/>
                <w:kern w:val="0"/>
                <w:sz w:val="18"/>
                <w:szCs w:val="18"/>
              </w:rPr>
            </w:pPr>
            <w:r>
              <w:rPr>
                <w:w w:val="100"/>
                <w:kern w:val="0"/>
                <w:sz w:val="18"/>
                <w:szCs w:val="18"/>
              </w:rPr>
              <w:t>60.2%</w:t>
            </w:r>
          </w:p>
        </w:tc>
        <w:tc>
          <w:tcPr>
            <w:tcW w:w="930" w:type="dxa"/>
            <w:tcBorders>
              <w:top w:val="single" w:sz="4" w:space="0" w:color="000000"/>
              <w:left w:val="single" w:sz="4" w:space="0" w:color="000000"/>
              <w:bottom w:val="single" w:sz="4" w:space="0" w:color="000000"/>
              <w:right w:val="single" w:sz="4" w:space="0" w:color="000000"/>
            </w:tcBorders>
          </w:tcPr>
          <w:p w14:paraId="19453425" w14:textId="4447A043" w:rsidR="00093BA2" w:rsidRPr="001753CD" w:rsidRDefault="00C61193" w:rsidP="00093BA2">
            <w:pPr>
              <w:spacing w:after="0" w:line="271" w:lineRule="auto"/>
              <w:jc w:val="right"/>
              <w:rPr>
                <w:w w:val="100"/>
                <w:kern w:val="0"/>
                <w:sz w:val="18"/>
                <w:szCs w:val="18"/>
              </w:rPr>
            </w:pPr>
            <w:r>
              <w:rPr>
                <w:w w:val="100"/>
                <w:kern w:val="0"/>
                <w:sz w:val="18"/>
                <w:szCs w:val="18"/>
              </w:rPr>
              <w:t>+</w:t>
            </w:r>
            <w:r w:rsidR="00093BA2">
              <w:rPr>
                <w:w w:val="100"/>
                <w:kern w:val="0"/>
                <w:sz w:val="18"/>
                <w:szCs w:val="18"/>
              </w:rPr>
              <w:t>1.5</w:t>
            </w:r>
          </w:p>
        </w:tc>
        <w:tc>
          <w:tcPr>
            <w:tcW w:w="1779" w:type="dxa"/>
            <w:tcBorders>
              <w:top w:val="single" w:sz="4" w:space="0" w:color="000000"/>
              <w:left w:val="single" w:sz="4" w:space="0" w:color="000000"/>
              <w:bottom w:val="single" w:sz="4" w:space="0" w:color="000000"/>
              <w:right w:val="single" w:sz="4" w:space="0" w:color="000000"/>
            </w:tcBorders>
          </w:tcPr>
          <w:p w14:paraId="0EEE28D7" w14:textId="158F1F06" w:rsidR="00093BA2" w:rsidRPr="00C61193" w:rsidRDefault="00C61193" w:rsidP="00A83E20">
            <w:pPr>
              <w:pStyle w:val="Tablesmall"/>
              <w:rPr>
                <w:rFonts w:cs="Times New Roman"/>
              </w:rPr>
            </w:pPr>
            <w:r>
              <w:rPr>
                <w:rFonts w:cs="Times New Roman"/>
              </w:rPr>
              <w:t>N/A</w:t>
            </w:r>
          </w:p>
        </w:tc>
      </w:tr>
      <w:tr w:rsidR="00093BA2" w:rsidRPr="001753CD" w14:paraId="714E0E71" w14:textId="77777777" w:rsidTr="003D36B6">
        <w:tc>
          <w:tcPr>
            <w:tcW w:w="959" w:type="dxa"/>
            <w:tcBorders>
              <w:top w:val="single" w:sz="4" w:space="0" w:color="000000"/>
              <w:left w:val="single" w:sz="4" w:space="0" w:color="000000"/>
              <w:bottom w:val="single" w:sz="4" w:space="0" w:color="000000"/>
              <w:right w:val="single" w:sz="4" w:space="0" w:color="000000"/>
            </w:tcBorders>
            <w:shd w:val="clear" w:color="auto" w:fill="auto"/>
          </w:tcPr>
          <w:p w14:paraId="0AA523C0" w14:textId="4911B7EB" w:rsidR="00093BA2" w:rsidRPr="001753CD" w:rsidRDefault="00093BA2" w:rsidP="001753CD">
            <w:pPr>
              <w:spacing w:after="0"/>
              <w:jc w:val="center"/>
              <w:rPr>
                <w:w w:val="100"/>
                <w:kern w:val="0"/>
                <w:sz w:val="18"/>
                <w:szCs w:val="18"/>
              </w:rPr>
            </w:pPr>
            <w:r w:rsidRPr="001753CD">
              <w:rPr>
                <w:w w:val="100"/>
                <w:kern w:val="0"/>
                <w:sz w:val="18"/>
                <w:szCs w:val="18"/>
                <w:u w:val="single"/>
              </w:rPr>
              <w:t>INFOSEC-5</w:t>
            </w:r>
          </w:p>
        </w:tc>
        <w:tc>
          <w:tcPr>
            <w:tcW w:w="3889" w:type="dxa"/>
            <w:tcBorders>
              <w:top w:val="single" w:sz="4" w:space="0" w:color="000000"/>
              <w:left w:val="single" w:sz="4" w:space="0" w:color="000000"/>
              <w:bottom w:val="single" w:sz="4" w:space="0" w:color="000000"/>
              <w:right w:val="single" w:sz="4" w:space="0" w:color="000000"/>
            </w:tcBorders>
            <w:shd w:val="clear" w:color="auto" w:fill="auto"/>
          </w:tcPr>
          <w:p w14:paraId="7C594235" w14:textId="47C990B5" w:rsidR="00093BA2" w:rsidRPr="001753CD" w:rsidRDefault="00093BA2" w:rsidP="00A83E20">
            <w:pPr>
              <w:pStyle w:val="Tablesmall"/>
              <w:rPr>
                <w:bCs/>
              </w:rPr>
            </w:pPr>
            <w:r w:rsidRPr="001753CD">
              <w:t>Entities must have in place control measures based on business owner requirements and assessed/accepted risks for controlling access to all information, ICT systems, networks (including remote access), infrastructures and applications.  Entity access control rules must be consistent with entity business requirements and information classification as well as legal obligations.</w:t>
            </w:r>
          </w:p>
        </w:tc>
        <w:tc>
          <w:tcPr>
            <w:tcW w:w="1276" w:type="dxa"/>
            <w:tcBorders>
              <w:top w:val="single" w:sz="4" w:space="0" w:color="000000"/>
              <w:left w:val="single" w:sz="4" w:space="0" w:color="000000"/>
              <w:bottom w:val="single" w:sz="4" w:space="0" w:color="000000"/>
              <w:right w:val="single" w:sz="4" w:space="0" w:color="000000"/>
            </w:tcBorders>
          </w:tcPr>
          <w:p w14:paraId="074DD3B5" w14:textId="07D7A232" w:rsidR="00093BA2" w:rsidRPr="001753CD" w:rsidRDefault="00AA6C85" w:rsidP="00093BA2">
            <w:pPr>
              <w:spacing w:after="0" w:line="271" w:lineRule="auto"/>
              <w:jc w:val="right"/>
              <w:rPr>
                <w:w w:val="100"/>
                <w:kern w:val="0"/>
                <w:sz w:val="18"/>
                <w:szCs w:val="18"/>
              </w:rPr>
            </w:pPr>
            <w:r>
              <w:rPr>
                <w:w w:val="100"/>
                <w:kern w:val="0"/>
                <w:sz w:val="18"/>
                <w:szCs w:val="18"/>
              </w:rPr>
              <w:t>79</w:t>
            </w:r>
          </w:p>
        </w:tc>
        <w:tc>
          <w:tcPr>
            <w:tcW w:w="850" w:type="dxa"/>
            <w:tcBorders>
              <w:top w:val="single" w:sz="4" w:space="0" w:color="000000"/>
              <w:left w:val="single" w:sz="4" w:space="0" w:color="000000"/>
              <w:bottom w:val="single" w:sz="4" w:space="0" w:color="000000"/>
              <w:right w:val="single" w:sz="4" w:space="0" w:color="000000"/>
            </w:tcBorders>
          </w:tcPr>
          <w:p w14:paraId="4FBF822C" w14:textId="2F664014" w:rsidR="00093BA2" w:rsidRPr="00093BA2" w:rsidRDefault="00093BA2" w:rsidP="00093BA2">
            <w:pPr>
              <w:spacing w:after="0" w:line="271" w:lineRule="auto"/>
              <w:jc w:val="right"/>
              <w:rPr>
                <w:w w:val="100"/>
                <w:kern w:val="0"/>
                <w:sz w:val="18"/>
                <w:szCs w:val="18"/>
              </w:rPr>
            </w:pPr>
            <w:r w:rsidRPr="00093BA2">
              <w:rPr>
                <w:color w:val="000000"/>
                <w:sz w:val="18"/>
              </w:rPr>
              <w:t>84.0%</w:t>
            </w:r>
          </w:p>
        </w:tc>
        <w:tc>
          <w:tcPr>
            <w:tcW w:w="851" w:type="dxa"/>
            <w:tcBorders>
              <w:top w:val="single" w:sz="4" w:space="0" w:color="000000"/>
              <w:left w:val="single" w:sz="4" w:space="0" w:color="000000"/>
              <w:bottom w:val="single" w:sz="4" w:space="0" w:color="000000"/>
              <w:right w:val="single" w:sz="4" w:space="0" w:color="000000"/>
            </w:tcBorders>
          </w:tcPr>
          <w:p w14:paraId="00F1AD67" w14:textId="6560E33C" w:rsidR="00093BA2" w:rsidRPr="001753CD" w:rsidRDefault="00093BA2" w:rsidP="00093BA2">
            <w:pPr>
              <w:spacing w:after="0" w:line="271" w:lineRule="auto"/>
              <w:jc w:val="right"/>
              <w:rPr>
                <w:w w:val="100"/>
                <w:kern w:val="0"/>
                <w:sz w:val="18"/>
                <w:szCs w:val="18"/>
              </w:rPr>
            </w:pPr>
            <w:r>
              <w:rPr>
                <w:w w:val="100"/>
                <w:kern w:val="0"/>
                <w:sz w:val="18"/>
                <w:szCs w:val="18"/>
              </w:rPr>
              <w:t>81.7%</w:t>
            </w:r>
          </w:p>
        </w:tc>
        <w:tc>
          <w:tcPr>
            <w:tcW w:w="930" w:type="dxa"/>
            <w:tcBorders>
              <w:top w:val="single" w:sz="4" w:space="0" w:color="000000"/>
              <w:left w:val="single" w:sz="4" w:space="0" w:color="000000"/>
              <w:bottom w:val="single" w:sz="4" w:space="0" w:color="000000"/>
              <w:right w:val="single" w:sz="4" w:space="0" w:color="000000"/>
            </w:tcBorders>
          </w:tcPr>
          <w:p w14:paraId="5295EC9C" w14:textId="7F2B8985" w:rsidR="00093BA2" w:rsidRPr="001753CD" w:rsidRDefault="00C61193" w:rsidP="00093BA2">
            <w:pPr>
              <w:spacing w:after="0" w:line="271" w:lineRule="auto"/>
              <w:jc w:val="right"/>
              <w:rPr>
                <w:w w:val="100"/>
                <w:kern w:val="0"/>
                <w:sz w:val="18"/>
                <w:szCs w:val="18"/>
              </w:rPr>
            </w:pPr>
            <w:r>
              <w:rPr>
                <w:w w:val="100"/>
                <w:kern w:val="0"/>
                <w:sz w:val="18"/>
                <w:szCs w:val="18"/>
              </w:rPr>
              <w:t>+</w:t>
            </w:r>
            <w:r w:rsidR="00093BA2">
              <w:rPr>
                <w:w w:val="100"/>
                <w:kern w:val="0"/>
                <w:sz w:val="18"/>
                <w:szCs w:val="18"/>
              </w:rPr>
              <w:t>2.3</w:t>
            </w:r>
          </w:p>
        </w:tc>
        <w:tc>
          <w:tcPr>
            <w:tcW w:w="1779" w:type="dxa"/>
            <w:tcBorders>
              <w:top w:val="single" w:sz="4" w:space="0" w:color="000000"/>
              <w:left w:val="single" w:sz="4" w:space="0" w:color="000000"/>
              <w:bottom w:val="single" w:sz="4" w:space="0" w:color="000000"/>
              <w:right w:val="single" w:sz="4" w:space="0" w:color="000000"/>
            </w:tcBorders>
          </w:tcPr>
          <w:p w14:paraId="5CA2EC3F" w14:textId="2EA5DE15" w:rsidR="00093BA2" w:rsidRPr="00C61193" w:rsidRDefault="00C61193" w:rsidP="00A83E20">
            <w:pPr>
              <w:pStyle w:val="Tablesmall"/>
              <w:rPr>
                <w:rFonts w:cs="Times New Roman"/>
              </w:rPr>
            </w:pPr>
            <w:r>
              <w:rPr>
                <w:rFonts w:cs="Times New Roman"/>
              </w:rPr>
              <w:t>N/A</w:t>
            </w:r>
          </w:p>
        </w:tc>
      </w:tr>
      <w:tr w:rsidR="00093BA2" w:rsidRPr="001753CD" w14:paraId="2AE9331F" w14:textId="77777777" w:rsidTr="003D36B6">
        <w:tc>
          <w:tcPr>
            <w:tcW w:w="959" w:type="dxa"/>
            <w:tcBorders>
              <w:top w:val="single" w:sz="4" w:space="0" w:color="000000"/>
              <w:left w:val="single" w:sz="4" w:space="0" w:color="000000"/>
              <w:bottom w:val="single" w:sz="4" w:space="0" w:color="000000"/>
              <w:right w:val="single" w:sz="4" w:space="0" w:color="000000"/>
            </w:tcBorders>
            <w:shd w:val="clear" w:color="auto" w:fill="auto"/>
          </w:tcPr>
          <w:p w14:paraId="5A8CF1EC" w14:textId="1AC13D88" w:rsidR="00093BA2" w:rsidRPr="001753CD" w:rsidRDefault="00093BA2" w:rsidP="001753CD">
            <w:pPr>
              <w:spacing w:after="0"/>
              <w:jc w:val="center"/>
              <w:rPr>
                <w:w w:val="100"/>
                <w:kern w:val="0"/>
                <w:sz w:val="18"/>
                <w:szCs w:val="18"/>
              </w:rPr>
            </w:pPr>
            <w:r w:rsidRPr="001753CD">
              <w:rPr>
                <w:w w:val="100"/>
                <w:kern w:val="0"/>
                <w:sz w:val="18"/>
                <w:szCs w:val="18"/>
                <w:u w:val="single"/>
              </w:rPr>
              <w:t>INFOSEC-6</w:t>
            </w:r>
          </w:p>
        </w:tc>
        <w:tc>
          <w:tcPr>
            <w:tcW w:w="3889" w:type="dxa"/>
            <w:tcBorders>
              <w:top w:val="single" w:sz="4" w:space="0" w:color="000000"/>
              <w:left w:val="single" w:sz="4" w:space="0" w:color="000000"/>
              <w:bottom w:val="single" w:sz="4" w:space="0" w:color="000000"/>
              <w:right w:val="single" w:sz="4" w:space="0" w:color="000000"/>
            </w:tcBorders>
            <w:shd w:val="clear" w:color="auto" w:fill="auto"/>
          </w:tcPr>
          <w:p w14:paraId="6C29C1B9" w14:textId="026252B7" w:rsidR="00093BA2" w:rsidRPr="001753CD" w:rsidRDefault="00093BA2" w:rsidP="00A83E20">
            <w:pPr>
              <w:pStyle w:val="Tablesmall"/>
              <w:rPr>
                <w:bCs/>
              </w:rPr>
            </w:pPr>
            <w:r w:rsidRPr="001753CD">
              <w:t>Entities must have in place security measures during all stages of ICT system development, as well as when new ICT systems are implemented into the operational environment. Such measures must match the assessed security risk of the information holdings contained within, or passing across, ICT networks infrastructures and applications.</w:t>
            </w:r>
          </w:p>
        </w:tc>
        <w:tc>
          <w:tcPr>
            <w:tcW w:w="1276" w:type="dxa"/>
            <w:tcBorders>
              <w:top w:val="single" w:sz="4" w:space="0" w:color="000000"/>
              <w:left w:val="single" w:sz="4" w:space="0" w:color="000000"/>
              <w:bottom w:val="single" w:sz="4" w:space="0" w:color="000000"/>
              <w:right w:val="single" w:sz="4" w:space="0" w:color="000000"/>
            </w:tcBorders>
          </w:tcPr>
          <w:p w14:paraId="18F9D1FE" w14:textId="2833B510" w:rsidR="00093BA2" w:rsidRPr="001753CD" w:rsidRDefault="00AA6C85" w:rsidP="00093BA2">
            <w:pPr>
              <w:spacing w:after="0" w:line="271" w:lineRule="auto"/>
              <w:jc w:val="right"/>
              <w:rPr>
                <w:w w:val="100"/>
                <w:kern w:val="0"/>
                <w:sz w:val="18"/>
                <w:szCs w:val="18"/>
              </w:rPr>
            </w:pPr>
            <w:r>
              <w:rPr>
                <w:w w:val="100"/>
                <w:kern w:val="0"/>
                <w:sz w:val="18"/>
                <w:szCs w:val="18"/>
              </w:rPr>
              <w:t>81 (excl. 1 N/A)</w:t>
            </w:r>
          </w:p>
        </w:tc>
        <w:tc>
          <w:tcPr>
            <w:tcW w:w="850" w:type="dxa"/>
            <w:tcBorders>
              <w:top w:val="single" w:sz="4" w:space="0" w:color="000000"/>
              <w:left w:val="single" w:sz="4" w:space="0" w:color="000000"/>
              <w:bottom w:val="single" w:sz="4" w:space="0" w:color="000000"/>
              <w:right w:val="single" w:sz="4" w:space="0" w:color="000000"/>
            </w:tcBorders>
          </w:tcPr>
          <w:p w14:paraId="42F9B372" w14:textId="00B508C6" w:rsidR="00093BA2" w:rsidRPr="00093BA2" w:rsidRDefault="00093BA2" w:rsidP="00093BA2">
            <w:pPr>
              <w:spacing w:after="0" w:line="271" w:lineRule="auto"/>
              <w:jc w:val="right"/>
              <w:rPr>
                <w:w w:val="100"/>
                <w:kern w:val="0"/>
                <w:sz w:val="18"/>
                <w:szCs w:val="18"/>
              </w:rPr>
            </w:pPr>
            <w:r w:rsidRPr="00093BA2">
              <w:rPr>
                <w:color w:val="000000"/>
                <w:sz w:val="18"/>
              </w:rPr>
              <w:t>86.2%</w:t>
            </w:r>
          </w:p>
        </w:tc>
        <w:tc>
          <w:tcPr>
            <w:tcW w:w="851" w:type="dxa"/>
            <w:tcBorders>
              <w:top w:val="single" w:sz="4" w:space="0" w:color="000000"/>
              <w:left w:val="single" w:sz="4" w:space="0" w:color="000000"/>
              <w:bottom w:val="single" w:sz="4" w:space="0" w:color="000000"/>
              <w:right w:val="single" w:sz="4" w:space="0" w:color="000000"/>
            </w:tcBorders>
          </w:tcPr>
          <w:p w14:paraId="006602C5" w14:textId="50FA4F62" w:rsidR="00093BA2" w:rsidRPr="001753CD" w:rsidRDefault="00093BA2" w:rsidP="00093BA2">
            <w:pPr>
              <w:spacing w:after="0" w:line="271" w:lineRule="auto"/>
              <w:jc w:val="right"/>
              <w:rPr>
                <w:w w:val="100"/>
                <w:kern w:val="0"/>
                <w:sz w:val="18"/>
                <w:szCs w:val="18"/>
              </w:rPr>
            </w:pPr>
            <w:r>
              <w:rPr>
                <w:w w:val="100"/>
                <w:kern w:val="0"/>
                <w:sz w:val="18"/>
                <w:szCs w:val="18"/>
              </w:rPr>
              <w:t>87.1%</w:t>
            </w:r>
          </w:p>
        </w:tc>
        <w:tc>
          <w:tcPr>
            <w:tcW w:w="930" w:type="dxa"/>
            <w:tcBorders>
              <w:top w:val="single" w:sz="4" w:space="0" w:color="000000"/>
              <w:left w:val="single" w:sz="4" w:space="0" w:color="000000"/>
              <w:bottom w:val="single" w:sz="4" w:space="0" w:color="000000"/>
              <w:right w:val="single" w:sz="4" w:space="0" w:color="000000"/>
            </w:tcBorders>
          </w:tcPr>
          <w:p w14:paraId="6484F7B0" w14:textId="5089346A" w:rsidR="00093BA2" w:rsidRPr="001753CD" w:rsidRDefault="00093BA2" w:rsidP="00093BA2">
            <w:pPr>
              <w:spacing w:after="0" w:line="271" w:lineRule="auto"/>
              <w:jc w:val="right"/>
              <w:rPr>
                <w:w w:val="100"/>
                <w:kern w:val="0"/>
                <w:sz w:val="18"/>
                <w:szCs w:val="18"/>
              </w:rPr>
            </w:pPr>
            <w:r>
              <w:rPr>
                <w:w w:val="100"/>
                <w:kern w:val="0"/>
                <w:sz w:val="18"/>
                <w:szCs w:val="18"/>
              </w:rPr>
              <w:t>-0.9</w:t>
            </w:r>
          </w:p>
        </w:tc>
        <w:tc>
          <w:tcPr>
            <w:tcW w:w="1779" w:type="dxa"/>
            <w:tcBorders>
              <w:top w:val="single" w:sz="4" w:space="0" w:color="000000"/>
              <w:left w:val="single" w:sz="4" w:space="0" w:color="000000"/>
              <w:bottom w:val="single" w:sz="4" w:space="0" w:color="000000"/>
              <w:right w:val="single" w:sz="4" w:space="0" w:color="000000"/>
            </w:tcBorders>
          </w:tcPr>
          <w:p w14:paraId="5C1EF6A6" w14:textId="2C4593C0" w:rsidR="00093BA2" w:rsidRPr="00C61193" w:rsidRDefault="00C61193" w:rsidP="00A83E20">
            <w:pPr>
              <w:pStyle w:val="Tablesmall"/>
              <w:rPr>
                <w:rFonts w:cs="Times New Roman"/>
              </w:rPr>
            </w:pPr>
            <w:r>
              <w:rPr>
                <w:rFonts w:cs="Times New Roman"/>
              </w:rPr>
              <w:t>N/A</w:t>
            </w:r>
          </w:p>
        </w:tc>
      </w:tr>
      <w:tr w:rsidR="00093BA2" w:rsidRPr="001753CD" w14:paraId="398252EA" w14:textId="77777777" w:rsidTr="003D36B6">
        <w:tc>
          <w:tcPr>
            <w:tcW w:w="959" w:type="dxa"/>
            <w:tcBorders>
              <w:top w:val="single" w:sz="4" w:space="0" w:color="000000"/>
              <w:left w:val="single" w:sz="4" w:space="0" w:color="000000"/>
              <w:bottom w:val="single" w:sz="4" w:space="0" w:color="000000"/>
              <w:right w:val="single" w:sz="4" w:space="0" w:color="000000"/>
            </w:tcBorders>
            <w:shd w:val="clear" w:color="auto" w:fill="auto"/>
          </w:tcPr>
          <w:p w14:paraId="4F5AE68E" w14:textId="110BF4D3" w:rsidR="00093BA2" w:rsidRPr="001753CD" w:rsidRDefault="00093BA2" w:rsidP="001753CD">
            <w:pPr>
              <w:spacing w:after="0"/>
              <w:jc w:val="center"/>
              <w:rPr>
                <w:w w:val="100"/>
                <w:kern w:val="0"/>
                <w:sz w:val="18"/>
                <w:szCs w:val="18"/>
              </w:rPr>
            </w:pPr>
            <w:r w:rsidRPr="001753CD">
              <w:rPr>
                <w:bCs/>
                <w:w w:val="100"/>
                <w:kern w:val="0"/>
                <w:sz w:val="18"/>
                <w:szCs w:val="18"/>
                <w:u w:val="single"/>
              </w:rPr>
              <w:t>INFOSEC-7</w:t>
            </w:r>
          </w:p>
        </w:tc>
        <w:tc>
          <w:tcPr>
            <w:tcW w:w="3889" w:type="dxa"/>
            <w:tcBorders>
              <w:top w:val="single" w:sz="4" w:space="0" w:color="000000"/>
              <w:left w:val="single" w:sz="4" w:space="0" w:color="000000"/>
              <w:bottom w:val="single" w:sz="4" w:space="0" w:color="000000"/>
              <w:right w:val="single" w:sz="4" w:space="0" w:color="000000"/>
            </w:tcBorders>
            <w:shd w:val="clear" w:color="auto" w:fill="auto"/>
          </w:tcPr>
          <w:p w14:paraId="6D4BBB90" w14:textId="12BBFAEE" w:rsidR="00093BA2" w:rsidRPr="001753CD" w:rsidRDefault="00093BA2" w:rsidP="00A83E20">
            <w:pPr>
              <w:pStyle w:val="Tablesmall"/>
              <w:rPr>
                <w:bCs/>
              </w:rPr>
            </w:pPr>
            <w:r w:rsidRPr="001753CD">
              <w:rPr>
                <w:bCs/>
              </w:rPr>
              <w:t xml:space="preserve">Entities must ensure that entity information security measures for all information processes, ICT systems and infrastructure adhere to any legislative or regulatory obligations under which the entity operates. </w:t>
            </w:r>
          </w:p>
        </w:tc>
        <w:tc>
          <w:tcPr>
            <w:tcW w:w="1276" w:type="dxa"/>
            <w:tcBorders>
              <w:top w:val="single" w:sz="4" w:space="0" w:color="000000"/>
              <w:left w:val="single" w:sz="4" w:space="0" w:color="000000"/>
              <w:bottom w:val="single" w:sz="4" w:space="0" w:color="000000"/>
              <w:right w:val="single" w:sz="4" w:space="0" w:color="000000"/>
            </w:tcBorders>
          </w:tcPr>
          <w:p w14:paraId="0D676552" w14:textId="62B5FEDA" w:rsidR="00093BA2" w:rsidRPr="001753CD" w:rsidRDefault="00AA6C85" w:rsidP="00093BA2">
            <w:pPr>
              <w:spacing w:after="0" w:line="271" w:lineRule="auto"/>
              <w:jc w:val="right"/>
              <w:rPr>
                <w:w w:val="100"/>
                <w:kern w:val="0"/>
                <w:sz w:val="18"/>
                <w:szCs w:val="18"/>
              </w:rPr>
            </w:pPr>
            <w:r>
              <w:rPr>
                <w:w w:val="100"/>
                <w:kern w:val="0"/>
                <w:sz w:val="18"/>
                <w:szCs w:val="18"/>
              </w:rPr>
              <w:t>89</w:t>
            </w:r>
          </w:p>
        </w:tc>
        <w:tc>
          <w:tcPr>
            <w:tcW w:w="850" w:type="dxa"/>
            <w:tcBorders>
              <w:top w:val="single" w:sz="4" w:space="0" w:color="000000"/>
              <w:left w:val="single" w:sz="4" w:space="0" w:color="000000"/>
              <w:bottom w:val="single" w:sz="4" w:space="0" w:color="000000"/>
              <w:right w:val="single" w:sz="4" w:space="0" w:color="000000"/>
            </w:tcBorders>
          </w:tcPr>
          <w:p w14:paraId="52A6C4BE" w14:textId="3C1E4EAD" w:rsidR="00093BA2" w:rsidRPr="00093BA2" w:rsidRDefault="00093BA2" w:rsidP="00093BA2">
            <w:pPr>
              <w:spacing w:after="0" w:line="271" w:lineRule="auto"/>
              <w:jc w:val="right"/>
              <w:rPr>
                <w:w w:val="100"/>
                <w:kern w:val="0"/>
                <w:sz w:val="18"/>
                <w:szCs w:val="18"/>
              </w:rPr>
            </w:pPr>
            <w:r w:rsidRPr="00093BA2">
              <w:rPr>
                <w:color w:val="000000"/>
                <w:sz w:val="18"/>
              </w:rPr>
              <w:t>94.7%</w:t>
            </w:r>
          </w:p>
        </w:tc>
        <w:tc>
          <w:tcPr>
            <w:tcW w:w="851" w:type="dxa"/>
            <w:tcBorders>
              <w:top w:val="single" w:sz="4" w:space="0" w:color="000000"/>
              <w:left w:val="single" w:sz="4" w:space="0" w:color="000000"/>
              <w:bottom w:val="single" w:sz="4" w:space="0" w:color="000000"/>
              <w:right w:val="single" w:sz="4" w:space="0" w:color="000000"/>
            </w:tcBorders>
          </w:tcPr>
          <w:p w14:paraId="62D69193" w14:textId="2DC45398" w:rsidR="00093BA2" w:rsidRPr="001753CD" w:rsidRDefault="00093BA2" w:rsidP="00093BA2">
            <w:pPr>
              <w:spacing w:after="0" w:line="271" w:lineRule="auto"/>
              <w:jc w:val="right"/>
              <w:rPr>
                <w:w w:val="100"/>
                <w:kern w:val="0"/>
                <w:sz w:val="18"/>
                <w:szCs w:val="18"/>
              </w:rPr>
            </w:pPr>
            <w:r>
              <w:rPr>
                <w:w w:val="100"/>
                <w:kern w:val="0"/>
                <w:sz w:val="18"/>
                <w:szCs w:val="18"/>
              </w:rPr>
              <w:t>95.7%</w:t>
            </w:r>
          </w:p>
        </w:tc>
        <w:tc>
          <w:tcPr>
            <w:tcW w:w="930" w:type="dxa"/>
            <w:tcBorders>
              <w:top w:val="single" w:sz="4" w:space="0" w:color="000000"/>
              <w:left w:val="single" w:sz="4" w:space="0" w:color="000000"/>
              <w:bottom w:val="single" w:sz="4" w:space="0" w:color="000000"/>
              <w:right w:val="single" w:sz="4" w:space="0" w:color="000000"/>
            </w:tcBorders>
          </w:tcPr>
          <w:p w14:paraId="5C9BAB76" w14:textId="3AACAB2D" w:rsidR="00093BA2" w:rsidRPr="001753CD" w:rsidRDefault="00093BA2" w:rsidP="00093BA2">
            <w:pPr>
              <w:spacing w:after="0" w:line="271" w:lineRule="auto"/>
              <w:jc w:val="right"/>
              <w:rPr>
                <w:w w:val="100"/>
                <w:kern w:val="0"/>
                <w:sz w:val="18"/>
                <w:szCs w:val="18"/>
              </w:rPr>
            </w:pPr>
            <w:r>
              <w:rPr>
                <w:w w:val="100"/>
                <w:kern w:val="0"/>
                <w:sz w:val="18"/>
                <w:szCs w:val="18"/>
              </w:rPr>
              <w:t>-1.0</w:t>
            </w:r>
          </w:p>
        </w:tc>
        <w:tc>
          <w:tcPr>
            <w:tcW w:w="1779" w:type="dxa"/>
            <w:tcBorders>
              <w:top w:val="single" w:sz="4" w:space="0" w:color="000000"/>
              <w:left w:val="single" w:sz="4" w:space="0" w:color="000000"/>
              <w:bottom w:val="single" w:sz="4" w:space="0" w:color="000000"/>
              <w:right w:val="single" w:sz="4" w:space="0" w:color="000000"/>
            </w:tcBorders>
          </w:tcPr>
          <w:p w14:paraId="5B0DBFC2" w14:textId="0441ECDB" w:rsidR="00093BA2" w:rsidRPr="00C61193" w:rsidRDefault="00C61193" w:rsidP="00A83E20">
            <w:pPr>
              <w:pStyle w:val="Tablesmall"/>
            </w:pPr>
            <w:r>
              <w:t>N/A</w:t>
            </w:r>
          </w:p>
        </w:tc>
      </w:tr>
      <w:tr w:rsidR="00144272" w:rsidRPr="001753CD" w14:paraId="21567B3A" w14:textId="77777777" w:rsidTr="00E64F15">
        <w:tc>
          <w:tcPr>
            <w:tcW w:w="10534" w:type="dxa"/>
            <w:gridSpan w:val="7"/>
            <w:tcBorders>
              <w:top w:val="single" w:sz="4" w:space="0" w:color="000000"/>
              <w:left w:val="single" w:sz="4" w:space="0" w:color="000000"/>
              <w:bottom w:val="single" w:sz="4" w:space="0" w:color="000000"/>
              <w:right w:val="single" w:sz="4" w:space="0" w:color="000000"/>
            </w:tcBorders>
            <w:shd w:val="clear" w:color="auto" w:fill="C6D9F1" w:themeFill="text2" w:themeFillTint="33"/>
          </w:tcPr>
          <w:p w14:paraId="57B3A1E4" w14:textId="2D4C351D" w:rsidR="00144272" w:rsidRPr="001753CD" w:rsidRDefault="00144272" w:rsidP="00A83E20">
            <w:pPr>
              <w:pStyle w:val="Tablesmall"/>
              <w:rPr>
                <w:b/>
              </w:rPr>
            </w:pPr>
            <w:r w:rsidRPr="001753CD">
              <w:rPr>
                <w:rFonts w:eastAsia="Times New Roman"/>
                <w:b/>
                <w:color w:val="000000"/>
              </w:rPr>
              <w:t>Physical security</w:t>
            </w:r>
          </w:p>
        </w:tc>
      </w:tr>
      <w:tr w:rsidR="00144272" w:rsidRPr="001753CD" w14:paraId="46B2A4D4" w14:textId="77777777" w:rsidTr="003D36B6">
        <w:tc>
          <w:tcPr>
            <w:tcW w:w="959" w:type="dxa"/>
            <w:tcBorders>
              <w:top w:val="single" w:sz="4" w:space="0" w:color="000000"/>
              <w:left w:val="single" w:sz="4" w:space="0" w:color="000000"/>
              <w:bottom w:val="single" w:sz="4" w:space="0" w:color="000000"/>
              <w:right w:val="single" w:sz="4" w:space="0" w:color="000000"/>
            </w:tcBorders>
            <w:shd w:val="clear" w:color="auto" w:fill="auto"/>
          </w:tcPr>
          <w:p w14:paraId="0DC219EB" w14:textId="5F9E6848" w:rsidR="00144272" w:rsidRPr="001753CD" w:rsidRDefault="00144272" w:rsidP="001753CD">
            <w:pPr>
              <w:spacing w:after="0"/>
              <w:jc w:val="center"/>
              <w:rPr>
                <w:w w:val="100"/>
                <w:kern w:val="0"/>
                <w:sz w:val="20"/>
                <w:szCs w:val="20"/>
              </w:rPr>
            </w:pPr>
            <w:r w:rsidRPr="001753CD">
              <w:rPr>
                <w:bCs/>
                <w:w w:val="100"/>
                <w:kern w:val="0"/>
                <w:sz w:val="18"/>
                <w:szCs w:val="18"/>
                <w:u w:val="single"/>
              </w:rPr>
              <w:t>PHYSEC-1</w:t>
            </w:r>
          </w:p>
        </w:tc>
        <w:tc>
          <w:tcPr>
            <w:tcW w:w="3889" w:type="dxa"/>
            <w:tcBorders>
              <w:top w:val="single" w:sz="4" w:space="0" w:color="000000"/>
              <w:left w:val="single" w:sz="4" w:space="0" w:color="000000"/>
              <w:bottom w:val="single" w:sz="4" w:space="0" w:color="000000"/>
              <w:right w:val="single" w:sz="4" w:space="0" w:color="000000"/>
            </w:tcBorders>
            <w:shd w:val="clear" w:color="auto" w:fill="auto"/>
          </w:tcPr>
          <w:p w14:paraId="7F7F14A8" w14:textId="5B138EB0" w:rsidR="00144272" w:rsidRPr="001753CD" w:rsidRDefault="00144272" w:rsidP="00A83E20">
            <w:pPr>
              <w:pStyle w:val="Tablesmall"/>
              <w:rPr>
                <w:sz w:val="20"/>
                <w:szCs w:val="20"/>
              </w:rPr>
            </w:pPr>
            <w:r w:rsidRPr="001753CD">
              <w:t>Entity heads must provide clear direction on physical security through the development and implementation of an entity physical security policy, and address entity physical security requirements as part of the entity security plan.</w:t>
            </w:r>
          </w:p>
        </w:tc>
        <w:tc>
          <w:tcPr>
            <w:tcW w:w="1276" w:type="dxa"/>
            <w:tcBorders>
              <w:top w:val="single" w:sz="4" w:space="0" w:color="000000"/>
              <w:left w:val="single" w:sz="4" w:space="0" w:color="000000"/>
              <w:bottom w:val="single" w:sz="4" w:space="0" w:color="000000"/>
              <w:right w:val="single" w:sz="4" w:space="0" w:color="000000"/>
            </w:tcBorders>
          </w:tcPr>
          <w:p w14:paraId="49487E1F" w14:textId="7AFEDB71" w:rsidR="00144272" w:rsidRPr="001753CD" w:rsidRDefault="00AA6C85" w:rsidP="00093BA2">
            <w:pPr>
              <w:spacing w:after="0" w:line="271" w:lineRule="auto"/>
              <w:jc w:val="right"/>
              <w:rPr>
                <w:w w:val="100"/>
                <w:kern w:val="0"/>
                <w:sz w:val="18"/>
                <w:szCs w:val="18"/>
              </w:rPr>
            </w:pPr>
            <w:r>
              <w:rPr>
                <w:w w:val="100"/>
                <w:kern w:val="0"/>
                <w:sz w:val="18"/>
                <w:szCs w:val="18"/>
              </w:rPr>
              <w:t>82</w:t>
            </w:r>
          </w:p>
        </w:tc>
        <w:tc>
          <w:tcPr>
            <w:tcW w:w="850" w:type="dxa"/>
            <w:tcBorders>
              <w:top w:val="single" w:sz="4" w:space="0" w:color="000000"/>
              <w:left w:val="single" w:sz="4" w:space="0" w:color="000000"/>
              <w:bottom w:val="single" w:sz="4" w:space="0" w:color="000000"/>
              <w:right w:val="single" w:sz="4" w:space="0" w:color="000000"/>
            </w:tcBorders>
          </w:tcPr>
          <w:p w14:paraId="7D1B464C" w14:textId="35D9D1DA" w:rsidR="00144272" w:rsidRPr="001753CD" w:rsidRDefault="00093BA2" w:rsidP="00093BA2">
            <w:pPr>
              <w:spacing w:after="0" w:line="271" w:lineRule="auto"/>
              <w:jc w:val="right"/>
              <w:rPr>
                <w:w w:val="100"/>
                <w:kern w:val="0"/>
                <w:sz w:val="18"/>
                <w:szCs w:val="18"/>
              </w:rPr>
            </w:pPr>
            <w:r>
              <w:rPr>
                <w:w w:val="100"/>
                <w:kern w:val="0"/>
                <w:sz w:val="18"/>
                <w:szCs w:val="18"/>
              </w:rPr>
              <w:t>87.2</w:t>
            </w:r>
            <w:r w:rsidR="00C61193">
              <w:rPr>
                <w:w w:val="100"/>
                <w:kern w:val="0"/>
                <w:sz w:val="18"/>
                <w:szCs w:val="18"/>
              </w:rPr>
              <w:t>%</w:t>
            </w:r>
          </w:p>
        </w:tc>
        <w:tc>
          <w:tcPr>
            <w:tcW w:w="851" w:type="dxa"/>
            <w:tcBorders>
              <w:top w:val="single" w:sz="4" w:space="0" w:color="000000"/>
              <w:left w:val="single" w:sz="4" w:space="0" w:color="000000"/>
              <w:bottom w:val="single" w:sz="4" w:space="0" w:color="000000"/>
              <w:right w:val="single" w:sz="4" w:space="0" w:color="000000"/>
            </w:tcBorders>
          </w:tcPr>
          <w:p w14:paraId="1A64C60D" w14:textId="5FC7C4C2" w:rsidR="00144272" w:rsidRPr="001753CD" w:rsidRDefault="00F837E9" w:rsidP="00093BA2">
            <w:pPr>
              <w:spacing w:after="0" w:line="271" w:lineRule="auto"/>
              <w:jc w:val="right"/>
              <w:rPr>
                <w:w w:val="100"/>
                <w:kern w:val="0"/>
                <w:sz w:val="18"/>
                <w:szCs w:val="18"/>
              </w:rPr>
            </w:pPr>
            <w:r>
              <w:rPr>
                <w:w w:val="100"/>
                <w:kern w:val="0"/>
                <w:sz w:val="18"/>
                <w:szCs w:val="18"/>
              </w:rPr>
              <w:t>86.0%</w:t>
            </w:r>
          </w:p>
        </w:tc>
        <w:tc>
          <w:tcPr>
            <w:tcW w:w="930" w:type="dxa"/>
            <w:tcBorders>
              <w:top w:val="single" w:sz="4" w:space="0" w:color="000000"/>
              <w:left w:val="single" w:sz="4" w:space="0" w:color="000000"/>
              <w:bottom w:val="single" w:sz="4" w:space="0" w:color="000000"/>
              <w:right w:val="single" w:sz="4" w:space="0" w:color="000000"/>
            </w:tcBorders>
          </w:tcPr>
          <w:p w14:paraId="270E9E8A" w14:textId="2097EB53" w:rsidR="00144272" w:rsidRPr="001753CD" w:rsidRDefault="00C61193" w:rsidP="00093BA2">
            <w:pPr>
              <w:spacing w:after="0" w:line="271" w:lineRule="auto"/>
              <w:jc w:val="right"/>
              <w:rPr>
                <w:w w:val="100"/>
                <w:kern w:val="0"/>
                <w:sz w:val="18"/>
                <w:szCs w:val="18"/>
              </w:rPr>
            </w:pPr>
            <w:r>
              <w:rPr>
                <w:w w:val="100"/>
                <w:kern w:val="0"/>
                <w:sz w:val="18"/>
                <w:szCs w:val="18"/>
              </w:rPr>
              <w:t>+1.2</w:t>
            </w:r>
          </w:p>
        </w:tc>
        <w:tc>
          <w:tcPr>
            <w:tcW w:w="1779" w:type="dxa"/>
            <w:tcBorders>
              <w:top w:val="single" w:sz="4" w:space="0" w:color="000000"/>
              <w:left w:val="single" w:sz="4" w:space="0" w:color="000000"/>
              <w:bottom w:val="single" w:sz="4" w:space="0" w:color="000000"/>
              <w:right w:val="single" w:sz="4" w:space="0" w:color="000000"/>
            </w:tcBorders>
          </w:tcPr>
          <w:p w14:paraId="76E4E859" w14:textId="70283CF3" w:rsidR="00144272" w:rsidRPr="001753CD" w:rsidRDefault="00C61193" w:rsidP="00A83E20">
            <w:pPr>
              <w:pStyle w:val="Tablesmall"/>
            </w:pPr>
            <w:r>
              <w:t>N/A</w:t>
            </w:r>
          </w:p>
        </w:tc>
      </w:tr>
      <w:tr w:rsidR="00144272" w:rsidRPr="001753CD" w14:paraId="18502487" w14:textId="77777777" w:rsidTr="003D36B6">
        <w:tc>
          <w:tcPr>
            <w:tcW w:w="959" w:type="dxa"/>
            <w:tcBorders>
              <w:top w:val="single" w:sz="4" w:space="0" w:color="000000"/>
              <w:left w:val="single" w:sz="4" w:space="0" w:color="000000"/>
              <w:bottom w:val="single" w:sz="4" w:space="0" w:color="000000"/>
              <w:right w:val="single" w:sz="4" w:space="0" w:color="000000"/>
            </w:tcBorders>
            <w:shd w:val="clear" w:color="auto" w:fill="auto"/>
          </w:tcPr>
          <w:p w14:paraId="4E6A34A7" w14:textId="1855CB6F" w:rsidR="00144272" w:rsidRPr="001753CD" w:rsidRDefault="00144272" w:rsidP="001753CD">
            <w:pPr>
              <w:spacing w:after="0"/>
              <w:jc w:val="center"/>
              <w:rPr>
                <w:w w:val="100"/>
                <w:kern w:val="0"/>
                <w:sz w:val="20"/>
                <w:szCs w:val="20"/>
              </w:rPr>
            </w:pPr>
            <w:r w:rsidRPr="001753CD">
              <w:rPr>
                <w:bCs/>
                <w:w w:val="100"/>
                <w:kern w:val="0"/>
                <w:sz w:val="18"/>
                <w:szCs w:val="18"/>
                <w:u w:val="single"/>
              </w:rPr>
              <w:t>PHYSEC-2</w:t>
            </w:r>
          </w:p>
        </w:tc>
        <w:tc>
          <w:tcPr>
            <w:tcW w:w="3889" w:type="dxa"/>
            <w:tcBorders>
              <w:top w:val="single" w:sz="4" w:space="0" w:color="000000"/>
              <w:left w:val="single" w:sz="4" w:space="0" w:color="000000"/>
              <w:bottom w:val="single" w:sz="4" w:space="0" w:color="000000"/>
              <w:right w:val="single" w:sz="4" w:space="0" w:color="000000"/>
            </w:tcBorders>
            <w:shd w:val="clear" w:color="auto" w:fill="auto"/>
          </w:tcPr>
          <w:p w14:paraId="2E6A1E78" w14:textId="77777777" w:rsidR="00144272" w:rsidRPr="001753CD" w:rsidRDefault="00144272" w:rsidP="00A83E20">
            <w:pPr>
              <w:pStyle w:val="Tablesmall"/>
            </w:pPr>
            <w:r w:rsidRPr="001753CD">
              <w:t>Entities must have in place policies and procedures to:</w:t>
            </w:r>
          </w:p>
          <w:p w14:paraId="381F9D76" w14:textId="77777777" w:rsidR="00144272" w:rsidRPr="00A83E20" w:rsidRDefault="00144272" w:rsidP="00A83E20">
            <w:pPr>
              <w:pStyle w:val="Tablesmall"/>
              <w:numPr>
                <w:ilvl w:val="0"/>
                <w:numId w:val="24"/>
              </w:numPr>
            </w:pPr>
            <w:proofErr w:type="gramStart"/>
            <w:r w:rsidRPr="001753CD">
              <w:rPr>
                <w:bCs/>
              </w:rPr>
              <w:t>identify</w:t>
            </w:r>
            <w:proofErr w:type="gramEnd"/>
            <w:r w:rsidRPr="001753CD">
              <w:rPr>
                <w:bCs/>
              </w:rPr>
              <w:t xml:space="preserve">, protect and support employees under threat </w:t>
            </w:r>
            <w:r w:rsidRPr="00A83E20">
              <w:t>of violence, based on a threat and risk assessment of specific situations. In certain cases, entities may have to extend protection and support to family members and others</w:t>
            </w:r>
          </w:p>
          <w:p w14:paraId="2FE896BA" w14:textId="77777777" w:rsidR="00144272" w:rsidRPr="00A83E20" w:rsidRDefault="00144272" w:rsidP="00A83E20">
            <w:pPr>
              <w:pStyle w:val="Tablesmall"/>
              <w:numPr>
                <w:ilvl w:val="0"/>
                <w:numId w:val="24"/>
              </w:numPr>
            </w:pPr>
            <w:r w:rsidRPr="00A83E20">
              <w:t>report incidents to management, human resources, security and law enforcement authorities, as appropriate</w:t>
            </w:r>
          </w:p>
          <w:p w14:paraId="71A30E1C" w14:textId="77777777" w:rsidR="00A83E20" w:rsidRDefault="00144272" w:rsidP="00A83E20">
            <w:pPr>
              <w:pStyle w:val="Tablesmall"/>
              <w:numPr>
                <w:ilvl w:val="0"/>
                <w:numId w:val="24"/>
              </w:numPr>
              <w:rPr>
                <w:bCs/>
              </w:rPr>
            </w:pPr>
            <w:r w:rsidRPr="00A83E20">
              <w:t>pro</w:t>
            </w:r>
            <w:r w:rsidRPr="001753CD">
              <w:rPr>
                <w:bCs/>
              </w:rPr>
              <w:t>vide information, training and counselling to employees, and</w:t>
            </w:r>
          </w:p>
          <w:p w14:paraId="5B72CA20" w14:textId="17613FAF" w:rsidR="00144272" w:rsidRPr="00A83E20" w:rsidRDefault="00144272" w:rsidP="00A83E20">
            <w:pPr>
              <w:pStyle w:val="Tablesmall"/>
              <w:numPr>
                <w:ilvl w:val="0"/>
                <w:numId w:val="24"/>
              </w:numPr>
              <w:rPr>
                <w:bCs/>
              </w:rPr>
            </w:pPr>
            <w:proofErr w:type="gramStart"/>
            <w:r w:rsidRPr="001753CD">
              <w:t>maintain</w:t>
            </w:r>
            <w:proofErr w:type="gramEnd"/>
            <w:r w:rsidRPr="001753CD">
              <w:t xml:space="preserve"> thorough records and statements on reported incidents.</w:t>
            </w:r>
          </w:p>
        </w:tc>
        <w:tc>
          <w:tcPr>
            <w:tcW w:w="1276" w:type="dxa"/>
            <w:tcBorders>
              <w:top w:val="single" w:sz="4" w:space="0" w:color="000000"/>
              <w:left w:val="single" w:sz="4" w:space="0" w:color="000000"/>
              <w:bottom w:val="single" w:sz="4" w:space="0" w:color="000000"/>
              <w:right w:val="single" w:sz="4" w:space="0" w:color="000000"/>
            </w:tcBorders>
          </w:tcPr>
          <w:p w14:paraId="5DC11733" w14:textId="1E356D9F" w:rsidR="00144272" w:rsidRPr="001753CD" w:rsidRDefault="00AA6C85" w:rsidP="00093BA2">
            <w:pPr>
              <w:spacing w:after="0" w:line="271" w:lineRule="auto"/>
              <w:jc w:val="right"/>
              <w:rPr>
                <w:w w:val="100"/>
                <w:kern w:val="0"/>
                <w:sz w:val="18"/>
                <w:szCs w:val="18"/>
              </w:rPr>
            </w:pPr>
            <w:r>
              <w:rPr>
                <w:w w:val="100"/>
                <w:kern w:val="0"/>
                <w:sz w:val="18"/>
                <w:szCs w:val="18"/>
              </w:rPr>
              <w:t>90</w:t>
            </w:r>
          </w:p>
        </w:tc>
        <w:tc>
          <w:tcPr>
            <w:tcW w:w="850" w:type="dxa"/>
            <w:tcBorders>
              <w:top w:val="single" w:sz="4" w:space="0" w:color="000000"/>
              <w:left w:val="single" w:sz="4" w:space="0" w:color="000000"/>
              <w:bottom w:val="single" w:sz="4" w:space="0" w:color="000000"/>
              <w:right w:val="single" w:sz="4" w:space="0" w:color="000000"/>
            </w:tcBorders>
          </w:tcPr>
          <w:p w14:paraId="53A3D6BE" w14:textId="00547B41" w:rsidR="00144272" w:rsidRPr="001753CD" w:rsidRDefault="00C61193" w:rsidP="00093BA2">
            <w:pPr>
              <w:spacing w:after="0" w:line="271" w:lineRule="auto"/>
              <w:jc w:val="right"/>
              <w:rPr>
                <w:w w:val="100"/>
                <w:kern w:val="0"/>
                <w:sz w:val="18"/>
                <w:szCs w:val="18"/>
              </w:rPr>
            </w:pPr>
            <w:r>
              <w:rPr>
                <w:w w:val="100"/>
                <w:kern w:val="0"/>
                <w:sz w:val="18"/>
                <w:szCs w:val="18"/>
              </w:rPr>
              <w:t>95.7%</w:t>
            </w:r>
          </w:p>
        </w:tc>
        <w:tc>
          <w:tcPr>
            <w:tcW w:w="851" w:type="dxa"/>
            <w:tcBorders>
              <w:top w:val="single" w:sz="4" w:space="0" w:color="000000"/>
              <w:left w:val="single" w:sz="4" w:space="0" w:color="000000"/>
              <w:bottom w:val="single" w:sz="4" w:space="0" w:color="000000"/>
              <w:right w:val="single" w:sz="4" w:space="0" w:color="000000"/>
            </w:tcBorders>
          </w:tcPr>
          <w:p w14:paraId="4F722159" w14:textId="0DD43ED1" w:rsidR="00144272" w:rsidRPr="001753CD" w:rsidRDefault="00F837E9" w:rsidP="00093BA2">
            <w:pPr>
              <w:spacing w:after="0" w:line="271" w:lineRule="auto"/>
              <w:jc w:val="right"/>
              <w:rPr>
                <w:w w:val="100"/>
                <w:kern w:val="0"/>
                <w:sz w:val="18"/>
                <w:szCs w:val="18"/>
              </w:rPr>
            </w:pPr>
            <w:r>
              <w:rPr>
                <w:w w:val="100"/>
                <w:kern w:val="0"/>
                <w:sz w:val="18"/>
                <w:szCs w:val="18"/>
              </w:rPr>
              <w:t>92.5%</w:t>
            </w:r>
          </w:p>
        </w:tc>
        <w:tc>
          <w:tcPr>
            <w:tcW w:w="930" w:type="dxa"/>
            <w:tcBorders>
              <w:top w:val="single" w:sz="4" w:space="0" w:color="000000"/>
              <w:left w:val="single" w:sz="4" w:space="0" w:color="000000"/>
              <w:bottom w:val="single" w:sz="4" w:space="0" w:color="000000"/>
              <w:right w:val="single" w:sz="4" w:space="0" w:color="000000"/>
            </w:tcBorders>
          </w:tcPr>
          <w:p w14:paraId="68762381" w14:textId="3638155A" w:rsidR="00144272" w:rsidRPr="001753CD" w:rsidRDefault="00C61193" w:rsidP="00093BA2">
            <w:pPr>
              <w:spacing w:after="0" w:line="271" w:lineRule="auto"/>
              <w:jc w:val="right"/>
              <w:rPr>
                <w:w w:val="100"/>
                <w:kern w:val="0"/>
                <w:sz w:val="18"/>
                <w:szCs w:val="18"/>
              </w:rPr>
            </w:pPr>
            <w:r>
              <w:rPr>
                <w:w w:val="100"/>
                <w:kern w:val="0"/>
                <w:sz w:val="18"/>
                <w:szCs w:val="18"/>
              </w:rPr>
              <w:t>+3.2</w:t>
            </w:r>
          </w:p>
        </w:tc>
        <w:tc>
          <w:tcPr>
            <w:tcW w:w="1779" w:type="dxa"/>
            <w:tcBorders>
              <w:top w:val="single" w:sz="4" w:space="0" w:color="000000"/>
              <w:left w:val="single" w:sz="4" w:space="0" w:color="000000"/>
              <w:bottom w:val="single" w:sz="4" w:space="0" w:color="000000"/>
              <w:right w:val="single" w:sz="4" w:space="0" w:color="000000"/>
            </w:tcBorders>
          </w:tcPr>
          <w:p w14:paraId="173CF358" w14:textId="52B71EFD" w:rsidR="00144272" w:rsidRPr="001753CD" w:rsidRDefault="00C61193" w:rsidP="00A83E20">
            <w:pPr>
              <w:pStyle w:val="Tablesmall"/>
            </w:pPr>
            <w:r>
              <w:t>N/A</w:t>
            </w:r>
          </w:p>
        </w:tc>
      </w:tr>
      <w:tr w:rsidR="00144272" w:rsidRPr="001753CD" w14:paraId="6DDD9375" w14:textId="77777777" w:rsidTr="003D36B6">
        <w:tc>
          <w:tcPr>
            <w:tcW w:w="959" w:type="dxa"/>
            <w:tcBorders>
              <w:top w:val="single" w:sz="4" w:space="0" w:color="000000"/>
              <w:left w:val="single" w:sz="4" w:space="0" w:color="000000"/>
              <w:bottom w:val="single" w:sz="4" w:space="0" w:color="000000"/>
              <w:right w:val="single" w:sz="4" w:space="0" w:color="000000"/>
            </w:tcBorders>
            <w:shd w:val="clear" w:color="auto" w:fill="auto"/>
          </w:tcPr>
          <w:p w14:paraId="5596134D" w14:textId="68B579B8" w:rsidR="00144272" w:rsidRPr="001753CD" w:rsidRDefault="00144272" w:rsidP="001753CD">
            <w:pPr>
              <w:spacing w:after="0"/>
              <w:jc w:val="center"/>
              <w:rPr>
                <w:w w:val="100"/>
                <w:kern w:val="0"/>
                <w:sz w:val="20"/>
                <w:szCs w:val="20"/>
              </w:rPr>
            </w:pPr>
            <w:r w:rsidRPr="001753CD">
              <w:rPr>
                <w:bCs/>
                <w:w w:val="100"/>
                <w:kern w:val="0"/>
                <w:sz w:val="18"/>
                <w:szCs w:val="18"/>
                <w:u w:val="single"/>
              </w:rPr>
              <w:t>PHYSEC-3</w:t>
            </w:r>
          </w:p>
        </w:tc>
        <w:tc>
          <w:tcPr>
            <w:tcW w:w="3889" w:type="dxa"/>
            <w:tcBorders>
              <w:top w:val="single" w:sz="4" w:space="0" w:color="000000"/>
              <w:left w:val="single" w:sz="4" w:space="0" w:color="000000"/>
              <w:bottom w:val="single" w:sz="4" w:space="0" w:color="000000"/>
              <w:right w:val="single" w:sz="4" w:space="0" w:color="000000"/>
            </w:tcBorders>
            <w:shd w:val="clear" w:color="auto" w:fill="auto"/>
          </w:tcPr>
          <w:p w14:paraId="796F5D04" w14:textId="150B7431" w:rsidR="00144272" w:rsidRPr="001753CD" w:rsidRDefault="00144272" w:rsidP="00A83E20">
            <w:pPr>
              <w:pStyle w:val="Tablesmall"/>
              <w:rPr>
                <w:sz w:val="20"/>
                <w:szCs w:val="20"/>
              </w:rPr>
            </w:pPr>
            <w:r w:rsidRPr="001753CD">
              <w:t>Entities must ensure they fully integrate protective security early in the process of planning, selecting, designing and modifying their facilities.</w:t>
            </w:r>
          </w:p>
        </w:tc>
        <w:tc>
          <w:tcPr>
            <w:tcW w:w="1276" w:type="dxa"/>
            <w:tcBorders>
              <w:top w:val="single" w:sz="4" w:space="0" w:color="000000"/>
              <w:left w:val="single" w:sz="4" w:space="0" w:color="000000"/>
              <w:bottom w:val="single" w:sz="4" w:space="0" w:color="000000"/>
              <w:right w:val="single" w:sz="4" w:space="0" w:color="000000"/>
            </w:tcBorders>
          </w:tcPr>
          <w:p w14:paraId="40505FCF" w14:textId="02BB3213" w:rsidR="00144272" w:rsidRPr="001753CD" w:rsidRDefault="00AA6C85" w:rsidP="00093BA2">
            <w:pPr>
              <w:spacing w:after="0" w:line="271" w:lineRule="auto"/>
              <w:jc w:val="right"/>
              <w:rPr>
                <w:w w:val="100"/>
                <w:kern w:val="0"/>
                <w:sz w:val="18"/>
                <w:szCs w:val="18"/>
              </w:rPr>
            </w:pPr>
            <w:r>
              <w:rPr>
                <w:w w:val="100"/>
                <w:kern w:val="0"/>
                <w:sz w:val="18"/>
                <w:szCs w:val="18"/>
              </w:rPr>
              <w:t>87 (excl. 1 N/A)</w:t>
            </w:r>
          </w:p>
        </w:tc>
        <w:tc>
          <w:tcPr>
            <w:tcW w:w="850" w:type="dxa"/>
            <w:tcBorders>
              <w:top w:val="single" w:sz="4" w:space="0" w:color="000000"/>
              <w:left w:val="single" w:sz="4" w:space="0" w:color="000000"/>
              <w:bottom w:val="single" w:sz="4" w:space="0" w:color="000000"/>
              <w:right w:val="single" w:sz="4" w:space="0" w:color="000000"/>
            </w:tcBorders>
          </w:tcPr>
          <w:p w14:paraId="66785DB1" w14:textId="44092509" w:rsidR="00144272" w:rsidRPr="001753CD" w:rsidRDefault="00C61193" w:rsidP="00093BA2">
            <w:pPr>
              <w:spacing w:after="0" w:line="271" w:lineRule="auto"/>
              <w:jc w:val="right"/>
              <w:rPr>
                <w:w w:val="100"/>
                <w:kern w:val="0"/>
                <w:sz w:val="18"/>
                <w:szCs w:val="18"/>
              </w:rPr>
            </w:pPr>
            <w:r>
              <w:rPr>
                <w:w w:val="100"/>
                <w:kern w:val="0"/>
                <w:sz w:val="18"/>
                <w:szCs w:val="18"/>
              </w:rPr>
              <w:t>92.6%</w:t>
            </w:r>
          </w:p>
        </w:tc>
        <w:tc>
          <w:tcPr>
            <w:tcW w:w="851" w:type="dxa"/>
            <w:tcBorders>
              <w:top w:val="single" w:sz="4" w:space="0" w:color="000000"/>
              <w:left w:val="single" w:sz="4" w:space="0" w:color="000000"/>
              <w:bottom w:val="single" w:sz="4" w:space="0" w:color="000000"/>
              <w:right w:val="single" w:sz="4" w:space="0" w:color="000000"/>
            </w:tcBorders>
          </w:tcPr>
          <w:p w14:paraId="32AF32CF" w14:textId="227A8077" w:rsidR="00144272" w:rsidRPr="001753CD" w:rsidRDefault="00F837E9" w:rsidP="00093BA2">
            <w:pPr>
              <w:spacing w:after="0" w:line="271" w:lineRule="auto"/>
              <w:jc w:val="right"/>
              <w:rPr>
                <w:w w:val="100"/>
                <w:kern w:val="0"/>
                <w:sz w:val="18"/>
                <w:szCs w:val="18"/>
              </w:rPr>
            </w:pPr>
            <w:r>
              <w:rPr>
                <w:w w:val="100"/>
                <w:kern w:val="0"/>
                <w:sz w:val="18"/>
                <w:szCs w:val="18"/>
              </w:rPr>
              <w:t>94.6%</w:t>
            </w:r>
          </w:p>
        </w:tc>
        <w:tc>
          <w:tcPr>
            <w:tcW w:w="930" w:type="dxa"/>
            <w:tcBorders>
              <w:top w:val="single" w:sz="4" w:space="0" w:color="000000"/>
              <w:left w:val="single" w:sz="4" w:space="0" w:color="000000"/>
              <w:bottom w:val="single" w:sz="4" w:space="0" w:color="000000"/>
              <w:right w:val="single" w:sz="4" w:space="0" w:color="000000"/>
            </w:tcBorders>
          </w:tcPr>
          <w:p w14:paraId="063CEB12" w14:textId="20D3AB42" w:rsidR="00144272" w:rsidRPr="001753CD" w:rsidRDefault="00C61193" w:rsidP="00093BA2">
            <w:pPr>
              <w:spacing w:after="0" w:line="271" w:lineRule="auto"/>
              <w:jc w:val="right"/>
              <w:rPr>
                <w:w w:val="100"/>
                <w:kern w:val="0"/>
                <w:sz w:val="18"/>
                <w:szCs w:val="18"/>
              </w:rPr>
            </w:pPr>
            <w:r>
              <w:rPr>
                <w:w w:val="100"/>
                <w:kern w:val="0"/>
                <w:sz w:val="18"/>
                <w:szCs w:val="18"/>
              </w:rPr>
              <w:t>-2.0</w:t>
            </w:r>
          </w:p>
        </w:tc>
        <w:tc>
          <w:tcPr>
            <w:tcW w:w="1779" w:type="dxa"/>
            <w:tcBorders>
              <w:top w:val="single" w:sz="4" w:space="0" w:color="000000"/>
              <w:left w:val="single" w:sz="4" w:space="0" w:color="000000"/>
              <w:bottom w:val="single" w:sz="4" w:space="0" w:color="000000"/>
              <w:right w:val="single" w:sz="4" w:space="0" w:color="000000"/>
            </w:tcBorders>
          </w:tcPr>
          <w:p w14:paraId="6A12CA08" w14:textId="562CB6EF" w:rsidR="00144272" w:rsidRPr="001753CD" w:rsidRDefault="00C61193" w:rsidP="00A83E20">
            <w:pPr>
              <w:pStyle w:val="Tablesmall"/>
            </w:pPr>
            <w:r>
              <w:t>N/A</w:t>
            </w:r>
          </w:p>
        </w:tc>
      </w:tr>
      <w:tr w:rsidR="00144272" w:rsidRPr="001753CD" w14:paraId="1697A0DE" w14:textId="77777777" w:rsidTr="003D36B6">
        <w:tc>
          <w:tcPr>
            <w:tcW w:w="959" w:type="dxa"/>
            <w:tcBorders>
              <w:top w:val="single" w:sz="4" w:space="0" w:color="000000"/>
              <w:left w:val="single" w:sz="4" w:space="0" w:color="000000"/>
              <w:bottom w:val="single" w:sz="4" w:space="0" w:color="000000"/>
              <w:right w:val="single" w:sz="4" w:space="0" w:color="000000"/>
            </w:tcBorders>
            <w:shd w:val="clear" w:color="auto" w:fill="auto"/>
          </w:tcPr>
          <w:p w14:paraId="686EE7B0" w14:textId="7375484D" w:rsidR="00144272" w:rsidRPr="001753CD" w:rsidRDefault="00144272" w:rsidP="001753CD">
            <w:pPr>
              <w:spacing w:after="0"/>
              <w:jc w:val="center"/>
              <w:rPr>
                <w:w w:val="100"/>
                <w:kern w:val="0"/>
                <w:sz w:val="20"/>
                <w:szCs w:val="20"/>
              </w:rPr>
            </w:pPr>
            <w:r w:rsidRPr="001753CD">
              <w:rPr>
                <w:bCs/>
                <w:w w:val="100"/>
                <w:kern w:val="0"/>
                <w:sz w:val="18"/>
                <w:szCs w:val="18"/>
                <w:u w:val="single"/>
              </w:rPr>
              <w:t>PHYSEC-4</w:t>
            </w:r>
          </w:p>
        </w:tc>
        <w:tc>
          <w:tcPr>
            <w:tcW w:w="3889" w:type="dxa"/>
            <w:tcBorders>
              <w:top w:val="single" w:sz="4" w:space="0" w:color="000000"/>
              <w:left w:val="single" w:sz="4" w:space="0" w:color="000000"/>
              <w:bottom w:val="single" w:sz="4" w:space="0" w:color="000000"/>
              <w:right w:val="single" w:sz="4" w:space="0" w:color="000000"/>
            </w:tcBorders>
            <w:shd w:val="clear" w:color="auto" w:fill="auto"/>
          </w:tcPr>
          <w:p w14:paraId="01BB3245" w14:textId="75639D44" w:rsidR="00144272" w:rsidRPr="001753CD" w:rsidRDefault="00144272" w:rsidP="00A83E20">
            <w:pPr>
              <w:pStyle w:val="Tablesmall"/>
              <w:rPr>
                <w:sz w:val="20"/>
                <w:szCs w:val="20"/>
              </w:rPr>
            </w:pPr>
            <w:r w:rsidRPr="001753CD">
              <w:t>Entities must ensure that any proposed physical security measure or activity does not breach relevant employer occupational health and safety obligations.</w:t>
            </w:r>
          </w:p>
        </w:tc>
        <w:tc>
          <w:tcPr>
            <w:tcW w:w="1276" w:type="dxa"/>
            <w:tcBorders>
              <w:top w:val="single" w:sz="4" w:space="0" w:color="000000"/>
              <w:left w:val="single" w:sz="4" w:space="0" w:color="000000"/>
              <w:bottom w:val="single" w:sz="4" w:space="0" w:color="000000"/>
              <w:right w:val="single" w:sz="4" w:space="0" w:color="000000"/>
            </w:tcBorders>
          </w:tcPr>
          <w:p w14:paraId="058420B1" w14:textId="627CB70D" w:rsidR="00144272" w:rsidRPr="001753CD" w:rsidRDefault="00AA6C85" w:rsidP="00093BA2">
            <w:pPr>
              <w:spacing w:after="0" w:line="271" w:lineRule="auto"/>
              <w:jc w:val="right"/>
              <w:rPr>
                <w:w w:val="100"/>
                <w:kern w:val="0"/>
                <w:sz w:val="18"/>
                <w:szCs w:val="18"/>
              </w:rPr>
            </w:pPr>
            <w:r>
              <w:rPr>
                <w:w w:val="100"/>
                <w:kern w:val="0"/>
                <w:sz w:val="18"/>
                <w:szCs w:val="18"/>
              </w:rPr>
              <w:t>93</w:t>
            </w:r>
          </w:p>
        </w:tc>
        <w:tc>
          <w:tcPr>
            <w:tcW w:w="850" w:type="dxa"/>
            <w:tcBorders>
              <w:top w:val="single" w:sz="4" w:space="0" w:color="000000"/>
              <w:left w:val="single" w:sz="4" w:space="0" w:color="000000"/>
              <w:bottom w:val="single" w:sz="4" w:space="0" w:color="000000"/>
              <w:right w:val="single" w:sz="4" w:space="0" w:color="000000"/>
            </w:tcBorders>
          </w:tcPr>
          <w:p w14:paraId="38E6CC71" w14:textId="2DDE9B7F" w:rsidR="00144272" w:rsidRPr="001753CD" w:rsidRDefault="00C61193" w:rsidP="00093BA2">
            <w:pPr>
              <w:spacing w:after="0" w:line="271" w:lineRule="auto"/>
              <w:jc w:val="right"/>
              <w:rPr>
                <w:w w:val="100"/>
                <w:kern w:val="0"/>
                <w:sz w:val="18"/>
                <w:szCs w:val="18"/>
              </w:rPr>
            </w:pPr>
            <w:r>
              <w:rPr>
                <w:w w:val="100"/>
                <w:kern w:val="0"/>
                <w:sz w:val="18"/>
                <w:szCs w:val="18"/>
              </w:rPr>
              <w:t>98.9%</w:t>
            </w:r>
          </w:p>
        </w:tc>
        <w:tc>
          <w:tcPr>
            <w:tcW w:w="851" w:type="dxa"/>
            <w:tcBorders>
              <w:top w:val="single" w:sz="4" w:space="0" w:color="000000"/>
              <w:left w:val="single" w:sz="4" w:space="0" w:color="000000"/>
              <w:bottom w:val="single" w:sz="4" w:space="0" w:color="000000"/>
              <w:right w:val="single" w:sz="4" w:space="0" w:color="000000"/>
            </w:tcBorders>
          </w:tcPr>
          <w:p w14:paraId="093DE6FD" w14:textId="509F12F8" w:rsidR="00144272" w:rsidRPr="001753CD" w:rsidRDefault="00F837E9" w:rsidP="00093BA2">
            <w:pPr>
              <w:spacing w:after="0" w:line="271" w:lineRule="auto"/>
              <w:jc w:val="right"/>
              <w:rPr>
                <w:w w:val="100"/>
                <w:kern w:val="0"/>
                <w:sz w:val="18"/>
                <w:szCs w:val="18"/>
              </w:rPr>
            </w:pPr>
            <w:r>
              <w:rPr>
                <w:w w:val="100"/>
                <w:kern w:val="0"/>
                <w:sz w:val="18"/>
                <w:szCs w:val="18"/>
              </w:rPr>
              <w:t>100.0%</w:t>
            </w:r>
          </w:p>
        </w:tc>
        <w:tc>
          <w:tcPr>
            <w:tcW w:w="930" w:type="dxa"/>
            <w:tcBorders>
              <w:top w:val="single" w:sz="4" w:space="0" w:color="000000"/>
              <w:left w:val="single" w:sz="4" w:space="0" w:color="000000"/>
              <w:bottom w:val="single" w:sz="4" w:space="0" w:color="000000"/>
              <w:right w:val="single" w:sz="4" w:space="0" w:color="000000"/>
            </w:tcBorders>
          </w:tcPr>
          <w:p w14:paraId="26D31EE0" w14:textId="735DB733" w:rsidR="00144272" w:rsidRPr="001753CD" w:rsidRDefault="00C61193" w:rsidP="00093BA2">
            <w:pPr>
              <w:spacing w:after="0" w:line="271" w:lineRule="auto"/>
              <w:jc w:val="right"/>
              <w:rPr>
                <w:w w:val="100"/>
                <w:kern w:val="0"/>
                <w:sz w:val="18"/>
                <w:szCs w:val="18"/>
              </w:rPr>
            </w:pPr>
            <w:r>
              <w:rPr>
                <w:w w:val="100"/>
                <w:kern w:val="0"/>
                <w:sz w:val="18"/>
                <w:szCs w:val="18"/>
              </w:rPr>
              <w:t>-1.1</w:t>
            </w:r>
          </w:p>
        </w:tc>
        <w:tc>
          <w:tcPr>
            <w:tcW w:w="1779" w:type="dxa"/>
            <w:tcBorders>
              <w:top w:val="single" w:sz="4" w:space="0" w:color="000000"/>
              <w:left w:val="single" w:sz="4" w:space="0" w:color="000000"/>
              <w:bottom w:val="single" w:sz="4" w:space="0" w:color="000000"/>
              <w:right w:val="single" w:sz="4" w:space="0" w:color="000000"/>
            </w:tcBorders>
          </w:tcPr>
          <w:p w14:paraId="0C543C3D" w14:textId="0C72E5AA" w:rsidR="00144272" w:rsidRPr="001753CD" w:rsidRDefault="00C61193" w:rsidP="00A83E20">
            <w:pPr>
              <w:pStyle w:val="Tablesmall"/>
            </w:pPr>
            <w:r>
              <w:t>N/A</w:t>
            </w:r>
          </w:p>
        </w:tc>
      </w:tr>
      <w:tr w:rsidR="00144272" w:rsidRPr="001753CD" w14:paraId="2507A952" w14:textId="77777777" w:rsidTr="000C13C7">
        <w:trPr>
          <w:cantSplit/>
        </w:trPr>
        <w:tc>
          <w:tcPr>
            <w:tcW w:w="959" w:type="dxa"/>
            <w:tcBorders>
              <w:top w:val="single" w:sz="4" w:space="0" w:color="000000"/>
              <w:left w:val="single" w:sz="4" w:space="0" w:color="000000"/>
              <w:bottom w:val="single" w:sz="4" w:space="0" w:color="000000"/>
              <w:right w:val="single" w:sz="4" w:space="0" w:color="000000"/>
            </w:tcBorders>
            <w:shd w:val="clear" w:color="auto" w:fill="auto"/>
          </w:tcPr>
          <w:p w14:paraId="52031AAC" w14:textId="09953E1B" w:rsidR="00144272" w:rsidRPr="001753CD" w:rsidRDefault="00144272" w:rsidP="001753CD">
            <w:pPr>
              <w:spacing w:after="0"/>
              <w:jc w:val="center"/>
              <w:rPr>
                <w:w w:val="100"/>
                <w:kern w:val="0"/>
                <w:sz w:val="20"/>
                <w:szCs w:val="20"/>
              </w:rPr>
            </w:pPr>
            <w:r w:rsidRPr="001753CD">
              <w:rPr>
                <w:bCs/>
                <w:w w:val="100"/>
                <w:kern w:val="0"/>
                <w:sz w:val="18"/>
                <w:szCs w:val="18"/>
                <w:u w:val="single"/>
              </w:rPr>
              <w:t>PHYSEC-5</w:t>
            </w:r>
          </w:p>
        </w:tc>
        <w:tc>
          <w:tcPr>
            <w:tcW w:w="3889" w:type="dxa"/>
            <w:tcBorders>
              <w:top w:val="single" w:sz="4" w:space="0" w:color="000000"/>
              <w:left w:val="single" w:sz="4" w:space="0" w:color="000000"/>
              <w:bottom w:val="single" w:sz="4" w:space="0" w:color="000000"/>
              <w:right w:val="single" w:sz="4" w:space="0" w:color="000000"/>
            </w:tcBorders>
            <w:shd w:val="clear" w:color="auto" w:fill="auto"/>
          </w:tcPr>
          <w:p w14:paraId="131BE8A0" w14:textId="3D7C43C9" w:rsidR="00144272" w:rsidRPr="001753CD" w:rsidRDefault="00144272" w:rsidP="00A83E20">
            <w:pPr>
              <w:pStyle w:val="Tablesmall"/>
              <w:rPr>
                <w:sz w:val="20"/>
                <w:szCs w:val="20"/>
              </w:rPr>
            </w:pPr>
            <w:r w:rsidRPr="001753CD">
              <w:t>Entities must show a duty of care for the physical safety of those members of the public interacting directly with the Australian Government. Where an entity’s function involves providing services, the entity must ensure that clients can transact with the Australian Government with confidence about their physical wellbeing.</w:t>
            </w:r>
          </w:p>
        </w:tc>
        <w:tc>
          <w:tcPr>
            <w:tcW w:w="1276" w:type="dxa"/>
            <w:tcBorders>
              <w:top w:val="single" w:sz="4" w:space="0" w:color="000000"/>
              <w:left w:val="single" w:sz="4" w:space="0" w:color="000000"/>
              <w:bottom w:val="single" w:sz="4" w:space="0" w:color="000000"/>
              <w:right w:val="single" w:sz="4" w:space="0" w:color="000000"/>
            </w:tcBorders>
          </w:tcPr>
          <w:p w14:paraId="30B7FF6B" w14:textId="658757BF" w:rsidR="00144272" w:rsidRPr="001753CD" w:rsidRDefault="00AA6C85" w:rsidP="00093BA2">
            <w:pPr>
              <w:spacing w:after="0" w:line="271" w:lineRule="auto"/>
              <w:jc w:val="right"/>
              <w:rPr>
                <w:w w:val="100"/>
                <w:kern w:val="0"/>
                <w:sz w:val="18"/>
                <w:szCs w:val="18"/>
              </w:rPr>
            </w:pPr>
            <w:r>
              <w:rPr>
                <w:w w:val="100"/>
                <w:kern w:val="0"/>
                <w:sz w:val="18"/>
                <w:szCs w:val="18"/>
              </w:rPr>
              <w:t>91 (excl. 2 N/A)</w:t>
            </w:r>
          </w:p>
        </w:tc>
        <w:tc>
          <w:tcPr>
            <w:tcW w:w="850" w:type="dxa"/>
            <w:tcBorders>
              <w:top w:val="single" w:sz="4" w:space="0" w:color="000000"/>
              <w:left w:val="single" w:sz="4" w:space="0" w:color="000000"/>
              <w:bottom w:val="single" w:sz="4" w:space="0" w:color="000000"/>
              <w:right w:val="single" w:sz="4" w:space="0" w:color="000000"/>
            </w:tcBorders>
          </w:tcPr>
          <w:p w14:paraId="1DCE75AE" w14:textId="5000151A" w:rsidR="00144272" w:rsidRPr="001753CD" w:rsidRDefault="00C61193" w:rsidP="00093BA2">
            <w:pPr>
              <w:spacing w:after="0" w:line="271" w:lineRule="auto"/>
              <w:jc w:val="right"/>
              <w:rPr>
                <w:w w:val="100"/>
                <w:kern w:val="0"/>
                <w:sz w:val="18"/>
                <w:szCs w:val="18"/>
              </w:rPr>
            </w:pPr>
            <w:r>
              <w:rPr>
                <w:w w:val="100"/>
                <w:kern w:val="0"/>
                <w:sz w:val="18"/>
                <w:szCs w:val="18"/>
              </w:rPr>
              <w:t>96.8%</w:t>
            </w:r>
          </w:p>
        </w:tc>
        <w:tc>
          <w:tcPr>
            <w:tcW w:w="851" w:type="dxa"/>
            <w:tcBorders>
              <w:top w:val="single" w:sz="4" w:space="0" w:color="000000"/>
              <w:left w:val="single" w:sz="4" w:space="0" w:color="000000"/>
              <w:bottom w:val="single" w:sz="4" w:space="0" w:color="000000"/>
              <w:right w:val="single" w:sz="4" w:space="0" w:color="000000"/>
            </w:tcBorders>
          </w:tcPr>
          <w:p w14:paraId="14854478" w14:textId="01A7A7B6" w:rsidR="00144272" w:rsidRPr="001753CD" w:rsidRDefault="00F837E9" w:rsidP="00093BA2">
            <w:pPr>
              <w:spacing w:after="0" w:line="271" w:lineRule="auto"/>
              <w:jc w:val="right"/>
              <w:rPr>
                <w:w w:val="100"/>
                <w:kern w:val="0"/>
                <w:sz w:val="18"/>
                <w:szCs w:val="18"/>
              </w:rPr>
            </w:pPr>
            <w:r>
              <w:rPr>
                <w:w w:val="100"/>
                <w:kern w:val="0"/>
                <w:sz w:val="18"/>
                <w:szCs w:val="18"/>
              </w:rPr>
              <w:t>97.8%</w:t>
            </w:r>
          </w:p>
        </w:tc>
        <w:tc>
          <w:tcPr>
            <w:tcW w:w="930" w:type="dxa"/>
            <w:tcBorders>
              <w:top w:val="single" w:sz="4" w:space="0" w:color="000000"/>
              <w:left w:val="single" w:sz="4" w:space="0" w:color="000000"/>
              <w:bottom w:val="single" w:sz="4" w:space="0" w:color="000000"/>
              <w:right w:val="single" w:sz="4" w:space="0" w:color="000000"/>
            </w:tcBorders>
          </w:tcPr>
          <w:p w14:paraId="57A0622B" w14:textId="6D4A1084" w:rsidR="00144272" w:rsidRPr="001753CD" w:rsidRDefault="00C61193" w:rsidP="00093BA2">
            <w:pPr>
              <w:spacing w:after="0" w:line="271" w:lineRule="auto"/>
              <w:jc w:val="right"/>
              <w:rPr>
                <w:w w:val="100"/>
                <w:kern w:val="0"/>
                <w:sz w:val="18"/>
                <w:szCs w:val="18"/>
              </w:rPr>
            </w:pPr>
            <w:r>
              <w:rPr>
                <w:w w:val="100"/>
                <w:kern w:val="0"/>
                <w:sz w:val="18"/>
                <w:szCs w:val="18"/>
              </w:rPr>
              <w:t>-1.0</w:t>
            </w:r>
          </w:p>
        </w:tc>
        <w:tc>
          <w:tcPr>
            <w:tcW w:w="1779" w:type="dxa"/>
            <w:tcBorders>
              <w:top w:val="single" w:sz="4" w:space="0" w:color="000000"/>
              <w:left w:val="single" w:sz="4" w:space="0" w:color="000000"/>
              <w:bottom w:val="single" w:sz="4" w:space="0" w:color="000000"/>
              <w:right w:val="single" w:sz="4" w:space="0" w:color="000000"/>
            </w:tcBorders>
          </w:tcPr>
          <w:p w14:paraId="3EE2FCC3" w14:textId="6EC33C9F" w:rsidR="00144272" w:rsidRPr="001753CD" w:rsidRDefault="00C61193" w:rsidP="00A83E20">
            <w:pPr>
              <w:pStyle w:val="Tablesmall"/>
            </w:pPr>
            <w:r>
              <w:t>N/A</w:t>
            </w:r>
          </w:p>
        </w:tc>
      </w:tr>
      <w:tr w:rsidR="00144272" w:rsidRPr="001753CD" w14:paraId="65C0B704" w14:textId="77777777" w:rsidTr="003D36B6">
        <w:tc>
          <w:tcPr>
            <w:tcW w:w="959" w:type="dxa"/>
            <w:tcBorders>
              <w:top w:val="single" w:sz="4" w:space="0" w:color="000000"/>
              <w:left w:val="single" w:sz="4" w:space="0" w:color="000000"/>
              <w:bottom w:val="single" w:sz="4" w:space="0" w:color="000000"/>
              <w:right w:val="single" w:sz="4" w:space="0" w:color="000000"/>
            </w:tcBorders>
            <w:shd w:val="clear" w:color="auto" w:fill="auto"/>
          </w:tcPr>
          <w:p w14:paraId="31F77885" w14:textId="634155C7" w:rsidR="00144272" w:rsidRPr="001753CD" w:rsidRDefault="00144272" w:rsidP="001753CD">
            <w:pPr>
              <w:spacing w:after="0"/>
              <w:jc w:val="center"/>
              <w:rPr>
                <w:w w:val="100"/>
                <w:kern w:val="0"/>
                <w:sz w:val="20"/>
                <w:szCs w:val="20"/>
              </w:rPr>
            </w:pPr>
            <w:r w:rsidRPr="001753CD">
              <w:rPr>
                <w:bCs/>
                <w:w w:val="100"/>
                <w:kern w:val="0"/>
                <w:sz w:val="18"/>
                <w:szCs w:val="18"/>
                <w:u w:val="single"/>
              </w:rPr>
              <w:t>PHYSEC-6</w:t>
            </w:r>
          </w:p>
        </w:tc>
        <w:tc>
          <w:tcPr>
            <w:tcW w:w="3889" w:type="dxa"/>
            <w:tcBorders>
              <w:top w:val="single" w:sz="4" w:space="0" w:color="000000"/>
              <w:left w:val="single" w:sz="4" w:space="0" w:color="000000"/>
              <w:bottom w:val="single" w:sz="4" w:space="0" w:color="000000"/>
              <w:right w:val="single" w:sz="4" w:space="0" w:color="000000"/>
            </w:tcBorders>
            <w:shd w:val="clear" w:color="auto" w:fill="auto"/>
          </w:tcPr>
          <w:p w14:paraId="7DD755F6" w14:textId="5C849260" w:rsidR="00144272" w:rsidRPr="001753CD" w:rsidRDefault="00144272" w:rsidP="00A83E20">
            <w:pPr>
              <w:pStyle w:val="Tablesmall"/>
              <w:rPr>
                <w:sz w:val="20"/>
                <w:szCs w:val="20"/>
              </w:rPr>
            </w:pPr>
            <w:r w:rsidRPr="001753CD">
              <w:t>Entities must implement a level of physical security measures that minimises or removes the risk of information and ICT equipment being made inoperable or inaccessible, or being accessed, used or removed without appropriate authorisation.</w:t>
            </w:r>
          </w:p>
        </w:tc>
        <w:tc>
          <w:tcPr>
            <w:tcW w:w="1276" w:type="dxa"/>
            <w:tcBorders>
              <w:top w:val="single" w:sz="4" w:space="0" w:color="000000"/>
              <w:left w:val="single" w:sz="4" w:space="0" w:color="000000"/>
              <w:bottom w:val="single" w:sz="4" w:space="0" w:color="000000"/>
              <w:right w:val="single" w:sz="4" w:space="0" w:color="000000"/>
            </w:tcBorders>
          </w:tcPr>
          <w:p w14:paraId="4909C1CB" w14:textId="143E2C0E" w:rsidR="00144272" w:rsidRPr="001753CD" w:rsidRDefault="00AA6C85" w:rsidP="00093BA2">
            <w:pPr>
              <w:spacing w:after="0" w:line="271" w:lineRule="auto"/>
              <w:jc w:val="right"/>
              <w:rPr>
                <w:w w:val="100"/>
                <w:kern w:val="0"/>
                <w:sz w:val="18"/>
                <w:szCs w:val="18"/>
              </w:rPr>
            </w:pPr>
            <w:r>
              <w:rPr>
                <w:w w:val="100"/>
                <w:kern w:val="0"/>
                <w:sz w:val="18"/>
                <w:szCs w:val="18"/>
              </w:rPr>
              <w:t>90</w:t>
            </w:r>
          </w:p>
        </w:tc>
        <w:tc>
          <w:tcPr>
            <w:tcW w:w="850" w:type="dxa"/>
            <w:tcBorders>
              <w:top w:val="single" w:sz="4" w:space="0" w:color="000000"/>
              <w:left w:val="single" w:sz="4" w:space="0" w:color="000000"/>
              <w:bottom w:val="single" w:sz="4" w:space="0" w:color="000000"/>
              <w:right w:val="single" w:sz="4" w:space="0" w:color="000000"/>
            </w:tcBorders>
          </w:tcPr>
          <w:p w14:paraId="165C5327" w14:textId="2E36689A" w:rsidR="00144272" w:rsidRPr="001753CD" w:rsidRDefault="00C61193" w:rsidP="00093BA2">
            <w:pPr>
              <w:spacing w:after="0" w:line="271" w:lineRule="auto"/>
              <w:jc w:val="right"/>
              <w:rPr>
                <w:w w:val="100"/>
                <w:kern w:val="0"/>
                <w:sz w:val="18"/>
                <w:szCs w:val="18"/>
              </w:rPr>
            </w:pPr>
            <w:r>
              <w:rPr>
                <w:w w:val="100"/>
                <w:kern w:val="0"/>
                <w:sz w:val="18"/>
                <w:szCs w:val="18"/>
              </w:rPr>
              <w:t>95.7%</w:t>
            </w:r>
          </w:p>
        </w:tc>
        <w:tc>
          <w:tcPr>
            <w:tcW w:w="851" w:type="dxa"/>
            <w:tcBorders>
              <w:top w:val="single" w:sz="4" w:space="0" w:color="000000"/>
              <w:left w:val="single" w:sz="4" w:space="0" w:color="000000"/>
              <w:bottom w:val="single" w:sz="4" w:space="0" w:color="000000"/>
              <w:right w:val="single" w:sz="4" w:space="0" w:color="000000"/>
            </w:tcBorders>
          </w:tcPr>
          <w:p w14:paraId="6EEEC0CD" w14:textId="17D9AF03" w:rsidR="00144272" w:rsidRPr="001753CD" w:rsidRDefault="00F837E9" w:rsidP="00093BA2">
            <w:pPr>
              <w:spacing w:after="0" w:line="271" w:lineRule="auto"/>
              <w:jc w:val="right"/>
              <w:rPr>
                <w:w w:val="100"/>
                <w:kern w:val="0"/>
                <w:sz w:val="18"/>
                <w:szCs w:val="18"/>
              </w:rPr>
            </w:pPr>
            <w:r>
              <w:rPr>
                <w:w w:val="100"/>
                <w:kern w:val="0"/>
                <w:sz w:val="18"/>
                <w:szCs w:val="18"/>
              </w:rPr>
              <w:t>94.6%</w:t>
            </w:r>
          </w:p>
        </w:tc>
        <w:tc>
          <w:tcPr>
            <w:tcW w:w="930" w:type="dxa"/>
            <w:tcBorders>
              <w:top w:val="single" w:sz="4" w:space="0" w:color="000000"/>
              <w:left w:val="single" w:sz="4" w:space="0" w:color="000000"/>
              <w:bottom w:val="single" w:sz="4" w:space="0" w:color="000000"/>
              <w:right w:val="single" w:sz="4" w:space="0" w:color="000000"/>
            </w:tcBorders>
          </w:tcPr>
          <w:p w14:paraId="58677D2B" w14:textId="2F0A38F7" w:rsidR="00144272" w:rsidRPr="001753CD" w:rsidRDefault="00C61193" w:rsidP="00093BA2">
            <w:pPr>
              <w:spacing w:after="0" w:line="271" w:lineRule="auto"/>
              <w:jc w:val="right"/>
              <w:rPr>
                <w:w w:val="100"/>
                <w:kern w:val="0"/>
                <w:sz w:val="18"/>
                <w:szCs w:val="18"/>
              </w:rPr>
            </w:pPr>
            <w:r>
              <w:rPr>
                <w:w w:val="100"/>
                <w:kern w:val="0"/>
                <w:sz w:val="18"/>
                <w:szCs w:val="18"/>
              </w:rPr>
              <w:t>+1.1</w:t>
            </w:r>
          </w:p>
        </w:tc>
        <w:tc>
          <w:tcPr>
            <w:tcW w:w="1779" w:type="dxa"/>
            <w:tcBorders>
              <w:top w:val="single" w:sz="4" w:space="0" w:color="000000"/>
              <w:left w:val="single" w:sz="4" w:space="0" w:color="000000"/>
              <w:bottom w:val="single" w:sz="4" w:space="0" w:color="000000"/>
              <w:right w:val="single" w:sz="4" w:space="0" w:color="000000"/>
            </w:tcBorders>
          </w:tcPr>
          <w:p w14:paraId="1539CED6" w14:textId="52F98297" w:rsidR="00144272" w:rsidRPr="001753CD" w:rsidRDefault="00C61193" w:rsidP="00A83E20">
            <w:pPr>
              <w:pStyle w:val="Tablesmall"/>
              <w:rPr>
                <w:bCs/>
              </w:rPr>
            </w:pPr>
            <w:r>
              <w:rPr>
                <w:bCs/>
              </w:rPr>
              <w:t>N/A</w:t>
            </w:r>
          </w:p>
        </w:tc>
      </w:tr>
      <w:tr w:rsidR="00144272" w:rsidRPr="001753CD" w14:paraId="7C3CA9A2" w14:textId="77777777" w:rsidTr="003D36B6">
        <w:tc>
          <w:tcPr>
            <w:tcW w:w="959" w:type="dxa"/>
            <w:tcBorders>
              <w:top w:val="single" w:sz="4" w:space="0" w:color="000000"/>
              <w:left w:val="single" w:sz="4" w:space="0" w:color="000000"/>
              <w:bottom w:val="single" w:sz="4" w:space="0" w:color="000000"/>
              <w:right w:val="single" w:sz="4" w:space="0" w:color="000000"/>
            </w:tcBorders>
            <w:shd w:val="clear" w:color="auto" w:fill="auto"/>
          </w:tcPr>
          <w:p w14:paraId="2D39F50A" w14:textId="64F059F8" w:rsidR="00144272" w:rsidRPr="001753CD" w:rsidRDefault="00144272" w:rsidP="001753CD">
            <w:pPr>
              <w:spacing w:after="0"/>
              <w:jc w:val="center"/>
              <w:rPr>
                <w:w w:val="100"/>
                <w:kern w:val="0"/>
                <w:sz w:val="20"/>
                <w:szCs w:val="20"/>
                <w:u w:val="single"/>
              </w:rPr>
            </w:pPr>
            <w:r w:rsidRPr="001753CD">
              <w:rPr>
                <w:bCs/>
                <w:w w:val="100"/>
                <w:kern w:val="0"/>
                <w:sz w:val="18"/>
                <w:szCs w:val="18"/>
                <w:u w:val="single"/>
              </w:rPr>
              <w:t>PHYSEC-7</w:t>
            </w:r>
          </w:p>
        </w:tc>
        <w:tc>
          <w:tcPr>
            <w:tcW w:w="3889" w:type="dxa"/>
            <w:tcBorders>
              <w:top w:val="single" w:sz="4" w:space="0" w:color="000000"/>
              <w:left w:val="single" w:sz="4" w:space="0" w:color="000000"/>
              <w:bottom w:val="single" w:sz="4" w:space="0" w:color="000000"/>
              <w:right w:val="single" w:sz="4" w:space="0" w:color="000000"/>
            </w:tcBorders>
            <w:shd w:val="clear" w:color="auto" w:fill="auto"/>
          </w:tcPr>
          <w:p w14:paraId="237A3948" w14:textId="73B86AEA" w:rsidR="00144272" w:rsidRPr="001753CD" w:rsidRDefault="00144272" w:rsidP="00A83E20">
            <w:pPr>
              <w:pStyle w:val="Tablesmall"/>
              <w:rPr>
                <w:sz w:val="20"/>
                <w:szCs w:val="20"/>
              </w:rPr>
            </w:pPr>
            <w:r w:rsidRPr="001753CD">
              <w:t>Entities must develop plans and procedures to move up to heightened security levels in case of emergency and increased threat. The Australian Government may direct its entities to implement heightened security levels.</w:t>
            </w:r>
          </w:p>
        </w:tc>
        <w:tc>
          <w:tcPr>
            <w:tcW w:w="1276" w:type="dxa"/>
            <w:tcBorders>
              <w:top w:val="single" w:sz="4" w:space="0" w:color="000000"/>
              <w:left w:val="single" w:sz="4" w:space="0" w:color="000000"/>
              <w:bottom w:val="single" w:sz="4" w:space="0" w:color="000000"/>
              <w:right w:val="single" w:sz="4" w:space="0" w:color="000000"/>
            </w:tcBorders>
          </w:tcPr>
          <w:p w14:paraId="22F43EEC" w14:textId="302CDD9E" w:rsidR="00144272" w:rsidRPr="001753CD" w:rsidRDefault="00AA6C85" w:rsidP="00093BA2">
            <w:pPr>
              <w:spacing w:after="0" w:line="271" w:lineRule="auto"/>
              <w:jc w:val="right"/>
              <w:rPr>
                <w:w w:val="100"/>
                <w:kern w:val="0"/>
                <w:sz w:val="18"/>
                <w:szCs w:val="18"/>
              </w:rPr>
            </w:pPr>
            <w:r>
              <w:rPr>
                <w:w w:val="100"/>
                <w:kern w:val="0"/>
                <w:sz w:val="18"/>
                <w:szCs w:val="18"/>
              </w:rPr>
              <w:t>80</w:t>
            </w:r>
          </w:p>
        </w:tc>
        <w:tc>
          <w:tcPr>
            <w:tcW w:w="850" w:type="dxa"/>
            <w:tcBorders>
              <w:top w:val="single" w:sz="4" w:space="0" w:color="000000"/>
              <w:left w:val="single" w:sz="4" w:space="0" w:color="000000"/>
              <w:bottom w:val="single" w:sz="4" w:space="0" w:color="000000"/>
              <w:right w:val="single" w:sz="4" w:space="0" w:color="000000"/>
            </w:tcBorders>
          </w:tcPr>
          <w:p w14:paraId="0F1EAD51" w14:textId="7857B3D5" w:rsidR="00144272" w:rsidRPr="001753CD" w:rsidRDefault="00C61193" w:rsidP="00093BA2">
            <w:pPr>
              <w:spacing w:after="0" w:line="271" w:lineRule="auto"/>
              <w:jc w:val="right"/>
              <w:rPr>
                <w:w w:val="100"/>
                <w:kern w:val="0"/>
                <w:sz w:val="18"/>
                <w:szCs w:val="18"/>
              </w:rPr>
            </w:pPr>
            <w:r>
              <w:rPr>
                <w:w w:val="100"/>
                <w:kern w:val="0"/>
                <w:sz w:val="18"/>
                <w:szCs w:val="18"/>
              </w:rPr>
              <w:t>85.1%</w:t>
            </w:r>
          </w:p>
        </w:tc>
        <w:tc>
          <w:tcPr>
            <w:tcW w:w="851" w:type="dxa"/>
            <w:tcBorders>
              <w:top w:val="single" w:sz="4" w:space="0" w:color="000000"/>
              <w:left w:val="single" w:sz="4" w:space="0" w:color="000000"/>
              <w:bottom w:val="single" w:sz="4" w:space="0" w:color="000000"/>
              <w:right w:val="single" w:sz="4" w:space="0" w:color="000000"/>
            </w:tcBorders>
          </w:tcPr>
          <w:p w14:paraId="26EBBE24" w14:textId="151BBAEB" w:rsidR="00144272" w:rsidRPr="001753CD" w:rsidRDefault="00F837E9" w:rsidP="00093BA2">
            <w:pPr>
              <w:spacing w:after="0" w:line="271" w:lineRule="auto"/>
              <w:jc w:val="right"/>
              <w:rPr>
                <w:w w:val="100"/>
                <w:kern w:val="0"/>
                <w:sz w:val="18"/>
                <w:szCs w:val="18"/>
              </w:rPr>
            </w:pPr>
            <w:r>
              <w:rPr>
                <w:w w:val="100"/>
                <w:kern w:val="0"/>
                <w:sz w:val="18"/>
                <w:szCs w:val="18"/>
              </w:rPr>
              <w:t>88.2%</w:t>
            </w:r>
          </w:p>
        </w:tc>
        <w:tc>
          <w:tcPr>
            <w:tcW w:w="930" w:type="dxa"/>
            <w:tcBorders>
              <w:top w:val="single" w:sz="4" w:space="0" w:color="000000"/>
              <w:left w:val="single" w:sz="4" w:space="0" w:color="000000"/>
              <w:bottom w:val="single" w:sz="4" w:space="0" w:color="000000"/>
              <w:right w:val="single" w:sz="4" w:space="0" w:color="000000"/>
            </w:tcBorders>
          </w:tcPr>
          <w:p w14:paraId="3CEA2A05" w14:textId="40238DF8" w:rsidR="00144272" w:rsidRPr="001753CD" w:rsidRDefault="00C61193" w:rsidP="00093BA2">
            <w:pPr>
              <w:spacing w:after="0" w:line="271" w:lineRule="auto"/>
              <w:jc w:val="right"/>
              <w:rPr>
                <w:w w:val="100"/>
                <w:kern w:val="0"/>
                <w:sz w:val="18"/>
                <w:szCs w:val="18"/>
              </w:rPr>
            </w:pPr>
            <w:r>
              <w:rPr>
                <w:w w:val="100"/>
                <w:kern w:val="0"/>
                <w:sz w:val="18"/>
                <w:szCs w:val="18"/>
              </w:rPr>
              <w:t>-3.1</w:t>
            </w:r>
          </w:p>
        </w:tc>
        <w:tc>
          <w:tcPr>
            <w:tcW w:w="1779" w:type="dxa"/>
            <w:tcBorders>
              <w:top w:val="single" w:sz="4" w:space="0" w:color="000000"/>
              <w:left w:val="single" w:sz="4" w:space="0" w:color="000000"/>
              <w:bottom w:val="single" w:sz="4" w:space="0" w:color="000000"/>
              <w:right w:val="single" w:sz="4" w:space="0" w:color="000000"/>
            </w:tcBorders>
          </w:tcPr>
          <w:p w14:paraId="7E5ACB78" w14:textId="4913CB2C" w:rsidR="00144272" w:rsidRPr="001753CD" w:rsidRDefault="00C61193" w:rsidP="00A83E20">
            <w:pPr>
              <w:pStyle w:val="Tablesmall"/>
            </w:pPr>
            <w:r>
              <w:t>N/A</w:t>
            </w:r>
          </w:p>
        </w:tc>
      </w:tr>
    </w:tbl>
    <w:p w14:paraId="4DFC5D38" w14:textId="77777777" w:rsidR="00296FC0" w:rsidRPr="00004B83" w:rsidRDefault="00296FC0"/>
    <w:sectPr w:rsidR="00296FC0" w:rsidRPr="00004B83" w:rsidSect="009945D4">
      <w:pgSz w:w="11907" w:h="16839" w:code="9"/>
      <w:pgMar w:top="964" w:right="964" w:bottom="964" w:left="964" w:header="142"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09723F5" w14:textId="77777777" w:rsidR="00F10964" w:rsidRDefault="00F10964" w:rsidP="006150CB">
      <w:r>
        <w:separator/>
      </w:r>
    </w:p>
  </w:endnote>
  <w:endnote w:type="continuationSeparator" w:id="0">
    <w:p w14:paraId="7AB7B8B3" w14:textId="77777777" w:rsidR="00F10964" w:rsidRDefault="00F10964" w:rsidP="006150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ngsana New">
    <w:panose1 w:val="02020603050405020304"/>
    <w:charset w:val="00"/>
    <w:family w:val="roman"/>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5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19925945"/>
      <w:docPartObj>
        <w:docPartGallery w:val="Page Numbers (Bottom of Page)"/>
        <w:docPartUnique/>
      </w:docPartObj>
    </w:sdtPr>
    <w:sdtEndPr>
      <w:rPr>
        <w:noProof/>
      </w:rPr>
    </w:sdtEndPr>
    <w:sdtContent>
      <w:p w14:paraId="74BE752B" w14:textId="60E568C0" w:rsidR="00CE6F1C" w:rsidRDefault="00CE6F1C" w:rsidP="009945D4">
        <w:pPr>
          <w:pStyle w:val="Footer"/>
          <w:spacing w:after="0" w:line="240" w:lineRule="auto"/>
          <w:jc w:val="right"/>
        </w:pPr>
        <w:r>
          <w:fldChar w:fldCharType="begin"/>
        </w:r>
        <w:r>
          <w:instrText xml:space="preserve"> PAGE   \* MERGEFORMAT </w:instrText>
        </w:r>
        <w:r>
          <w:fldChar w:fldCharType="separate"/>
        </w:r>
        <w:r w:rsidR="00487BEB">
          <w:rPr>
            <w:noProof/>
          </w:rPr>
          <w:t>1</w:t>
        </w:r>
        <w:r>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593C386" w14:textId="77777777" w:rsidR="00F10964" w:rsidRDefault="00F10964" w:rsidP="003C4A25">
      <w:pPr>
        <w:pStyle w:val="NoSpacing"/>
      </w:pPr>
      <w:r>
        <w:separator/>
      </w:r>
    </w:p>
  </w:footnote>
  <w:footnote w:type="continuationSeparator" w:id="0">
    <w:p w14:paraId="2F8E63AB" w14:textId="77777777" w:rsidR="00F10964" w:rsidRDefault="00F10964" w:rsidP="006150CB">
      <w:r>
        <w:continuationSeparator/>
      </w:r>
    </w:p>
  </w:footnote>
  <w:footnote w:id="1">
    <w:p w14:paraId="55C3AE57" w14:textId="77777777" w:rsidR="00CE6F1C" w:rsidRDefault="00CE6F1C" w:rsidP="007741E9">
      <w:pPr>
        <w:pStyle w:val="FootnoteText"/>
      </w:pPr>
      <w:r>
        <w:rPr>
          <w:rStyle w:val="FootnoteReference"/>
        </w:rPr>
        <w:footnoteRef/>
      </w:r>
      <w:r>
        <w:t xml:space="preserve"> There were 94 NCCEs as at 1 July 2018.</w:t>
      </w:r>
    </w:p>
  </w:footnote>
  <w:footnote w:id="2">
    <w:p w14:paraId="697426D3" w14:textId="16F1DE75" w:rsidR="00CE6F1C" w:rsidRDefault="00CE6F1C" w:rsidP="00CF2A14">
      <w:pPr>
        <w:pStyle w:val="FootnoteText"/>
      </w:pPr>
      <w:r>
        <w:rPr>
          <w:rStyle w:val="FootnoteReference"/>
        </w:rPr>
        <w:footnoteRef/>
      </w:r>
      <w:r>
        <w:t xml:space="preserve"> This figure is </w:t>
      </w:r>
      <w:r w:rsidR="00732795">
        <w:t>approximate</w:t>
      </w:r>
      <w:r>
        <w:t xml:space="preserve"> and was current as at </w:t>
      </w:r>
      <w:r w:rsidR="00732795">
        <w:t>April</w:t>
      </w:r>
      <w:r>
        <w:t xml:space="preserve"> 2019.</w:t>
      </w:r>
    </w:p>
  </w:footnote>
  <w:footnote w:id="3">
    <w:p w14:paraId="28024D76" w14:textId="77777777" w:rsidR="00CE6F1C" w:rsidRDefault="00CE6F1C" w:rsidP="00CF2A14">
      <w:pPr>
        <w:pStyle w:val="FootnoteText"/>
      </w:pPr>
      <w:r>
        <w:rPr>
          <w:rStyle w:val="FootnoteReference"/>
        </w:rPr>
        <w:footnoteRef/>
      </w:r>
      <w:r>
        <w:t xml:space="preserve"> The 12 month cumulative threshold for the checkable background requirement means no more than 10% of a person’s background can be uncheckable at the NV2 level without a waiver compared with 20% or a person’s background at the Baseline level. For background checking requirements at the PV level, the 12 month cumulative threshold may represent a much smaller percentage of the person’s background.</w:t>
      </w:r>
    </w:p>
  </w:footnote>
  <w:footnote w:id="4">
    <w:p w14:paraId="5CDDA1DA" w14:textId="687CF591" w:rsidR="00CE6F1C" w:rsidRDefault="00CE6F1C" w:rsidP="001D7E36">
      <w:pPr>
        <w:pStyle w:val="FootnoteText"/>
      </w:pPr>
      <w:r>
        <w:rPr>
          <w:rStyle w:val="FootnoteReference"/>
        </w:rPr>
        <w:footnoteRef/>
      </w:r>
      <w:r>
        <w:t xml:space="preserve"> These figures are based on the four criteria outlined and relate to NCCEs only. Any discrepancies with previously reported data from the reporting period 2015-16 or earlier are the result of the addition of ‘does not report’ to the criteria for assessing an entity’s risk in 2016–17 and separating CCEs and Commonwealth company data from NCCE data from final figures in this report.</w:t>
      </w:r>
    </w:p>
  </w:footnote>
  <w:footnote w:id="5">
    <w:p w14:paraId="3957EB5C" w14:textId="0A1CBB43" w:rsidR="00CE6F1C" w:rsidRDefault="00CE6F1C">
      <w:pPr>
        <w:pStyle w:val="FootnoteText"/>
      </w:pPr>
      <w:r>
        <w:rPr>
          <w:rStyle w:val="FootnoteReference"/>
        </w:rPr>
        <w:footnoteRef/>
      </w:r>
      <w:r>
        <w:t xml:space="preserve"> Entity function types are: policy, specialist, regulatory, smaller operational and larger operational. Entity sizes are: micro (&lt;20 staff), extra-small (20–100 staff), small (101–250), medium (251–1,000), large (1,001–10,000) and extra-large (&gt;10,000).</w:t>
      </w:r>
    </w:p>
  </w:footnote>
  <w:footnote w:id="6">
    <w:p w14:paraId="147AF25D" w14:textId="0F060973" w:rsidR="00CE6F1C" w:rsidRDefault="00CE6F1C">
      <w:pPr>
        <w:pStyle w:val="FootnoteText"/>
      </w:pPr>
      <w:r>
        <w:rPr>
          <w:rStyle w:val="FootnoteReference"/>
        </w:rPr>
        <w:footnoteRef/>
      </w:r>
      <w:r>
        <w:t xml:space="preserve"> Entities may report policy exceptions that may preclude certain PSPF requirements from applying to the reporting entity. In those cases entities cannot report full compliance, but can report no non-compliance.</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A35602C" w14:textId="0AC4572A" w:rsidR="00CE6F1C" w:rsidRDefault="00CE6F1C" w:rsidP="00D62859">
    <w:pPr>
      <w:pStyle w:val="Header"/>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555E6BEE"/>
    <w:lvl w:ilvl="0">
      <w:start w:val="1"/>
      <w:numFmt w:val="bullet"/>
      <w:lvlText w:val=""/>
      <w:lvlJc w:val="left"/>
      <w:pPr>
        <w:tabs>
          <w:tab w:val="num" w:pos="643"/>
        </w:tabs>
        <w:ind w:left="643" w:hanging="360"/>
      </w:pPr>
      <w:rPr>
        <w:rFonts w:ascii="Symbol" w:hAnsi="Symbol" w:hint="default"/>
      </w:rPr>
    </w:lvl>
  </w:abstractNum>
  <w:abstractNum w:abstractNumId="1">
    <w:nsid w:val="FFFFFF89"/>
    <w:multiLevelType w:val="singleLevel"/>
    <w:tmpl w:val="D18EAD9E"/>
    <w:lvl w:ilvl="0">
      <w:start w:val="1"/>
      <w:numFmt w:val="bullet"/>
      <w:lvlText w:val=""/>
      <w:lvlJc w:val="left"/>
      <w:pPr>
        <w:tabs>
          <w:tab w:val="num" w:pos="360"/>
        </w:tabs>
        <w:ind w:left="360" w:hanging="360"/>
      </w:pPr>
      <w:rPr>
        <w:rFonts w:ascii="Symbol" w:hAnsi="Symbol" w:hint="default"/>
      </w:rPr>
    </w:lvl>
  </w:abstractNum>
  <w:abstractNum w:abstractNumId="2">
    <w:nsid w:val="011D758A"/>
    <w:multiLevelType w:val="hybridMultilevel"/>
    <w:tmpl w:val="1DE65B5A"/>
    <w:lvl w:ilvl="0" w:tplc="789C72EA">
      <w:start w:val="1"/>
      <w:numFmt w:val="bullet"/>
      <w:lvlText w:val=""/>
      <w:lvlJc w:val="left"/>
      <w:pPr>
        <w:ind w:left="227" w:hanging="227"/>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045263FE"/>
    <w:multiLevelType w:val="hybridMultilevel"/>
    <w:tmpl w:val="8FC627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09D2721E"/>
    <w:multiLevelType w:val="multilevel"/>
    <w:tmpl w:val="EFDC8A06"/>
    <w:numStyleLink w:val="Bullet2"/>
  </w:abstractNum>
  <w:abstractNum w:abstractNumId="5">
    <w:nsid w:val="0F2777AA"/>
    <w:multiLevelType w:val="hybridMultilevel"/>
    <w:tmpl w:val="29D8C314"/>
    <w:lvl w:ilvl="0" w:tplc="BCA0CD08">
      <w:start w:val="1"/>
      <w:numFmt w:val="bullet"/>
      <w:lvlText w:val=""/>
      <w:lvlJc w:val="left"/>
      <w:pPr>
        <w:ind w:left="36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12BE3A21"/>
    <w:multiLevelType w:val="hybridMultilevel"/>
    <w:tmpl w:val="A138539C"/>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7">
    <w:nsid w:val="17932166"/>
    <w:multiLevelType w:val="multilevel"/>
    <w:tmpl w:val="EFDC8A06"/>
    <w:styleLink w:val="Bullet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nsid w:val="17CB05D4"/>
    <w:multiLevelType w:val="hybridMultilevel"/>
    <w:tmpl w:val="753C1CA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nsid w:val="1DCB2BF8"/>
    <w:multiLevelType w:val="hybridMultilevel"/>
    <w:tmpl w:val="13FC1CA0"/>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start w:val="1"/>
      <w:numFmt w:val="bullet"/>
      <w:lvlText w:val=""/>
      <w:lvlJc w:val="left"/>
      <w:pPr>
        <w:ind w:left="1800" w:hanging="360"/>
      </w:pPr>
      <w:rPr>
        <w:rFonts w:ascii="Wingdings" w:hAnsi="Wingdings" w:hint="default"/>
      </w:rPr>
    </w:lvl>
    <w:lvl w:ilvl="3" w:tplc="0C090001">
      <w:start w:val="1"/>
      <w:numFmt w:val="bullet"/>
      <w:lvlText w:val=""/>
      <w:lvlJc w:val="left"/>
      <w:pPr>
        <w:ind w:left="2520" w:hanging="360"/>
      </w:pPr>
      <w:rPr>
        <w:rFonts w:ascii="Symbol" w:hAnsi="Symbol" w:hint="default"/>
      </w:rPr>
    </w:lvl>
    <w:lvl w:ilvl="4" w:tplc="0C090003">
      <w:start w:val="1"/>
      <w:numFmt w:val="bullet"/>
      <w:lvlText w:val="o"/>
      <w:lvlJc w:val="left"/>
      <w:pPr>
        <w:ind w:left="3240" w:hanging="360"/>
      </w:pPr>
      <w:rPr>
        <w:rFonts w:ascii="Courier New" w:hAnsi="Courier New" w:cs="Courier New" w:hint="default"/>
      </w:rPr>
    </w:lvl>
    <w:lvl w:ilvl="5" w:tplc="0C090005">
      <w:start w:val="1"/>
      <w:numFmt w:val="bullet"/>
      <w:lvlText w:val=""/>
      <w:lvlJc w:val="left"/>
      <w:pPr>
        <w:ind w:left="3960" w:hanging="360"/>
      </w:pPr>
      <w:rPr>
        <w:rFonts w:ascii="Wingdings" w:hAnsi="Wingdings" w:hint="default"/>
      </w:rPr>
    </w:lvl>
    <w:lvl w:ilvl="6" w:tplc="0C090001">
      <w:start w:val="1"/>
      <w:numFmt w:val="bullet"/>
      <w:lvlText w:val=""/>
      <w:lvlJc w:val="left"/>
      <w:pPr>
        <w:ind w:left="4680" w:hanging="360"/>
      </w:pPr>
      <w:rPr>
        <w:rFonts w:ascii="Symbol" w:hAnsi="Symbol" w:hint="default"/>
      </w:rPr>
    </w:lvl>
    <w:lvl w:ilvl="7" w:tplc="0C090003">
      <w:start w:val="1"/>
      <w:numFmt w:val="bullet"/>
      <w:lvlText w:val="o"/>
      <w:lvlJc w:val="left"/>
      <w:pPr>
        <w:ind w:left="5400" w:hanging="360"/>
      </w:pPr>
      <w:rPr>
        <w:rFonts w:ascii="Courier New" w:hAnsi="Courier New" w:cs="Courier New" w:hint="default"/>
      </w:rPr>
    </w:lvl>
    <w:lvl w:ilvl="8" w:tplc="0C090005">
      <w:start w:val="1"/>
      <w:numFmt w:val="bullet"/>
      <w:lvlText w:val=""/>
      <w:lvlJc w:val="left"/>
      <w:pPr>
        <w:ind w:left="6120" w:hanging="360"/>
      </w:pPr>
      <w:rPr>
        <w:rFonts w:ascii="Wingdings" w:hAnsi="Wingdings" w:hint="default"/>
      </w:rPr>
    </w:lvl>
  </w:abstractNum>
  <w:abstractNum w:abstractNumId="10">
    <w:nsid w:val="23510109"/>
    <w:multiLevelType w:val="hybridMultilevel"/>
    <w:tmpl w:val="EDCC5A3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nsid w:val="27077902"/>
    <w:multiLevelType w:val="hybridMultilevel"/>
    <w:tmpl w:val="6B6682BE"/>
    <w:lvl w:ilvl="0" w:tplc="A18ACE8C">
      <w:numFmt w:val="bullet"/>
      <w:lvlText w:val=""/>
      <w:lvlJc w:val="left"/>
      <w:pPr>
        <w:ind w:left="720" w:hanging="360"/>
      </w:pPr>
      <w:rPr>
        <w:rFonts w:ascii="Symbol" w:eastAsia="Calibri" w:hAnsi="Symbol"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nsid w:val="31C46725"/>
    <w:multiLevelType w:val="hybridMultilevel"/>
    <w:tmpl w:val="D4E27C14"/>
    <w:lvl w:ilvl="0" w:tplc="789C72EA">
      <w:start w:val="1"/>
      <w:numFmt w:val="bullet"/>
      <w:lvlText w:val=""/>
      <w:lvlJc w:val="left"/>
      <w:pPr>
        <w:ind w:left="227" w:hanging="227"/>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322A2422"/>
    <w:multiLevelType w:val="hybridMultilevel"/>
    <w:tmpl w:val="AC3C081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4">
    <w:nsid w:val="35FE0266"/>
    <w:multiLevelType w:val="hybridMultilevel"/>
    <w:tmpl w:val="D56E8106"/>
    <w:lvl w:ilvl="0" w:tplc="53A2BF84">
      <w:numFmt w:val="bullet"/>
      <w:lvlText w:val=""/>
      <w:lvlJc w:val="left"/>
      <w:pPr>
        <w:ind w:left="720" w:hanging="360"/>
      </w:pPr>
      <w:rPr>
        <w:rFonts w:ascii="Symbol" w:eastAsia="Calibri" w:hAnsi="Symbol" w:cs="Calibri"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nsid w:val="38F665CA"/>
    <w:multiLevelType w:val="hybridMultilevel"/>
    <w:tmpl w:val="9F04EE3E"/>
    <w:lvl w:ilvl="0" w:tplc="7006178C">
      <w:start w:val="1"/>
      <w:numFmt w:val="bullet"/>
      <w:lvlText w:val=""/>
      <w:lvlJc w:val="left"/>
      <w:pPr>
        <w:ind w:left="227" w:hanging="227"/>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start w:val="1"/>
      <w:numFmt w:val="bullet"/>
      <w:lvlText w:val=""/>
      <w:lvlJc w:val="left"/>
      <w:pPr>
        <w:ind w:left="1800" w:hanging="360"/>
      </w:pPr>
      <w:rPr>
        <w:rFonts w:ascii="Wingdings" w:hAnsi="Wingdings" w:hint="default"/>
      </w:rPr>
    </w:lvl>
    <w:lvl w:ilvl="3" w:tplc="0C090001">
      <w:start w:val="1"/>
      <w:numFmt w:val="bullet"/>
      <w:lvlText w:val=""/>
      <w:lvlJc w:val="left"/>
      <w:pPr>
        <w:ind w:left="2520" w:hanging="360"/>
      </w:pPr>
      <w:rPr>
        <w:rFonts w:ascii="Symbol" w:hAnsi="Symbol" w:hint="default"/>
      </w:rPr>
    </w:lvl>
    <w:lvl w:ilvl="4" w:tplc="0C090003">
      <w:start w:val="1"/>
      <w:numFmt w:val="bullet"/>
      <w:lvlText w:val="o"/>
      <w:lvlJc w:val="left"/>
      <w:pPr>
        <w:ind w:left="3240" w:hanging="360"/>
      </w:pPr>
      <w:rPr>
        <w:rFonts w:ascii="Courier New" w:hAnsi="Courier New" w:cs="Courier New" w:hint="default"/>
      </w:rPr>
    </w:lvl>
    <w:lvl w:ilvl="5" w:tplc="0C090005">
      <w:start w:val="1"/>
      <w:numFmt w:val="bullet"/>
      <w:lvlText w:val=""/>
      <w:lvlJc w:val="left"/>
      <w:pPr>
        <w:ind w:left="3960" w:hanging="360"/>
      </w:pPr>
      <w:rPr>
        <w:rFonts w:ascii="Wingdings" w:hAnsi="Wingdings" w:hint="default"/>
      </w:rPr>
    </w:lvl>
    <w:lvl w:ilvl="6" w:tplc="0C090001">
      <w:start w:val="1"/>
      <w:numFmt w:val="bullet"/>
      <w:lvlText w:val=""/>
      <w:lvlJc w:val="left"/>
      <w:pPr>
        <w:ind w:left="4680" w:hanging="360"/>
      </w:pPr>
      <w:rPr>
        <w:rFonts w:ascii="Symbol" w:hAnsi="Symbol" w:hint="default"/>
      </w:rPr>
    </w:lvl>
    <w:lvl w:ilvl="7" w:tplc="0C090003">
      <w:start w:val="1"/>
      <w:numFmt w:val="bullet"/>
      <w:lvlText w:val="o"/>
      <w:lvlJc w:val="left"/>
      <w:pPr>
        <w:ind w:left="5400" w:hanging="360"/>
      </w:pPr>
      <w:rPr>
        <w:rFonts w:ascii="Courier New" w:hAnsi="Courier New" w:cs="Courier New" w:hint="default"/>
      </w:rPr>
    </w:lvl>
    <w:lvl w:ilvl="8" w:tplc="0C090005">
      <w:start w:val="1"/>
      <w:numFmt w:val="bullet"/>
      <w:lvlText w:val=""/>
      <w:lvlJc w:val="left"/>
      <w:pPr>
        <w:ind w:left="6120" w:hanging="360"/>
      </w:pPr>
      <w:rPr>
        <w:rFonts w:ascii="Wingdings" w:hAnsi="Wingdings" w:hint="default"/>
      </w:rPr>
    </w:lvl>
  </w:abstractNum>
  <w:abstractNum w:abstractNumId="16">
    <w:nsid w:val="42CC5586"/>
    <w:multiLevelType w:val="hybridMultilevel"/>
    <w:tmpl w:val="876E2EA4"/>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7">
    <w:nsid w:val="4B3A3B89"/>
    <w:multiLevelType w:val="hybridMultilevel"/>
    <w:tmpl w:val="28BE58AE"/>
    <w:lvl w:ilvl="0" w:tplc="BCA0CD08">
      <w:start w:val="1"/>
      <w:numFmt w:val="bullet"/>
      <w:lvlText w:val=""/>
      <w:lvlJc w:val="left"/>
      <w:pPr>
        <w:ind w:left="360" w:hanging="360"/>
      </w:pPr>
      <w:rPr>
        <w:rFonts w:ascii="Symbol" w:hAnsi="Symbol" w:hint="default"/>
        <w:color w:val="auto"/>
      </w:rPr>
    </w:lvl>
    <w:lvl w:ilvl="1" w:tplc="0C090003">
      <w:start w:val="1"/>
      <w:numFmt w:val="bullet"/>
      <w:lvlText w:val="o"/>
      <w:lvlJc w:val="left"/>
      <w:pPr>
        <w:ind w:left="1080" w:hanging="360"/>
      </w:pPr>
      <w:rPr>
        <w:rFonts w:ascii="Courier New" w:hAnsi="Courier New" w:cs="Courier New" w:hint="default"/>
      </w:rPr>
    </w:lvl>
    <w:lvl w:ilvl="2" w:tplc="0C090005">
      <w:start w:val="1"/>
      <w:numFmt w:val="bullet"/>
      <w:lvlText w:val=""/>
      <w:lvlJc w:val="left"/>
      <w:pPr>
        <w:ind w:left="1800" w:hanging="360"/>
      </w:pPr>
      <w:rPr>
        <w:rFonts w:ascii="Wingdings" w:hAnsi="Wingdings" w:hint="default"/>
      </w:rPr>
    </w:lvl>
    <w:lvl w:ilvl="3" w:tplc="0C090001">
      <w:start w:val="1"/>
      <w:numFmt w:val="bullet"/>
      <w:lvlText w:val=""/>
      <w:lvlJc w:val="left"/>
      <w:pPr>
        <w:ind w:left="2520" w:hanging="360"/>
      </w:pPr>
      <w:rPr>
        <w:rFonts w:ascii="Symbol" w:hAnsi="Symbol" w:hint="default"/>
      </w:rPr>
    </w:lvl>
    <w:lvl w:ilvl="4" w:tplc="0C090003">
      <w:start w:val="1"/>
      <w:numFmt w:val="bullet"/>
      <w:lvlText w:val="o"/>
      <w:lvlJc w:val="left"/>
      <w:pPr>
        <w:ind w:left="3240" w:hanging="360"/>
      </w:pPr>
      <w:rPr>
        <w:rFonts w:ascii="Courier New" w:hAnsi="Courier New" w:cs="Courier New" w:hint="default"/>
      </w:rPr>
    </w:lvl>
    <w:lvl w:ilvl="5" w:tplc="0C090005">
      <w:start w:val="1"/>
      <w:numFmt w:val="bullet"/>
      <w:lvlText w:val=""/>
      <w:lvlJc w:val="left"/>
      <w:pPr>
        <w:ind w:left="3960" w:hanging="360"/>
      </w:pPr>
      <w:rPr>
        <w:rFonts w:ascii="Wingdings" w:hAnsi="Wingdings" w:hint="default"/>
      </w:rPr>
    </w:lvl>
    <w:lvl w:ilvl="6" w:tplc="0C090001">
      <w:start w:val="1"/>
      <w:numFmt w:val="bullet"/>
      <w:lvlText w:val=""/>
      <w:lvlJc w:val="left"/>
      <w:pPr>
        <w:ind w:left="4680" w:hanging="360"/>
      </w:pPr>
      <w:rPr>
        <w:rFonts w:ascii="Symbol" w:hAnsi="Symbol" w:hint="default"/>
      </w:rPr>
    </w:lvl>
    <w:lvl w:ilvl="7" w:tplc="0C090003">
      <w:start w:val="1"/>
      <w:numFmt w:val="bullet"/>
      <w:lvlText w:val="o"/>
      <w:lvlJc w:val="left"/>
      <w:pPr>
        <w:ind w:left="5400" w:hanging="360"/>
      </w:pPr>
      <w:rPr>
        <w:rFonts w:ascii="Courier New" w:hAnsi="Courier New" w:cs="Courier New" w:hint="default"/>
      </w:rPr>
    </w:lvl>
    <w:lvl w:ilvl="8" w:tplc="0C090005">
      <w:start w:val="1"/>
      <w:numFmt w:val="bullet"/>
      <w:lvlText w:val=""/>
      <w:lvlJc w:val="left"/>
      <w:pPr>
        <w:ind w:left="6120" w:hanging="360"/>
      </w:pPr>
      <w:rPr>
        <w:rFonts w:ascii="Wingdings" w:hAnsi="Wingdings" w:hint="default"/>
      </w:rPr>
    </w:lvl>
  </w:abstractNum>
  <w:abstractNum w:abstractNumId="18">
    <w:nsid w:val="53356C77"/>
    <w:multiLevelType w:val="hybridMultilevel"/>
    <w:tmpl w:val="C5F6EA74"/>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9">
    <w:nsid w:val="5D612DD0"/>
    <w:multiLevelType w:val="hybridMultilevel"/>
    <w:tmpl w:val="5F629A7A"/>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0">
    <w:nsid w:val="63A15FB9"/>
    <w:multiLevelType w:val="hybridMultilevel"/>
    <w:tmpl w:val="BF3AA932"/>
    <w:lvl w:ilvl="0" w:tplc="3484F224">
      <w:start w:val="1"/>
      <w:numFmt w:val="bullet"/>
      <w:pStyle w:val="Bullet1"/>
      <w:lvlText w:val=""/>
      <w:lvlJc w:val="left"/>
      <w:pPr>
        <w:ind w:left="720" w:hanging="360"/>
      </w:pPr>
      <w:rPr>
        <w:rFonts w:ascii="Symbol" w:hAnsi="Symbol" w:hint="default"/>
        <w:color w:val="5C5C5C"/>
      </w:rPr>
    </w:lvl>
    <w:lvl w:ilvl="1" w:tplc="7610D95C">
      <w:start w:val="1"/>
      <w:numFmt w:val="bullet"/>
      <w:pStyle w:val="ListBullet"/>
      <w:lvlText w:val=""/>
      <w:lvlJc w:val="left"/>
      <w:pPr>
        <w:ind w:left="1353" w:hanging="360"/>
      </w:pPr>
      <w:rPr>
        <w:rFonts w:ascii="Symbol" w:hAnsi="Symbol" w:hint="default"/>
        <w:color w:val="4D738A"/>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nsid w:val="65F7732C"/>
    <w:multiLevelType w:val="hybridMultilevel"/>
    <w:tmpl w:val="613EDB7E"/>
    <w:lvl w:ilvl="0" w:tplc="08090001">
      <w:start w:val="1"/>
      <w:numFmt w:val="bullet"/>
      <w:lvlText w:val=""/>
      <w:lvlJc w:val="left"/>
      <w:pPr>
        <w:ind w:left="770" w:hanging="360"/>
      </w:pPr>
      <w:rPr>
        <w:rFonts w:ascii="Symbol" w:hAnsi="Symbol" w:hint="default"/>
      </w:rPr>
    </w:lvl>
    <w:lvl w:ilvl="1" w:tplc="08090003" w:tentative="1">
      <w:start w:val="1"/>
      <w:numFmt w:val="bullet"/>
      <w:lvlText w:val="o"/>
      <w:lvlJc w:val="left"/>
      <w:pPr>
        <w:ind w:left="1490" w:hanging="360"/>
      </w:pPr>
      <w:rPr>
        <w:rFonts w:ascii="Courier New" w:hAnsi="Courier New" w:cs="Courier New" w:hint="default"/>
      </w:rPr>
    </w:lvl>
    <w:lvl w:ilvl="2" w:tplc="08090005" w:tentative="1">
      <w:start w:val="1"/>
      <w:numFmt w:val="bullet"/>
      <w:lvlText w:val=""/>
      <w:lvlJc w:val="left"/>
      <w:pPr>
        <w:ind w:left="2210" w:hanging="360"/>
      </w:pPr>
      <w:rPr>
        <w:rFonts w:ascii="Wingdings" w:hAnsi="Wingdings" w:hint="default"/>
      </w:rPr>
    </w:lvl>
    <w:lvl w:ilvl="3" w:tplc="08090001" w:tentative="1">
      <w:start w:val="1"/>
      <w:numFmt w:val="bullet"/>
      <w:lvlText w:val=""/>
      <w:lvlJc w:val="left"/>
      <w:pPr>
        <w:ind w:left="2930" w:hanging="360"/>
      </w:pPr>
      <w:rPr>
        <w:rFonts w:ascii="Symbol" w:hAnsi="Symbol" w:hint="default"/>
      </w:rPr>
    </w:lvl>
    <w:lvl w:ilvl="4" w:tplc="08090003" w:tentative="1">
      <w:start w:val="1"/>
      <w:numFmt w:val="bullet"/>
      <w:lvlText w:val="o"/>
      <w:lvlJc w:val="left"/>
      <w:pPr>
        <w:ind w:left="3650" w:hanging="360"/>
      </w:pPr>
      <w:rPr>
        <w:rFonts w:ascii="Courier New" w:hAnsi="Courier New" w:cs="Courier New" w:hint="default"/>
      </w:rPr>
    </w:lvl>
    <w:lvl w:ilvl="5" w:tplc="08090005" w:tentative="1">
      <w:start w:val="1"/>
      <w:numFmt w:val="bullet"/>
      <w:lvlText w:val=""/>
      <w:lvlJc w:val="left"/>
      <w:pPr>
        <w:ind w:left="4370" w:hanging="360"/>
      </w:pPr>
      <w:rPr>
        <w:rFonts w:ascii="Wingdings" w:hAnsi="Wingdings" w:hint="default"/>
      </w:rPr>
    </w:lvl>
    <w:lvl w:ilvl="6" w:tplc="08090001" w:tentative="1">
      <w:start w:val="1"/>
      <w:numFmt w:val="bullet"/>
      <w:lvlText w:val=""/>
      <w:lvlJc w:val="left"/>
      <w:pPr>
        <w:ind w:left="5090" w:hanging="360"/>
      </w:pPr>
      <w:rPr>
        <w:rFonts w:ascii="Symbol" w:hAnsi="Symbol" w:hint="default"/>
      </w:rPr>
    </w:lvl>
    <w:lvl w:ilvl="7" w:tplc="08090003" w:tentative="1">
      <w:start w:val="1"/>
      <w:numFmt w:val="bullet"/>
      <w:lvlText w:val="o"/>
      <w:lvlJc w:val="left"/>
      <w:pPr>
        <w:ind w:left="5810" w:hanging="360"/>
      </w:pPr>
      <w:rPr>
        <w:rFonts w:ascii="Courier New" w:hAnsi="Courier New" w:cs="Courier New" w:hint="default"/>
      </w:rPr>
    </w:lvl>
    <w:lvl w:ilvl="8" w:tplc="08090005" w:tentative="1">
      <w:start w:val="1"/>
      <w:numFmt w:val="bullet"/>
      <w:lvlText w:val=""/>
      <w:lvlJc w:val="left"/>
      <w:pPr>
        <w:ind w:left="6530" w:hanging="360"/>
      </w:pPr>
      <w:rPr>
        <w:rFonts w:ascii="Wingdings" w:hAnsi="Wingdings" w:hint="default"/>
      </w:rPr>
    </w:lvl>
  </w:abstractNum>
  <w:abstractNum w:abstractNumId="22">
    <w:nsid w:val="68FA7960"/>
    <w:multiLevelType w:val="hybridMultilevel"/>
    <w:tmpl w:val="7752E61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nsid w:val="6BB965DE"/>
    <w:multiLevelType w:val="hybridMultilevel"/>
    <w:tmpl w:val="663C8A50"/>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4">
    <w:nsid w:val="70AB1769"/>
    <w:multiLevelType w:val="hybridMultilevel"/>
    <w:tmpl w:val="9696A856"/>
    <w:lvl w:ilvl="0" w:tplc="789C72EA">
      <w:start w:val="1"/>
      <w:numFmt w:val="bullet"/>
      <w:lvlText w:val=""/>
      <w:lvlJc w:val="left"/>
      <w:pPr>
        <w:ind w:left="227" w:hanging="227"/>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7C105204"/>
    <w:multiLevelType w:val="hybridMultilevel"/>
    <w:tmpl w:val="35A8CD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0"/>
  </w:num>
  <w:num w:numId="2">
    <w:abstractNumId w:val="7"/>
  </w:num>
  <w:num w:numId="3">
    <w:abstractNumId w:val="4"/>
  </w:num>
  <w:num w:numId="4">
    <w:abstractNumId w:val="0"/>
  </w:num>
  <w:num w:numId="5">
    <w:abstractNumId w:val="1"/>
  </w:num>
  <w:num w:numId="6">
    <w:abstractNumId w:val="14"/>
  </w:num>
  <w:num w:numId="7">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5"/>
  </w:num>
  <w:num w:numId="9">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7"/>
  </w:num>
  <w:num w:numId="13">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1"/>
  </w:num>
  <w:num w:numId="16">
    <w:abstractNumId w:val="6"/>
  </w:num>
  <w:num w:numId="17">
    <w:abstractNumId w:val="8"/>
  </w:num>
  <w:num w:numId="18">
    <w:abstractNumId w:val="25"/>
  </w:num>
  <w:num w:numId="19">
    <w:abstractNumId w:val="3"/>
  </w:num>
  <w:num w:numId="20">
    <w:abstractNumId w:val="10"/>
  </w:num>
  <w:num w:numId="21">
    <w:abstractNumId w:val="18"/>
  </w:num>
  <w:num w:numId="22">
    <w:abstractNumId w:val="22"/>
  </w:num>
  <w:num w:numId="23">
    <w:abstractNumId w:val="21"/>
  </w:num>
  <w:num w:numId="24">
    <w:abstractNumId w:val="12"/>
  </w:num>
  <w:num w:numId="25">
    <w:abstractNumId w:val="2"/>
  </w:num>
  <w:num w:numId="26">
    <w:abstractNumId w:val="24"/>
  </w:num>
  <w:num w:numId="27">
    <w:abstractNumId w:val="17"/>
  </w:num>
  <w:num w:numId="2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fullPage" w:percent="86"/>
  <w:removePersonalInformation/>
  <w:removeDateAndTime/>
  <w:proofState w:spelling="clean" w:grammar="clean"/>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B28B8"/>
    <w:rsid w:val="000002DF"/>
    <w:rsid w:val="00004B83"/>
    <w:rsid w:val="00013440"/>
    <w:rsid w:val="00013DEF"/>
    <w:rsid w:val="0001561D"/>
    <w:rsid w:val="00015BB2"/>
    <w:rsid w:val="00017B18"/>
    <w:rsid w:val="00020156"/>
    <w:rsid w:val="0002533E"/>
    <w:rsid w:val="000305A5"/>
    <w:rsid w:val="000349B3"/>
    <w:rsid w:val="0004164B"/>
    <w:rsid w:val="00045C61"/>
    <w:rsid w:val="00064482"/>
    <w:rsid w:val="00076C62"/>
    <w:rsid w:val="000779BE"/>
    <w:rsid w:val="00077ADB"/>
    <w:rsid w:val="0008138D"/>
    <w:rsid w:val="00086078"/>
    <w:rsid w:val="000929E4"/>
    <w:rsid w:val="00092A40"/>
    <w:rsid w:val="00093BA2"/>
    <w:rsid w:val="00094094"/>
    <w:rsid w:val="00094F01"/>
    <w:rsid w:val="00096B7A"/>
    <w:rsid w:val="000A6F46"/>
    <w:rsid w:val="000B12EE"/>
    <w:rsid w:val="000B1539"/>
    <w:rsid w:val="000B3880"/>
    <w:rsid w:val="000B6310"/>
    <w:rsid w:val="000B6543"/>
    <w:rsid w:val="000C13C7"/>
    <w:rsid w:val="000C2088"/>
    <w:rsid w:val="000C6BC3"/>
    <w:rsid w:val="000D32BD"/>
    <w:rsid w:val="000E16F8"/>
    <w:rsid w:val="000E1DD3"/>
    <w:rsid w:val="000E205C"/>
    <w:rsid w:val="000E37F7"/>
    <w:rsid w:val="000E393D"/>
    <w:rsid w:val="000E4D95"/>
    <w:rsid w:val="000E57EC"/>
    <w:rsid w:val="000F1E64"/>
    <w:rsid w:val="000F2E46"/>
    <w:rsid w:val="000F348D"/>
    <w:rsid w:val="000F3D72"/>
    <w:rsid w:val="000F5B61"/>
    <w:rsid w:val="000F677F"/>
    <w:rsid w:val="001041B0"/>
    <w:rsid w:val="00107508"/>
    <w:rsid w:val="001100CE"/>
    <w:rsid w:val="0011430B"/>
    <w:rsid w:val="001232E7"/>
    <w:rsid w:val="0012719B"/>
    <w:rsid w:val="00127726"/>
    <w:rsid w:val="00132C8F"/>
    <w:rsid w:val="00133DFB"/>
    <w:rsid w:val="001342A3"/>
    <w:rsid w:val="00134D5D"/>
    <w:rsid w:val="001401B3"/>
    <w:rsid w:val="00140B88"/>
    <w:rsid w:val="00144272"/>
    <w:rsid w:val="00151A0A"/>
    <w:rsid w:val="00162E04"/>
    <w:rsid w:val="00166B00"/>
    <w:rsid w:val="00166BBC"/>
    <w:rsid w:val="0016757E"/>
    <w:rsid w:val="00167B62"/>
    <w:rsid w:val="00171B63"/>
    <w:rsid w:val="001753CD"/>
    <w:rsid w:val="0018648A"/>
    <w:rsid w:val="00191E5B"/>
    <w:rsid w:val="00192F33"/>
    <w:rsid w:val="0019354F"/>
    <w:rsid w:val="00195C9D"/>
    <w:rsid w:val="001A59E6"/>
    <w:rsid w:val="001A6BA2"/>
    <w:rsid w:val="001B0E99"/>
    <w:rsid w:val="001B6D50"/>
    <w:rsid w:val="001D161A"/>
    <w:rsid w:val="001D2F30"/>
    <w:rsid w:val="001D7E36"/>
    <w:rsid w:val="001E311A"/>
    <w:rsid w:val="001E6911"/>
    <w:rsid w:val="001F5CE4"/>
    <w:rsid w:val="002030AE"/>
    <w:rsid w:val="00203971"/>
    <w:rsid w:val="0020553E"/>
    <w:rsid w:val="00207C8E"/>
    <w:rsid w:val="00230B26"/>
    <w:rsid w:val="00235A6A"/>
    <w:rsid w:val="00244418"/>
    <w:rsid w:val="00253442"/>
    <w:rsid w:val="00260378"/>
    <w:rsid w:val="00261C0D"/>
    <w:rsid w:val="00263745"/>
    <w:rsid w:val="00280176"/>
    <w:rsid w:val="0029141F"/>
    <w:rsid w:val="00294205"/>
    <w:rsid w:val="002965B1"/>
    <w:rsid w:val="00296FC0"/>
    <w:rsid w:val="002A0994"/>
    <w:rsid w:val="002A433E"/>
    <w:rsid w:val="002A66A4"/>
    <w:rsid w:val="002A78C9"/>
    <w:rsid w:val="002B157C"/>
    <w:rsid w:val="002B2224"/>
    <w:rsid w:val="002B4657"/>
    <w:rsid w:val="002C00F0"/>
    <w:rsid w:val="002C1148"/>
    <w:rsid w:val="002C16D2"/>
    <w:rsid w:val="002C36D2"/>
    <w:rsid w:val="002D017C"/>
    <w:rsid w:val="002D1338"/>
    <w:rsid w:val="002E3AB7"/>
    <w:rsid w:val="002E7AD4"/>
    <w:rsid w:val="002F2ACF"/>
    <w:rsid w:val="002F4061"/>
    <w:rsid w:val="003007D7"/>
    <w:rsid w:val="0030215F"/>
    <w:rsid w:val="00312387"/>
    <w:rsid w:val="00313564"/>
    <w:rsid w:val="003152E6"/>
    <w:rsid w:val="00317B87"/>
    <w:rsid w:val="00323161"/>
    <w:rsid w:val="00326E97"/>
    <w:rsid w:val="00335C26"/>
    <w:rsid w:val="003501A8"/>
    <w:rsid w:val="0035501A"/>
    <w:rsid w:val="00361345"/>
    <w:rsid w:val="003705A1"/>
    <w:rsid w:val="003718E8"/>
    <w:rsid w:val="00372C25"/>
    <w:rsid w:val="0038185C"/>
    <w:rsid w:val="00382C7A"/>
    <w:rsid w:val="00394664"/>
    <w:rsid w:val="003949A8"/>
    <w:rsid w:val="00395615"/>
    <w:rsid w:val="003A4FBD"/>
    <w:rsid w:val="003B28B8"/>
    <w:rsid w:val="003B476D"/>
    <w:rsid w:val="003B7C5B"/>
    <w:rsid w:val="003C4A25"/>
    <w:rsid w:val="003C62F3"/>
    <w:rsid w:val="003D24C6"/>
    <w:rsid w:val="003D36B6"/>
    <w:rsid w:val="003E0EA2"/>
    <w:rsid w:val="003E2CD3"/>
    <w:rsid w:val="003E4077"/>
    <w:rsid w:val="003E611C"/>
    <w:rsid w:val="003F5140"/>
    <w:rsid w:val="00403AD7"/>
    <w:rsid w:val="00412ED1"/>
    <w:rsid w:val="00416D5A"/>
    <w:rsid w:val="00425156"/>
    <w:rsid w:val="00427994"/>
    <w:rsid w:val="0043087E"/>
    <w:rsid w:val="00431CB1"/>
    <w:rsid w:val="0044197D"/>
    <w:rsid w:val="004450A3"/>
    <w:rsid w:val="004469E7"/>
    <w:rsid w:val="00453257"/>
    <w:rsid w:val="004619AB"/>
    <w:rsid w:val="00463C44"/>
    <w:rsid w:val="00464E20"/>
    <w:rsid w:val="004664E8"/>
    <w:rsid w:val="00467129"/>
    <w:rsid w:val="00473BED"/>
    <w:rsid w:val="0047579D"/>
    <w:rsid w:val="00475BF9"/>
    <w:rsid w:val="0048365A"/>
    <w:rsid w:val="00486BD2"/>
    <w:rsid w:val="00487BEB"/>
    <w:rsid w:val="0049684A"/>
    <w:rsid w:val="004B72C5"/>
    <w:rsid w:val="004C0BD9"/>
    <w:rsid w:val="004C3D74"/>
    <w:rsid w:val="004D1290"/>
    <w:rsid w:val="004D27C3"/>
    <w:rsid w:val="004D4862"/>
    <w:rsid w:val="004D6320"/>
    <w:rsid w:val="004F065A"/>
    <w:rsid w:val="004F0CAB"/>
    <w:rsid w:val="004F67B8"/>
    <w:rsid w:val="00503845"/>
    <w:rsid w:val="0050477B"/>
    <w:rsid w:val="00506E9A"/>
    <w:rsid w:val="00512C9B"/>
    <w:rsid w:val="005179F9"/>
    <w:rsid w:val="00520149"/>
    <w:rsid w:val="00520345"/>
    <w:rsid w:val="00520CA4"/>
    <w:rsid w:val="005341EA"/>
    <w:rsid w:val="00540774"/>
    <w:rsid w:val="00543170"/>
    <w:rsid w:val="005445F7"/>
    <w:rsid w:val="00550749"/>
    <w:rsid w:val="00571BAC"/>
    <w:rsid w:val="00571EB1"/>
    <w:rsid w:val="00573BB1"/>
    <w:rsid w:val="00575125"/>
    <w:rsid w:val="00583FC7"/>
    <w:rsid w:val="005955A3"/>
    <w:rsid w:val="005A0360"/>
    <w:rsid w:val="005A33DD"/>
    <w:rsid w:val="005B1645"/>
    <w:rsid w:val="005B7130"/>
    <w:rsid w:val="005B76B1"/>
    <w:rsid w:val="005C1764"/>
    <w:rsid w:val="005C1BB3"/>
    <w:rsid w:val="005C2B4C"/>
    <w:rsid w:val="005C2EE6"/>
    <w:rsid w:val="005C4DB7"/>
    <w:rsid w:val="005C4E2F"/>
    <w:rsid w:val="005C5F38"/>
    <w:rsid w:val="005D3FEF"/>
    <w:rsid w:val="005D7804"/>
    <w:rsid w:val="005E07C5"/>
    <w:rsid w:val="005E63D5"/>
    <w:rsid w:val="005F2781"/>
    <w:rsid w:val="005F74FD"/>
    <w:rsid w:val="006005B7"/>
    <w:rsid w:val="006048F2"/>
    <w:rsid w:val="00611F08"/>
    <w:rsid w:val="006129E0"/>
    <w:rsid w:val="006150CB"/>
    <w:rsid w:val="00615D73"/>
    <w:rsid w:val="006245E5"/>
    <w:rsid w:val="00631428"/>
    <w:rsid w:val="00636BFD"/>
    <w:rsid w:val="006410F9"/>
    <w:rsid w:val="00641971"/>
    <w:rsid w:val="006426A0"/>
    <w:rsid w:val="00646CA1"/>
    <w:rsid w:val="00647056"/>
    <w:rsid w:val="00647189"/>
    <w:rsid w:val="00655CCB"/>
    <w:rsid w:val="00657D2F"/>
    <w:rsid w:val="00670379"/>
    <w:rsid w:val="00670A4B"/>
    <w:rsid w:val="00671F7A"/>
    <w:rsid w:val="00680FCC"/>
    <w:rsid w:val="00686171"/>
    <w:rsid w:val="00686698"/>
    <w:rsid w:val="00687774"/>
    <w:rsid w:val="00692F10"/>
    <w:rsid w:val="00697BF5"/>
    <w:rsid w:val="006A185B"/>
    <w:rsid w:val="006B0712"/>
    <w:rsid w:val="006B6B00"/>
    <w:rsid w:val="006B79CE"/>
    <w:rsid w:val="006C1E2B"/>
    <w:rsid w:val="006C530C"/>
    <w:rsid w:val="006C6956"/>
    <w:rsid w:val="006C75BD"/>
    <w:rsid w:val="006D1927"/>
    <w:rsid w:val="006D3357"/>
    <w:rsid w:val="006D4D06"/>
    <w:rsid w:val="006D5928"/>
    <w:rsid w:val="006D596C"/>
    <w:rsid w:val="006E0B1E"/>
    <w:rsid w:val="006E4C7C"/>
    <w:rsid w:val="006E6072"/>
    <w:rsid w:val="006F3657"/>
    <w:rsid w:val="006F6FD8"/>
    <w:rsid w:val="006F7007"/>
    <w:rsid w:val="006F75F1"/>
    <w:rsid w:val="007022F6"/>
    <w:rsid w:val="00703A0F"/>
    <w:rsid w:val="00717646"/>
    <w:rsid w:val="00717FDE"/>
    <w:rsid w:val="00726915"/>
    <w:rsid w:val="007274B2"/>
    <w:rsid w:val="007319F9"/>
    <w:rsid w:val="00732795"/>
    <w:rsid w:val="007329DA"/>
    <w:rsid w:val="00732F9D"/>
    <w:rsid w:val="00733DAF"/>
    <w:rsid w:val="0073768B"/>
    <w:rsid w:val="00752031"/>
    <w:rsid w:val="00752FE0"/>
    <w:rsid w:val="00755577"/>
    <w:rsid w:val="007612AE"/>
    <w:rsid w:val="00771F2B"/>
    <w:rsid w:val="00772C5E"/>
    <w:rsid w:val="007741E9"/>
    <w:rsid w:val="00777466"/>
    <w:rsid w:val="00781E70"/>
    <w:rsid w:val="007874E3"/>
    <w:rsid w:val="007901DE"/>
    <w:rsid w:val="007912CA"/>
    <w:rsid w:val="007914AA"/>
    <w:rsid w:val="00794AC4"/>
    <w:rsid w:val="007A5436"/>
    <w:rsid w:val="007B0031"/>
    <w:rsid w:val="007C0DFF"/>
    <w:rsid w:val="007C48B7"/>
    <w:rsid w:val="007D16CF"/>
    <w:rsid w:val="007D1B73"/>
    <w:rsid w:val="007D289A"/>
    <w:rsid w:val="007D4A4B"/>
    <w:rsid w:val="007D7E0B"/>
    <w:rsid w:val="007E2E11"/>
    <w:rsid w:val="007F4A92"/>
    <w:rsid w:val="00800D41"/>
    <w:rsid w:val="008029C1"/>
    <w:rsid w:val="0081156F"/>
    <w:rsid w:val="00814D2B"/>
    <w:rsid w:val="0082220F"/>
    <w:rsid w:val="00826B4C"/>
    <w:rsid w:val="008308A2"/>
    <w:rsid w:val="00830A5E"/>
    <w:rsid w:val="00835D5F"/>
    <w:rsid w:val="0083667C"/>
    <w:rsid w:val="00847B09"/>
    <w:rsid w:val="00853C73"/>
    <w:rsid w:val="00855550"/>
    <w:rsid w:val="00855973"/>
    <w:rsid w:val="00871614"/>
    <w:rsid w:val="00874F98"/>
    <w:rsid w:val="00881480"/>
    <w:rsid w:val="008868DC"/>
    <w:rsid w:val="008916BE"/>
    <w:rsid w:val="008934DA"/>
    <w:rsid w:val="00895598"/>
    <w:rsid w:val="00896723"/>
    <w:rsid w:val="008A3D7E"/>
    <w:rsid w:val="008B0972"/>
    <w:rsid w:val="008B0BFC"/>
    <w:rsid w:val="008B50E1"/>
    <w:rsid w:val="008C217B"/>
    <w:rsid w:val="008C22A0"/>
    <w:rsid w:val="008C4C79"/>
    <w:rsid w:val="008D2EF7"/>
    <w:rsid w:val="008D3382"/>
    <w:rsid w:val="008D66BA"/>
    <w:rsid w:val="008D7F54"/>
    <w:rsid w:val="008E24B3"/>
    <w:rsid w:val="008E2894"/>
    <w:rsid w:val="008E28AC"/>
    <w:rsid w:val="008E369B"/>
    <w:rsid w:val="008E4822"/>
    <w:rsid w:val="008F1E5E"/>
    <w:rsid w:val="009034E2"/>
    <w:rsid w:val="0090534E"/>
    <w:rsid w:val="00906F15"/>
    <w:rsid w:val="00911695"/>
    <w:rsid w:val="00915D14"/>
    <w:rsid w:val="00920C28"/>
    <w:rsid w:val="00925592"/>
    <w:rsid w:val="00927556"/>
    <w:rsid w:val="00937396"/>
    <w:rsid w:val="009401C5"/>
    <w:rsid w:val="00944BCB"/>
    <w:rsid w:val="009607B3"/>
    <w:rsid w:val="00960AFE"/>
    <w:rsid w:val="00970955"/>
    <w:rsid w:val="00982302"/>
    <w:rsid w:val="00985E7B"/>
    <w:rsid w:val="0098671E"/>
    <w:rsid w:val="00986923"/>
    <w:rsid w:val="009935E5"/>
    <w:rsid w:val="009945D4"/>
    <w:rsid w:val="00995AAC"/>
    <w:rsid w:val="00995E54"/>
    <w:rsid w:val="00996F04"/>
    <w:rsid w:val="009A08B4"/>
    <w:rsid w:val="009B0BEE"/>
    <w:rsid w:val="009B0E66"/>
    <w:rsid w:val="009B6679"/>
    <w:rsid w:val="009C2607"/>
    <w:rsid w:val="009C3C96"/>
    <w:rsid w:val="009C5B31"/>
    <w:rsid w:val="009E7BF0"/>
    <w:rsid w:val="009F6A47"/>
    <w:rsid w:val="00A069DA"/>
    <w:rsid w:val="00A1476F"/>
    <w:rsid w:val="00A16013"/>
    <w:rsid w:val="00A2057D"/>
    <w:rsid w:val="00A25DCC"/>
    <w:rsid w:val="00A26551"/>
    <w:rsid w:val="00A32CE0"/>
    <w:rsid w:val="00A34C99"/>
    <w:rsid w:val="00A41561"/>
    <w:rsid w:val="00A41CCC"/>
    <w:rsid w:val="00A452C2"/>
    <w:rsid w:val="00A45F97"/>
    <w:rsid w:val="00A46CAA"/>
    <w:rsid w:val="00A47E24"/>
    <w:rsid w:val="00A47E87"/>
    <w:rsid w:val="00A53A8A"/>
    <w:rsid w:val="00A56E18"/>
    <w:rsid w:val="00A666E2"/>
    <w:rsid w:val="00A67806"/>
    <w:rsid w:val="00A70D07"/>
    <w:rsid w:val="00A73951"/>
    <w:rsid w:val="00A75295"/>
    <w:rsid w:val="00A80E75"/>
    <w:rsid w:val="00A81813"/>
    <w:rsid w:val="00A83867"/>
    <w:rsid w:val="00A83E20"/>
    <w:rsid w:val="00A90196"/>
    <w:rsid w:val="00AA2C38"/>
    <w:rsid w:val="00AA41A1"/>
    <w:rsid w:val="00AA59C7"/>
    <w:rsid w:val="00AA68A9"/>
    <w:rsid w:val="00AA6C85"/>
    <w:rsid w:val="00AA741A"/>
    <w:rsid w:val="00AC2BB5"/>
    <w:rsid w:val="00AD1D3C"/>
    <w:rsid w:val="00AD3133"/>
    <w:rsid w:val="00AE24F2"/>
    <w:rsid w:val="00B01210"/>
    <w:rsid w:val="00B0173C"/>
    <w:rsid w:val="00B14865"/>
    <w:rsid w:val="00B22261"/>
    <w:rsid w:val="00B22F73"/>
    <w:rsid w:val="00B27DC2"/>
    <w:rsid w:val="00B40696"/>
    <w:rsid w:val="00B412C4"/>
    <w:rsid w:val="00B53150"/>
    <w:rsid w:val="00B56A49"/>
    <w:rsid w:val="00B62B8F"/>
    <w:rsid w:val="00B6314E"/>
    <w:rsid w:val="00B671C3"/>
    <w:rsid w:val="00B708D3"/>
    <w:rsid w:val="00B7209B"/>
    <w:rsid w:val="00B74535"/>
    <w:rsid w:val="00B74A7D"/>
    <w:rsid w:val="00B83140"/>
    <w:rsid w:val="00B8468D"/>
    <w:rsid w:val="00B8683B"/>
    <w:rsid w:val="00B902B3"/>
    <w:rsid w:val="00B95999"/>
    <w:rsid w:val="00B97BAE"/>
    <w:rsid w:val="00BA77F2"/>
    <w:rsid w:val="00BB221A"/>
    <w:rsid w:val="00BB6C8A"/>
    <w:rsid w:val="00BC2215"/>
    <w:rsid w:val="00BE2397"/>
    <w:rsid w:val="00BF004D"/>
    <w:rsid w:val="00BF4703"/>
    <w:rsid w:val="00C100D3"/>
    <w:rsid w:val="00C10B3B"/>
    <w:rsid w:val="00C116D3"/>
    <w:rsid w:val="00C1551B"/>
    <w:rsid w:val="00C16C35"/>
    <w:rsid w:val="00C17E20"/>
    <w:rsid w:val="00C20380"/>
    <w:rsid w:val="00C2148A"/>
    <w:rsid w:val="00C221B8"/>
    <w:rsid w:val="00C2490E"/>
    <w:rsid w:val="00C2748F"/>
    <w:rsid w:val="00C279C1"/>
    <w:rsid w:val="00C3014F"/>
    <w:rsid w:val="00C427BC"/>
    <w:rsid w:val="00C4328B"/>
    <w:rsid w:val="00C44AD4"/>
    <w:rsid w:val="00C45052"/>
    <w:rsid w:val="00C51794"/>
    <w:rsid w:val="00C544B1"/>
    <w:rsid w:val="00C55662"/>
    <w:rsid w:val="00C61193"/>
    <w:rsid w:val="00C6203A"/>
    <w:rsid w:val="00C660A9"/>
    <w:rsid w:val="00C717C9"/>
    <w:rsid w:val="00C76052"/>
    <w:rsid w:val="00C83AD7"/>
    <w:rsid w:val="00C85ED0"/>
    <w:rsid w:val="00C936FD"/>
    <w:rsid w:val="00C949F2"/>
    <w:rsid w:val="00C960EE"/>
    <w:rsid w:val="00CA023A"/>
    <w:rsid w:val="00CA2285"/>
    <w:rsid w:val="00CA2635"/>
    <w:rsid w:val="00CA2DA8"/>
    <w:rsid w:val="00CB5165"/>
    <w:rsid w:val="00CC2956"/>
    <w:rsid w:val="00CE6F1C"/>
    <w:rsid w:val="00CF047B"/>
    <w:rsid w:val="00CF0DE3"/>
    <w:rsid w:val="00CF2A14"/>
    <w:rsid w:val="00CF37FC"/>
    <w:rsid w:val="00CF6427"/>
    <w:rsid w:val="00CF7BB0"/>
    <w:rsid w:val="00D05CB4"/>
    <w:rsid w:val="00D07A16"/>
    <w:rsid w:val="00D10790"/>
    <w:rsid w:val="00D14D1E"/>
    <w:rsid w:val="00D14E6A"/>
    <w:rsid w:val="00D16662"/>
    <w:rsid w:val="00D173C5"/>
    <w:rsid w:val="00D201D4"/>
    <w:rsid w:val="00D22BD6"/>
    <w:rsid w:val="00D267A1"/>
    <w:rsid w:val="00D27C52"/>
    <w:rsid w:val="00D27D36"/>
    <w:rsid w:val="00D30225"/>
    <w:rsid w:val="00D313FF"/>
    <w:rsid w:val="00D522FC"/>
    <w:rsid w:val="00D549E0"/>
    <w:rsid w:val="00D56A4B"/>
    <w:rsid w:val="00D608F4"/>
    <w:rsid w:val="00D62859"/>
    <w:rsid w:val="00D64446"/>
    <w:rsid w:val="00D7059E"/>
    <w:rsid w:val="00D722FB"/>
    <w:rsid w:val="00D75957"/>
    <w:rsid w:val="00D77C9D"/>
    <w:rsid w:val="00D855A9"/>
    <w:rsid w:val="00D86C16"/>
    <w:rsid w:val="00D8776E"/>
    <w:rsid w:val="00D90737"/>
    <w:rsid w:val="00DA3609"/>
    <w:rsid w:val="00DA76D2"/>
    <w:rsid w:val="00DC2B38"/>
    <w:rsid w:val="00DD1C14"/>
    <w:rsid w:val="00DD2FB3"/>
    <w:rsid w:val="00DD4091"/>
    <w:rsid w:val="00DD6D1D"/>
    <w:rsid w:val="00DD7C3F"/>
    <w:rsid w:val="00DE1AB3"/>
    <w:rsid w:val="00E10228"/>
    <w:rsid w:val="00E15026"/>
    <w:rsid w:val="00E17F0D"/>
    <w:rsid w:val="00E21ABC"/>
    <w:rsid w:val="00E21C58"/>
    <w:rsid w:val="00E25C36"/>
    <w:rsid w:val="00E32378"/>
    <w:rsid w:val="00E34710"/>
    <w:rsid w:val="00E34811"/>
    <w:rsid w:val="00E34873"/>
    <w:rsid w:val="00E34E16"/>
    <w:rsid w:val="00E50DF6"/>
    <w:rsid w:val="00E55848"/>
    <w:rsid w:val="00E56817"/>
    <w:rsid w:val="00E64400"/>
    <w:rsid w:val="00E64F15"/>
    <w:rsid w:val="00E701B5"/>
    <w:rsid w:val="00E7262B"/>
    <w:rsid w:val="00E7483A"/>
    <w:rsid w:val="00E75CCA"/>
    <w:rsid w:val="00E75EED"/>
    <w:rsid w:val="00E75FD4"/>
    <w:rsid w:val="00E76A27"/>
    <w:rsid w:val="00E770D2"/>
    <w:rsid w:val="00E852A6"/>
    <w:rsid w:val="00E87549"/>
    <w:rsid w:val="00E94FA1"/>
    <w:rsid w:val="00E97A25"/>
    <w:rsid w:val="00EB1121"/>
    <w:rsid w:val="00EB1366"/>
    <w:rsid w:val="00EB2A30"/>
    <w:rsid w:val="00EB434F"/>
    <w:rsid w:val="00ED7D1B"/>
    <w:rsid w:val="00EE4053"/>
    <w:rsid w:val="00EE4FD4"/>
    <w:rsid w:val="00EE7BA9"/>
    <w:rsid w:val="00EF1DF7"/>
    <w:rsid w:val="00EF34B4"/>
    <w:rsid w:val="00EF3CEB"/>
    <w:rsid w:val="00EF7F8E"/>
    <w:rsid w:val="00F01A27"/>
    <w:rsid w:val="00F02DD9"/>
    <w:rsid w:val="00F06B12"/>
    <w:rsid w:val="00F10084"/>
    <w:rsid w:val="00F10964"/>
    <w:rsid w:val="00F160AD"/>
    <w:rsid w:val="00F16B36"/>
    <w:rsid w:val="00F17247"/>
    <w:rsid w:val="00F17C49"/>
    <w:rsid w:val="00F25608"/>
    <w:rsid w:val="00F300A0"/>
    <w:rsid w:val="00F413FA"/>
    <w:rsid w:val="00F44774"/>
    <w:rsid w:val="00F45D77"/>
    <w:rsid w:val="00F6039B"/>
    <w:rsid w:val="00F6128A"/>
    <w:rsid w:val="00F63DE4"/>
    <w:rsid w:val="00F65AE3"/>
    <w:rsid w:val="00F77D11"/>
    <w:rsid w:val="00F826F1"/>
    <w:rsid w:val="00F837E9"/>
    <w:rsid w:val="00F85B69"/>
    <w:rsid w:val="00F93F1A"/>
    <w:rsid w:val="00FA5C57"/>
    <w:rsid w:val="00FA7C99"/>
    <w:rsid w:val="00FB1C47"/>
    <w:rsid w:val="00FB2839"/>
    <w:rsid w:val="00FB4958"/>
    <w:rsid w:val="00FB7471"/>
    <w:rsid w:val="00FB7E37"/>
    <w:rsid w:val="00FC11C3"/>
    <w:rsid w:val="00FC3CCC"/>
    <w:rsid w:val="00FC6FEF"/>
    <w:rsid w:val="00FD0E67"/>
    <w:rsid w:val="00FD3B3E"/>
    <w:rsid w:val="00FD54AD"/>
    <w:rsid w:val="00FD661A"/>
    <w:rsid w:val="00FD6ADD"/>
    <w:rsid w:val="00FE3B20"/>
    <w:rsid w:val="00FE744F"/>
    <w:rsid w:val="00FF649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501746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AU" w:eastAsia="en-A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Bullet 2"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6150CB"/>
    <w:pPr>
      <w:spacing w:after="200" w:line="276" w:lineRule="auto"/>
    </w:pPr>
    <w:rPr>
      <w:rFonts w:cs="Calibri"/>
      <w:w w:val="105"/>
      <w:kern w:val="40"/>
      <w:sz w:val="22"/>
      <w:szCs w:val="22"/>
      <w:lang w:eastAsia="en-US"/>
    </w:rPr>
  </w:style>
  <w:style w:type="paragraph" w:styleId="Heading1">
    <w:name w:val="heading 1"/>
    <w:basedOn w:val="Normal"/>
    <w:next w:val="Normal"/>
    <w:link w:val="Heading1Char"/>
    <w:uiPriority w:val="9"/>
    <w:qFormat/>
    <w:rsid w:val="006150CB"/>
    <w:pPr>
      <w:keepNext/>
      <w:spacing w:after="0" w:line="240" w:lineRule="auto"/>
      <w:jc w:val="right"/>
      <w:outlineLvl w:val="0"/>
    </w:pPr>
    <w:rPr>
      <w:rFonts w:eastAsia="SimSun" w:cs="Angsana New"/>
      <w:b/>
      <w:bCs/>
      <w:color w:val="404040"/>
      <w:kern w:val="32"/>
      <w:sz w:val="52"/>
      <w:szCs w:val="52"/>
    </w:rPr>
  </w:style>
  <w:style w:type="paragraph" w:styleId="Heading2">
    <w:name w:val="heading 2"/>
    <w:basedOn w:val="Normal"/>
    <w:next w:val="Normal"/>
    <w:link w:val="Heading2Char"/>
    <w:uiPriority w:val="9"/>
    <w:unhideWhenUsed/>
    <w:qFormat/>
    <w:rsid w:val="00394664"/>
    <w:pPr>
      <w:keepNext/>
      <w:spacing w:before="240" w:after="60" w:line="240" w:lineRule="auto"/>
      <w:outlineLvl w:val="1"/>
    </w:pPr>
    <w:rPr>
      <w:rFonts w:eastAsia="SimSun" w:cs="Angsana New"/>
      <w:b/>
      <w:bCs/>
      <w:iCs/>
      <w:color w:val="4D738A"/>
      <w:sz w:val="40"/>
      <w:szCs w:val="48"/>
    </w:rPr>
  </w:style>
  <w:style w:type="paragraph" w:styleId="Heading3">
    <w:name w:val="heading 3"/>
    <w:basedOn w:val="Normal"/>
    <w:next w:val="Normal"/>
    <w:link w:val="Heading3Char"/>
    <w:uiPriority w:val="9"/>
    <w:unhideWhenUsed/>
    <w:qFormat/>
    <w:rsid w:val="006150CB"/>
    <w:pPr>
      <w:keepNext/>
      <w:spacing w:after="60" w:line="240" w:lineRule="auto"/>
      <w:outlineLvl w:val="2"/>
    </w:pPr>
    <w:rPr>
      <w:rFonts w:eastAsia="SimSun" w:cs="Angsana New"/>
      <w:b/>
      <w:bCs/>
      <w:color w:val="404040"/>
      <w:sz w:val="32"/>
      <w:szCs w:val="32"/>
    </w:rPr>
  </w:style>
  <w:style w:type="paragraph" w:styleId="Heading4">
    <w:name w:val="heading 4"/>
    <w:basedOn w:val="Heading3"/>
    <w:next w:val="Normal"/>
    <w:link w:val="Heading4Char"/>
    <w:uiPriority w:val="9"/>
    <w:unhideWhenUsed/>
    <w:qFormat/>
    <w:rsid w:val="00463C44"/>
    <w:pPr>
      <w:outlineLvl w:val="3"/>
    </w:pPr>
    <w:rPr>
      <w:b w:val="0"/>
      <w:i/>
      <w:color w:val="595959" w:themeColor="text1" w:themeTint="A6"/>
      <w:sz w:val="26"/>
      <w:szCs w:val="26"/>
    </w:rPr>
  </w:style>
  <w:style w:type="paragraph" w:styleId="Heading5">
    <w:name w:val="heading 5"/>
    <w:basedOn w:val="Normal"/>
    <w:next w:val="Normal"/>
    <w:link w:val="Heading5Char"/>
    <w:uiPriority w:val="9"/>
    <w:unhideWhenUsed/>
    <w:qFormat/>
    <w:rsid w:val="00E64F15"/>
    <w:pPr>
      <w:keepNext/>
      <w:keepLines/>
      <w:spacing w:before="200" w:after="0" w:line="240" w:lineRule="auto"/>
      <w:outlineLvl w:val="4"/>
    </w:pPr>
    <w:rPr>
      <w:rFonts w:eastAsiaTheme="majorEastAsia" w:cstheme="majorBidi"/>
      <w:b/>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6150CB"/>
    <w:rPr>
      <w:rFonts w:eastAsia="SimSun" w:cs="Angsana New"/>
      <w:b/>
      <w:bCs/>
      <w:color w:val="404040"/>
      <w:w w:val="105"/>
      <w:kern w:val="32"/>
      <w:sz w:val="52"/>
      <w:szCs w:val="52"/>
      <w:lang w:eastAsia="en-US"/>
    </w:rPr>
  </w:style>
  <w:style w:type="paragraph" w:styleId="Title">
    <w:name w:val="Title"/>
    <w:basedOn w:val="Normal"/>
    <w:next w:val="Normal"/>
    <w:link w:val="TitleChar"/>
    <w:uiPriority w:val="10"/>
    <w:qFormat/>
    <w:rsid w:val="006150CB"/>
    <w:pPr>
      <w:spacing w:before="240" w:after="60" w:line="240" w:lineRule="auto"/>
      <w:outlineLvl w:val="0"/>
    </w:pPr>
    <w:rPr>
      <w:rFonts w:eastAsia="SimSun" w:cs="Angsana New"/>
      <w:b/>
      <w:bCs/>
      <w:noProof/>
      <w:kern w:val="28"/>
      <w:sz w:val="56"/>
      <w:szCs w:val="32"/>
    </w:rPr>
  </w:style>
  <w:style w:type="character" w:customStyle="1" w:styleId="TitleChar">
    <w:name w:val="Title Char"/>
    <w:link w:val="Title"/>
    <w:uiPriority w:val="10"/>
    <w:rsid w:val="006150CB"/>
    <w:rPr>
      <w:rFonts w:eastAsia="SimSun" w:cs="Angsana New"/>
      <w:b/>
      <w:bCs/>
      <w:noProof/>
      <w:w w:val="105"/>
      <w:kern w:val="28"/>
      <w:sz w:val="56"/>
      <w:szCs w:val="32"/>
      <w:lang w:eastAsia="en-US"/>
    </w:rPr>
  </w:style>
  <w:style w:type="character" w:customStyle="1" w:styleId="Heading2Char">
    <w:name w:val="Heading 2 Char"/>
    <w:link w:val="Heading2"/>
    <w:uiPriority w:val="9"/>
    <w:rsid w:val="00394664"/>
    <w:rPr>
      <w:rFonts w:eastAsia="SimSun" w:cs="Angsana New"/>
      <w:b/>
      <w:bCs/>
      <w:iCs/>
      <w:color w:val="4D738A"/>
      <w:w w:val="105"/>
      <w:kern w:val="40"/>
      <w:sz w:val="40"/>
      <w:szCs w:val="48"/>
      <w:lang w:eastAsia="en-US"/>
    </w:rPr>
  </w:style>
  <w:style w:type="paragraph" w:styleId="Subtitle">
    <w:name w:val="Subtitle"/>
    <w:basedOn w:val="Title"/>
    <w:next w:val="Normal"/>
    <w:link w:val="SubtitleChar"/>
    <w:uiPriority w:val="11"/>
    <w:qFormat/>
    <w:rsid w:val="00B22F73"/>
    <w:pPr>
      <w:spacing w:before="0" w:after="0"/>
      <w:jc w:val="right"/>
    </w:pPr>
    <w:rPr>
      <w:sz w:val="36"/>
      <w:szCs w:val="28"/>
    </w:rPr>
  </w:style>
  <w:style w:type="character" w:customStyle="1" w:styleId="SubtitleChar">
    <w:name w:val="Subtitle Char"/>
    <w:link w:val="Subtitle"/>
    <w:uiPriority w:val="11"/>
    <w:rsid w:val="00B22F73"/>
    <w:rPr>
      <w:rFonts w:eastAsia="SimSun" w:cs="Angsana New"/>
      <w:b/>
      <w:bCs/>
      <w:noProof/>
      <w:w w:val="105"/>
      <w:kern w:val="28"/>
      <w:sz w:val="36"/>
      <w:szCs w:val="28"/>
      <w:lang w:eastAsia="en-US"/>
    </w:rPr>
  </w:style>
  <w:style w:type="character" w:customStyle="1" w:styleId="Heading3Char">
    <w:name w:val="Heading 3 Char"/>
    <w:link w:val="Heading3"/>
    <w:uiPriority w:val="9"/>
    <w:rsid w:val="006150CB"/>
    <w:rPr>
      <w:rFonts w:eastAsia="SimSun" w:cs="Angsana New"/>
      <w:b/>
      <w:bCs/>
      <w:color w:val="404040"/>
      <w:w w:val="105"/>
      <w:kern w:val="40"/>
      <w:sz w:val="32"/>
      <w:szCs w:val="32"/>
      <w:lang w:eastAsia="en-US"/>
    </w:rPr>
  </w:style>
  <w:style w:type="paragraph" w:styleId="Header">
    <w:name w:val="header"/>
    <w:basedOn w:val="Normal"/>
    <w:link w:val="HeaderChar"/>
    <w:uiPriority w:val="99"/>
    <w:unhideWhenUsed/>
    <w:rsid w:val="006150CB"/>
    <w:pPr>
      <w:tabs>
        <w:tab w:val="center" w:pos="4513"/>
        <w:tab w:val="right" w:pos="9026"/>
      </w:tabs>
    </w:pPr>
  </w:style>
  <w:style w:type="character" w:customStyle="1" w:styleId="HeaderChar">
    <w:name w:val="Header Char"/>
    <w:link w:val="Header"/>
    <w:uiPriority w:val="99"/>
    <w:rsid w:val="006150CB"/>
    <w:rPr>
      <w:sz w:val="22"/>
      <w:szCs w:val="22"/>
      <w:lang w:eastAsia="en-US"/>
    </w:rPr>
  </w:style>
  <w:style w:type="paragraph" w:styleId="Footer">
    <w:name w:val="footer"/>
    <w:basedOn w:val="Normal"/>
    <w:link w:val="FooterChar"/>
    <w:uiPriority w:val="99"/>
    <w:unhideWhenUsed/>
    <w:rsid w:val="006150CB"/>
    <w:pPr>
      <w:tabs>
        <w:tab w:val="center" w:pos="4513"/>
        <w:tab w:val="right" w:pos="9026"/>
      </w:tabs>
    </w:pPr>
  </w:style>
  <w:style w:type="character" w:customStyle="1" w:styleId="FooterChar">
    <w:name w:val="Footer Char"/>
    <w:link w:val="Footer"/>
    <w:uiPriority w:val="99"/>
    <w:rsid w:val="006150CB"/>
    <w:rPr>
      <w:sz w:val="22"/>
      <w:szCs w:val="22"/>
      <w:lang w:eastAsia="en-US"/>
    </w:rPr>
  </w:style>
  <w:style w:type="paragraph" w:styleId="BalloonText">
    <w:name w:val="Balloon Text"/>
    <w:basedOn w:val="Normal"/>
    <w:link w:val="BalloonTextChar"/>
    <w:uiPriority w:val="99"/>
    <w:semiHidden/>
    <w:unhideWhenUsed/>
    <w:rsid w:val="005C1BB3"/>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5C1BB3"/>
    <w:rPr>
      <w:rFonts w:ascii="Tahoma" w:hAnsi="Tahoma" w:cs="Tahoma"/>
      <w:w w:val="105"/>
      <w:kern w:val="40"/>
      <w:sz w:val="16"/>
      <w:szCs w:val="16"/>
      <w:lang w:eastAsia="en-US"/>
    </w:rPr>
  </w:style>
  <w:style w:type="paragraph" w:customStyle="1" w:styleId="Bullet1">
    <w:name w:val="Bullet 1"/>
    <w:basedOn w:val="ListBullet2"/>
    <w:autoRedefine/>
    <w:qFormat/>
    <w:rsid w:val="00151A0A"/>
    <w:pPr>
      <w:numPr>
        <w:ilvl w:val="0"/>
      </w:numPr>
      <w:ind w:left="567" w:hanging="567"/>
    </w:pPr>
  </w:style>
  <w:style w:type="numbering" w:customStyle="1" w:styleId="Bullet2">
    <w:name w:val="Bullet 2"/>
    <w:basedOn w:val="NoList"/>
    <w:uiPriority w:val="99"/>
    <w:rsid w:val="0011430B"/>
    <w:pPr>
      <w:numPr>
        <w:numId w:val="2"/>
      </w:numPr>
    </w:pPr>
  </w:style>
  <w:style w:type="paragraph" w:styleId="ListBullet2">
    <w:name w:val="List Bullet 2"/>
    <w:basedOn w:val="ListBullet"/>
    <w:autoRedefine/>
    <w:uiPriority w:val="99"/>
    <w:unhideWhenUsed/>
    <w:qFormat/>
    <w:rsid w:val="00151A0A"/>
    <w:pPr>
      <w:ind w:left="1134" w:hanging="567"/>
    </w:pPr>
  </w:style>
  <w:style w:type="character" w:customStyle="1" w:styleId="Heading4Char">
    <w:name w:val="Heading 4 Char"/>
    <w:basedOn w:val="DefaultParagraphFont"/>
    <w:link w:val="Heading4"/>
    <w:uiPriority w:val="9"/>
    <w:rsid w:val="00463C44"/>
    <w:rPr>
      <w:rFonts w:eastAsia="SimSun" w:cs="Angsana New"/>
      <w:bCs/>
      <w:i/>
      <w:color w:val="595959" w:themeColor="text1" w:themeTint="A6"/>
      <w:w w:val="105"/>
      <w:kern w:val="40"/>
      <w:sz w:val="26"/>
      <w:szCs w:val="26"/>
      <w:lang w:eastAsia="en-US"/>
    </w:rPr>
  </w:style>
  <w:style w:type="paragraph" w:styleId="ListBullet">
    <w:name w:val="List Bullet"/>
    <w:aliases w:val="List Bullet 1"/>
    <w:basedOn w:val="Normal"/>
    <w:uiPriority w:val="99"/>
    <w:unhideWhenUsed/>
    <w:rsid w:val="0011430B"/>
    <w:pPr>
      <w:numPr>
        <w:ilvl w:val="1"/>
        <w:numId w:val="1"/>
      </w:numPr>
      <w:ind w:left="1440"/>
      <w:contextualSpacing/>
    </w:pPr>
  </w:style>
  <w:style w:type="character" w:styleId="Strong">
    <w:name w:val="Strong"/>
    <w:basedOn w:val="DefaultParagraphFont"/>
    <w:uiPriority w:val="22"/>
    <w:qFormat/>
    <w:rsid w:val="0011430B"/>
    <w:rPr>
      <w:b/>
      <w:bCs/>
    </w:rPr>
  </w:style>
  <w:style w:type="character" w:styleId="SubtleEmphasis">
    <w:name w:val="Subtle Emphasis"/>
    <w:basedOn w:val="DefaultParagraphFont"/>
    <w:uiPriority w:val="19"/>
    <w:rsid w:val="0011430B"/>
    <w:rPr>
      <w:i/>
      <w:iCs/>
      <w:color w:val="808080" w:themeColor="text1" w:themeTint="7F"/>
    </w:rPr>
  </w:style>
  <w:style w:type="paragraph" w:styleId="FootnoteText">
    <w:name w:val="footnote text"/>
    <w:basedOn w:val="Normal"/>
    <w:link w:val="FootnoteTextChar"/>
    <w:uiPriority w:val="99"/>
    <w:semiHidden/>
    <w:unhideWhenUsed/>
    <w:rsid w:val="00EF1DF7"/>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F1DF7"/>
    <w:rPr>
      <w:rFonts w:cs="Calibri"/>
      <w:w w:val="105"/>
      <w:kern w:val="40"/>
      <w:lang w:eastAsia="en-US"/>
    </w:rPr>
  </w:style>
  <w:style w:type="character" w:styleId="FootnoteReference">
    <w:name w:val="footnote reference"/>
    <w:basedOn w:val="DefaultParagraphFont"/>
    <w:uiPriority w:val="99"/>
    <w:semiHidden/>
    <w:unhideWhenUsed/>
    <w:rsid w:val="00EF1DF7"/>
    <w:rPr>
      <w:vertAlign w:val="superscript"/>
    </w:rPr>
  </w:style>
  <w:style w:type="paragraph" w:styleId="ListParagraph">
    <w:name w:val="List Paragraph"/>
    <w:aliases w:val="List Paragraph1,List Paragraph11,Bullet point,NFP GP Bulleted List,L,bullet point list,1 heading,Bulleted Para,Bullet points,Content descriptions,Bullet Point,NAST Quote,FooterText,numbered,Paragraphe de liste1,列出段落,列出段落1"/>
    <w:basedOn w:val="Normal"/>
    <w:link w:val="ListParagraphChar"/>
    <w:uiPriority w:val="34"/>
    <w:qFormat/>
    <w:rsid w:val="002F2ACF"/>
    <w:pPr>
      <w:ind w:left="720"/>
      <w:contextualSpacing/>
    </w:pPr>
  </w:style>
  <w:style w:type="character" w:styleId="CommentReference">
    <w:name w:val="annotation reference"/>
    <w:basedOn w:val="DefaultParagraphFont"/>
    <w:uiPriority w:val="99"/>
    <w:semiHidden/>
    <w:unhideWhenUsed/>
    <w:rsid w:val="00C51794"/>
    <w:rPr>
      <w:sz w:val="16"/>
      <w:szCs w:val="16"/>
    </w:rPr>
  </w:style>
  <w:style w:type="paragraph" w:styleId="CommentText">
    <w:name w:val="annotation text"/>
    <w:basedOn w:val="Normal"/>
    <w:link w:val="CommentTextChar"/>
    <w:uiPriority w:val="99"/>
    <w:semiHidden/>
    <w:unhideWhenUsed/>
    <w:rsid w:val="00C51794"/>
    <w:pPr>
      <w:spacing w:line="240" w:lineRule="auto"/>
    </w:pPr>
    <w:rPr>
      <w:sz w:val="20"/>
      <w:szCs w:val="20"/>
    </w:rPr>
  </w:style>
  <w:style w:type="character" w:customStyle="1" w:styleId="CommentTextChar">
    <w:name w:val="Comment Text Char"/>
    <w:basedOn w:val="DefaultParagraphFont"/>
    <w:link w:val="CommentText"/>
    <w:uiPriority w:val="99"/>
    <w:semiHidden/>
    <w:rsid w:val="00C51794"/>
    <w:rPr>
      <w:rFonts w:cs="Calibri"/>
      <w:w w:val="105"/>
      <w:kern w:val="40"/>
      <w:lang w:eastAsia="en-US"/>
    </w:rPr>
  </w:style>
  <w:style w:type="paragraph" w:styleId="CommentSubject">
    <w:name w:val="annotation subject"/>
    <w:basedOn w:val="CommentText"/>
    <w:next w:val="CommentText"/>
    <w:link w:val="CommentSubjectChar"/>
    <w:uiPriority w:val="99"/>
    <w:semiHidden/>
    <w:unhideWhenUsed/>
    <w:rsid w:val="00C51794"/>
    <w:rPr>
      <w:b/>
      <w:bCs/>
    </w:rPr>
  </w:style>
  <w:style w:type="character" w:customStyle="1" w:styleId="CommentSubjectChar">
    <w:name w:val="Comment Subject Char"/>
    <w:basedOn w:val="CommentTextChar"/>
    <w:link w:val="CommentSubject"/>
    <w:uiPriority w:val="99"/>
    <w:semiHidden/>
    <w:rsid w:val="00C51794"/>
    <w:rPr>
      <w:rFonts w:cs="Calibri"/>
      <w:b/>
      <w:bCs/>
      <w:w w:val="105"/>
      <w:kern w:val="40"/>
      <w:lang w:eastAsia="en-US"/>
    </w:rPr>
  </w:style>
  <w:style w:type="character" w:customStyle="1" w:styleId="Heading5Char">
    <w:name w:val="Heading 5 Char"/>
    <w:basedOn w:val="DefaultParagraphFont"/>
    <w:link w:val="Heading5"/>
    <w:uiPriority w:val="9"/>
    <w:rsid w:val="00E64F15"/>
    <w:rPr>
      <w:rFonts w:eastAsiaTheme="majorEastAsia" w:cstheme="majorBidi"/>
      <w:b/>
      <w:color w:val="365F91" w:themeColor="accent1" w:themeShade="BF"/>
      <w:w w:val="105"/>
      <w:kern w:val="40"/>
      <w:sz w:val="22"/>
      <w:szCs w:val="22"/>
      <w:lang w:eastAsia="en-US"/>
    </w:rPr>
  </w:style>
  <w:style w:type="character" w:customStyle="1" w:styleId="ListParagraphChar">
    <w:name w:val="List Paragraph Char"/>
    <w:aliases w:val="List Paragraph1 Char,List Paragraph11 Char,Bullet point Char,NFP GP Bulleted List Char,L Char,bullet point list Char,1 heading Char,Bulleted Para Char,Bullet points Char,Content descriptions Char,Bullet Point Char,NAST Quote Char"/>
    <w:basedOn w:val="DefaultParagraphFont"/>
    <w:link w:val="ListParagraph"/>
    <w:uiPriority w:val="99"/>
    <w:locked/>
    <w:rsid w:val="00144272"/>
    <w:rPr>
      <w:rFonts w:cs="Calibri"/>
      <w:w w:val="105"/>
      <w:kern w:val="40"/>
      <w:sz w:val="22"/>
      <w:szCs w:val="22"/>
      <w:lang w:eastAsia="en-US"/>
    </w:rPr>
  </w:style>
  <w:style w:type="table" w:styleId="TableGrid">
    <w:name w:val="Table Grid"/>
    <w:basedOn w:val="TableNormal"/>
    <w:uiPriority w:val="59"/>
    <w:rsid w:val="00AA41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F01A27"/>
    <w:rPr>
      <w:rFonts w:cs="Calibri"/>
      <w:w w:val="105"/>
      <w:kern w:val="40"/>
      <w:sz w:val="22"/>
      <w:szCs w:val="22"/>
      <w:lang w:eastAsia="en-US"/>
    </w:rPr>
  </w:style>
  <w:style w:type="paragraph" w:styleId="Quote">
    <w:name w:val="Quote"/>
    <w:basedOn w:val="Normal"/>
    <w:next w:val="Normal"/>
    <w:link w:val="QuoteChar"/>
    <w:uiPriority w:val="29"/>
    <w:qFormat/>
    <w:rsid w:val="006F75F1"/>
    <w:rPr>
      <w:rFonts w:asciiTheme="minorHAnsi" w:hAnsiTheme="minorHAnsi"/>
      <w:i/>
      <w:iCs/>
      <w:color w:val="000000" w:themeColor="text1"/>
    </w:rPr>
  </w:style>
  <w:style w:type="character" w:customStyle="1" w:styleId="QuoteChar">
    <w:name w:val="Quote Char"/>
    <w:basedOn w:val="DefaultParagraphFont"/>
    <w:link w:val="Quote"/>
    <w:uiPriority w:val="29"/>
    <w:rsid w:val="006F75F1"/>
    <w:rPr>
      <w:rFonts w:asciiTheme="minorHAnsi" w:hAnsiTheme="minorHAnsi" w:cs="Calibri"/>
      <w:i/>
      <w:iCs/>
      <w:color w:val="000000" w:themeColor="text1"/>
      <w:w w:val="105"/>
      <w:kern w:val="40"/>
      <w:sz w:val="22"/>
      <w:szCs w:val="22"/>
      <w:lang w:eastAsia="en-US"/>
    </w:rPr>
  </w:style>
  <w:style w:type="paragraph" w:styleId="NoSpacing">
    <w:name w:val="No Spacing"/>
    <w:uiPriority w:val="1"/>
    <w:qFormat/>
    <w:rsid w:val="003C4A25"/>
    <w:rPr>
      <w:rFonts w:cs="Calibri"/>
      <w:w w:val="105"/>
      <w:kern w:val="40"/>
      <w:sz w:val="22"/>
      <w:szCs w:val="22"/>
      <w:lang w:eastAsia="en-US"/>
    </w:rPr>
  </w:style>
  <w:style w:type="paragraph" w:styleId="Caption">
    <w:name w:val="caption"/>
    <w:basedOn w:val="Normal"/>
    <w:next w:val="Normal"/>
    <w:uiPriority w:val="35"/>
    <w:unhideWhenUsed/>
    <w:qFormat/>
    <w:rsid w:val="004D6320"/>
    <w:pPr>
      <w:spacing w:line="240" w:lineRule="auto"/>
    </w:pPr>
    <w:rPr>
      <w:i/>
      <w:iCs/>
      <w:color w:val="1F497D" w:themeColor="text2"/>
      <w:sz w:val="18"/>
      <w:szCs w:val="18"/>
    </w:rPr>
  </w:style>
  <w:style w:type="paragraph" w:customStyle="1" w:styleId="Tablesmall">
    <w:name w:val="Table small"/>
    <w:basedOn w:val="Normal"/>
    <w:qFormat/>
    <w:rsid w:val="003D36B6"/>
    <w:pPr>
      <w:spacing w:after="0" w:line="240" w:lineRule="auto"/>
    </w:pPr>
    <w:rPr>
      <w:w w:val="100"/>
      <w:kern w:val="0"/>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AU" w:eastAsia="en-A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Bullet 2"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6150CB"/>
    <w:pPr>
      <w:spacing w:after="200" w:line="276" w:lineRule="auto"/>
    </w:pPr>
    <w:rPr>
      <w:rFonts w:cs="Calibri"/>
      <w:w w:val="105"/>
      <w:kern w:val="40"/>
      <w:sz w:val="22"/>
      <w:szCs w:val="22"/>
      <w:lang w:eastAsia="en-US"/>
    </w:rPr>
  </w:style>
  <w:style w:type="paragraph" w:styleId="Heading1">
    <w:name w:val="heading 1"/>
    <w:basedOn w:val="Normal"/>
    <w:next w:val="Normal"/>
    <w:link w:val="Heading1Char"/>
    <w:uiPriority w:val="9"/>
    <w:qFormat/>
    <w:rsid w:val="006150CB"/>
    <w:pPr>
      <w:keepNext/>
      <w:spacing w:after="0" w:line="240" w:lineRule="auto"/>
      <w:jc w:val="right"/>
      <w:outlineLvl w:val="0"/>
    </w:pPr>
    <w:rPr>
      <w:rFonts w:eastAsia="SimSun" w:cs="Angsana New"/>
      <w:b/>
      <w:bCs/>
      <w:color w:val="404040"/>
      <w:kern w:val="32"/>
      <w:sz w:val="52"/>
      <w:szCs w:val="52"/>
    </w:rPr>
  </w:style>
  <w:style w:type="paragraph" w:styleId="Heading2">
    <w:name w:val="heading 2"/>
    <w:basedOn w:val="Normal"/>
    <w:next w:val="Normal"/>
    <w:link w:val="Heading2Char"/>
    <w:uiPriority w:val="9"/>
    <w:unhideWhenUsed/>
    <w:qFormat/>
    <w:rsid w:val="00394664"/>
    <w:pPr>
      <w:keepNext/>
      <w:spacing w:before="240" w:after="60" w:line="240" w:lineRule="auto"/>
      <w:outlineLvl w:val="1"/>
    </w:pPr>
    <w:rPr>
      <w:rFonts w:eastAsia="SimSun" w:cs="Angsana New"/>
      <w:b/>
      <w:bCs/>
      <w:iCs/>
      <w:color w:val="4D738A"/>
      <w:sz w:val="40"/>
      <w:szCs w:val="48"/>
    </w:rPr>
  </w:style>
  <w:style w:type="paragraph" w:styleId="Heading3">
    <w:name w:val="heading 3"/>
    <w:basedOn w:val="Normal"/>
    <w:next w:val="Normal"/>
    <w:link w:val="Heading3Char"/>
    <w:uiPriority w:val="9"/>
    <w:unhideWhenUsed/>
    <w:qFormat/>
    <w:rsid w:val="006150CB"/>
    <w:pPr>
      <w:keepNext/>
      <w:spacing w:after="60" w:line="240" w:lineRule="auto"/>
      <w:outlineLvl w:val="2"/>
    </w:pPr>
    <w:rPr>
      <w:rFonts w:eastAsia="SimSun" w:cs="Angsana New"/>
      <w:b/>
      <w:bCs/>
      <w:color w:val="404040"/>
      <w:sz w:val="32"/>
      <w:szCs w:val="32"/>
    </w:rPr>
  </w:style>
  <w:style w:type="paragraph" w:styleId="Heading4">
    <w:name w:val="heading 4"/>
    <w:basedOn w:val="Heading3"/>
    <w:next w:val="Normal"/>
    <w:link w:val="Heading4Char"/>
    <w:uiPriority w:val="9"/>
    <w:unhideWhenUsed/>
    <w:qFormat/>
    <w:rsid w:val="00463C44"/>
    <w:pPr>
      <w:outlineLvl w:val="3"/>
    </w:pPr>
    <w:rPr>
      <w:b w:val="0"/>
      <w:i/>
      <w:color w:val="595959" w:themeColor="text1" w:themeTint="A6"/>
      <w:sz w:val="26"/>
      <w:szCs w:val="26"/>
    </w:rPr>
  </w:style>
  <w:style w:type="paragraph" w:styleId="Heading5">
    <w:name w:val="heading 5"/>
    <w:basedOn w:val="Normal"/>
    <w:next w:val="Normal"/>
    <w:link w:val="Heading5Char"/>
    <w:uiPriority w:val="9"/>
    <w:unhideWhenUsed/>
    <w:qFormat/>
    <w:rsid w:val="00E64F15"/>
    <w:pPr>
      <w:keepNext/>
      <w:keepLines/>
      <w:spacing w:before="200" w:after="0" w:line="240" w:lineRule="auto"/>
      <w:outlineLvl w:val="4"/>
    </w:pPr>
    <w:rPr>
      <w:rFonts w:eastAsiaTheme="majorEastAsia" w:cstheme="majorBidi"/>
      <w:b/>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6150CB"/>
    <w:rPr>
      <w:rFonts w:eastAsia="SimSun" w:cs="Angsana New"/>
      <w:b/>
      <w:bCs/>
      <w:color w:val="404040"/>
      <w:w w:val="105"/>
      <w:kern w:val="32"/>
      <w:sz w:val="52"/>
      <w:szCs w:val="52"/>
      <w:lang w:eastAsia="en-US"/>
    </w:rPr>
  </w:style>
  <w:style w:type="paragraph" w:styleId="Title">
    <w:name w:val="Title"/>
    <w:basedOn w:val="Normal"/>
    <w:next w:val="Normal"/>
    <w:link w:val="TitleChar"/>
    <w:uiPriority w:val="10"/>
    <w:qFormat/>
    <w:rsid w:val="006150CB"/>
    <w:pPr>
      <w:spacing w:before="240" w:after="60" w:line="240" w:lineRule="auto"/>
      <w:outlineLvl w:val="0"/>
    </w:pPr>
    <w:rPr>
      <w:rFonts w:eastAsia="SimSun" w:cs="Angsana New"/>
      <w:b/>
      <w:bCs/>
      <w:noProof/>
      <w:kern w:val="28"/>
      <w:sz w:val="56"/>
      <w:szCs w:val="32"/>
    </w:rPr>
  </w:style>
  <w:style w:type="character" w:customStyle="1" w:styleId="TitleChar">
    <w:name w:val="Title Char"/>
    <w:link w:val="Title"/>
    <w:uiPriority w:val="10"/>
    <w:rsid w:val="006150CB"/>
    <w:rPr>
      <w:rFonts w:eastAsia="SimSun" w:cs="Angsana New"/>
      <w:b/>
      <w:bCs/>
      <w:noProof/>
      <w:w w:val="105"/>
      <w:kern w:val="28"/>
      <w:sz w:val="56"/>
      <w:szCs w:val="32"/>
      <w:lang w:eastAsia="en-US"/>
    </w:rPr>
  </w:style>
  <w:style w:type="character" w:customStyle="1" w:styleId="Heading2Char">
    <w:name w:val="Heading 2 Char"/>
    <w:link w:val="Heading2"/>
    <w:uiPriority w:val="9"/>
    <w:rsid w:val="00394664"/>
    <w:rPr>
      <w:rFonts w:eastAsia="SimSun" w:cs="Angsana New"/>
      <w:b/>
      <w:bCs/>
      <w:iCs/>
      <w:color w:val="4D738A"/>
      <w:w w:val="105"/>
      <w:kern w:val="40"/>
      <w:sz w:val="40"/>
      <w:szCs w:val="48"/>
      <w:lang w:eastAsia="en-US"/>
    </w:rPr>
  </w:style>
  <w:style w:type="paragraph" w:styleId="Subtitle">
    <w:name w:val="Subtitle"/>
    <w:basedOn w:val="Title"/>
    <w:next w:val="Normal"/>
    <w:link w:val="SubtitleChar"/>
    <w:uiPriority w:val="11"/>
    <w:qFormat/>
    <w:rsid w:val="00B22F73"/>
    <w:pPr>
      <w:spacing w:before="0" w:after="0"/>
      <w:jc w:val="right"/>
    </w:pPr>
    <w:rPr>
      <w:sz w:val="36"/>
      <w:szCs w:val="28"/>
    </w:rPr>
  </w:style>
  <w:style w:type="character" w:customStyle="1" w:styleId="SubtitleChar">
    <w:name w:val="Subtitle Char"/>
    <w:link w:val="Subtitle"/>
    <w:uiPriority w:val="11"/>
    <w:rsid w:val="00B22F73"/>
    <w:rPr>
      <w:rFonts w:eastAsia="SimSun" w:cs="Angsana New"/>
      <w:b/>
      <w:bCs/>
      <w:noProof/>
      <w:w w:val="105"/>
      <w:kern w:val="28"/>
      <w:sz w:val="36"/>
      <w:szCs w:val="28"/>
      <w:lang w:eastAsia="en-US"/>
    </w:rPr>
  </w:style>
  <w:style w:type="character" w:customStyle="1" w:styleId="Heading3Char">
    <w:name w:val="Heading 3 Char"/>
    <w:link w:val="Heading3"/>
    <w:uiPriority w:val="9"/>
    <w:rsid w:val="006150CB"/>
    <w:rPr>
      <w:rFonts w:eastAsia="SimSun" w:cs="Angsana New"/>
      <w:b/>
      <w:bCs/>
      <w:color w:val="404040"/>
      <w:w w:val="105"/>
      <w:kern w:val="40"/>
      <w:sz w:val="32"/>
      <w:szCs w:val="32"/>
      <w:lang w:eastAsia="en-US"/>
    </w:rPr>
  </w:style>
  <w:style w:type="paragraph" w:styleId="Header">
    <w:name w:val="header"/>
    <w:basedOn w:val="Normal"/>
    <w:link w:val="HeaderChar"/>
    <w:uiPriority w:val="99"/>
    <w:unhideWhenUsed/>
    <w:rsid w:val="006150CB"/>
    <w:pPr>
      <w:tabs>
        <w:tab w:val="center" w:pos="4513"/>
        <w:tab w:val="right" w:pos="9026"/>
      </w:tabs>
    </w:pPr>
  </w:style>
  <w:style w:type="character" w:customStyle="1" w:styleId="HeaderChar">
    <w:name w:val="Header Char"/>
    <w:link w:val="Header"/>
    <w:uiPriority w:val="99"/>
    <w:rsid w:val="006150CB"/>
    <w:rPr>
      <w:sz w:val="22"/>
      <w:szCs w:val="22"/>
      <w:lang w:eastAsia="en-US"/>
    </w:rPr>
  </w:style>
  <w:style w:type="paragraph" w:styleId="Footer">
    <w:name w:val="footer"/>
    <w:basedOn w:val="Normal"/>
    <w:link w:val="FooterChar"/>
    <w:uiPriority w:val="99"/>
    <w:unhideWhenUsed/>
    <w:rsid w:val="006150CB"/>
    <w:pPr>
      <w:tabs>
        <w:tab w:val="center" w:pos="4513"/>
        <w:tab w:val="right" w:pos="9026"/>
      </w:tabs>
    </w:pPr>
  </w:style>
  <w:style w:type="character" w:customStyle="1" w:styleId="FooterChar">
    <w:name w:val="Footer Char"/>
    <w:link w:val="Footer"/>
    <w:uiPriority w:val="99"/>
    <w:rsid w:val="006150CB"/>
    <w:rPr>
      <w:sz w:val="22"/>
      <w:szCs w:val="22"/>
      <w:lang w:eastAsia="en-US"/>
    </w:rPr>
  </w:style>
  <w:style w:type="paragraph" w:styleId="BalloonText">
    <w:name w:val="Balloon Text"/>
    <w:basedOn w:val="Normal"/>
    <w:link w:val="BalloonTextChar"/>
    <w:uiPriority w:val="99"/>
    <w:semiHidden/>
    <w:unhideWhenUsed/>
    <w:rsid w:val="005C1BB3"/>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5C1BB3"/>
    <w:rPr>
      <w:rFonts w:ascii="Tahoma" w:hAnsi="Tahoma" w:cs="Tahoma"/>
      <w:w w:val="105"/>
      <w:kern w:val="40"/>
      <w:sz w:val="16"/>
      <w:szCs w:val="16"/>
      <w:lang w:eastAsia="en-US"/>
    </w:rPr>
  </w:style>
  <w:style w:type="paragraph" w:customStyle="1" w:styleId="Bullet1">
    <w:name w:val="Bullet 1"/>
    <w:basedOn w:val="ListBullet2"/>
    <w:autoRedefine/>
    <w:qFormat/>
    <w:rsid w:val="00151A0A"/>
    <w:pPr>
      <w:numPr>
        <w:ilvl w:val="0"/>
      </w:numPr>
      <w:ind w:left="567" w:hanging="567"/>
    </w:pPr>
  </w:style>
  <w:style w:type="numbering" w:customStyle="1" w:styleId="Bullet2">
    <w:name w:val="Bullet 2"/>
    <w:basedOn w:val="NoList"/>
    <w:uiPriority w:val="99"/>
    <w:rsid w:val="0011430B"/>
    <w:pPr>
      <w:numPr>
        <w:numId w:val="2"/>
      </w:numPr>
    </w:pPr>
  </w:style>
  <w:style w:type="paragraph" w:styleId="ListBullet2">
    <w:name w:val="List Bullet 2"/>
    <w:basedOn w:val="ListBullet"/>
    <w:autoRedefine/>
    <w:uiPriority w:val="99"/>
    <w:unhideWhenUsed/>
    <w:qFormat/>
    <w:rsid w:val="00151A0A"/>
    <w:pPr>
      <w:ind w:left="1134" w:hanging="567"/>
    </w:pPr>
  </w:style>
  <w:style w:type="character" w:customStyle="1" w:styleId="Heading4Char">
    <w:name w:val="Heading 4 Char"/>
    <w:basedOn w:val="DefaultParagraphFont"/>
    <w:link w:val="Heading4"/>
    <w:uiPriority w:val="9"/>
    <w:rsid w:val="00463C44"/>
    <w:rPr>
      <w:rFonts w:eastAsia="SimSun" w:cs="Angsana New"/>
      <w:bCs/>
      <w:i/>
      <w:color w:val="595959" w:themeColor="text1" w:themeTint="A6"/>
      <w:w w:val="105"/>
      <w:kern w:val="40"/>
      <w:sz w:val="26"/>
      <w:szCs w:val="26"/>
      <w:lang w:eastAsia="en-US"/>
    </w:rPr>
  </w:style>
  <w:style w:type="paragraph" w:styleId="ListBullet">
    <w:name w:val="List Bullet"/>
    <w:aliases w:val="List Bullet 1"/>
    <w:basedOn w:val="Normal"/>
    <w:uiPriority w:val="99"/>
    <w:unhideWhenUsed/>
    <w:rsid w:val="0011430B"/>
    <w:pPr>
      <w:numPr>
        <w:ilvl w:val="1"/>
        <w:numId w:val="1"/>
      </w:numPr>
      <w:ind w:left="1440"/>
      <w:contextualSpacing/>
    </w:pPr>
  </w:style>
  <w:style w:type="character" w:styleId="Strong">
    <w:name w:val="Strong"/>
    <w:basedOn w:val="DefaultParagraphFont"/>
    <w:uiPriority w:val="22"/>
    <w:qFormat/>
    <w:rsid w:val="0011430B"/>
    <w:rPr>
      <w:b/>
      <w:bCs/>
    </w:rPr>
  </w:style>
  <w:style w:type="character" w:styleId="SubtleEmphasis">
    <w:name w:val="Subtle Emphasis"/>
    <w:basedOn w:val="DefaultParagraphFont"/>
    <w:uiPriority w:val="19"/>
    <w:rsid w:val="0011430B"/>
    <w:rPr>
      <w:i/>
      <w:iCs/>
      <w:color w:val="808080" w:themeColor="text1" w:themeTint="7F"/>
    </w:rPr>
  </w:style>
  <w:style w:type="paragraph" w:styleId="FootnoteText">
    <w:name w:val="footnote text"/>
    <w:basedOn w:val="Normal"/>
    <w:link w:val="FootnoteTextChar"/>
    <w:uiPriority w:val="99"/>
    <w:semiHidden/>
    <w:unhideWhenUsed/>
    <w:rsid w:val="00EF1DF7"/>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F1DF7"/>
    <w:rPr>
      <w:rFonts w:cs="Calibri"/>
      <w:w w:val="105"/>
      <w:kern w:val="40"/>
      <w:lang w:eastAsia="en-US"/>
    </w:rPr>
  </w:style>
  <w:style w:type="character" w:styleId="FootnoteReference">
    <w:name w:val="footnote reference"/>
    <w:basedOn w:val="DefaultParagraphFont"/>
    <w:uiPriority w:val="99"/>
    <w:semiHidden/>
    <w:unhideWhenUsed/>
    <w:rsid w:val="00EF1DF7"/>
    <w:rPr>
      <w:vertAlign w:val="superscript"/>
    </w:rPr>
  </w:style>
  <w:style w:type="paragraph" w:styleId="ListParagraph">
    <w:name w:val="List Paragraph"/>
    <w:aliases w:val="List Paragraph1,List Paragraph11,Bullet point,NFP GP Bulleted List,L,bullet point list,1 heading,Bulleted Para,Bullet points,Content descriptions,Bullet Point,NAST Quote,FooterText,numbered,Paragraphe de liste1,列出段落,列出段落1"/>
    <w:basedOn w:val="Normal"/>
    <w:link w:val="ListParagraphChar"/>
    <w:uiPriority w:val="34"/>
    <w:qFormat/>
    <w:rsid w:val="002F2ACF"/>
    <w:pPr>
      <w:ind w:left="720"/>
      <w:contextualSpacing/>
    </w:pPr>
  </w:style>
  <w:style w:type="character" w:styleId="CommentReference">
    <w:name w:val="annotation reference"/>
    <w:basedOn w:val="DefaultParagraphFont"/>
    <w:uiPriority w:val="99"/>
    <w:semiHidden/>
    <w:unhideWhenUsed/>
    <w:rsid w:val="00C51794"/>
    <w:rPr>
      <w:sz w:val="16"/>
      <w:szCs w:val="16"/>
    </w:rPr>
  </w:style>
  <w:style w:type="paragraph" w:styleId="CommentText">
    <w:name w:val="annotation text"/>
    <w:basedOn w:val="Normal"/>
    <w:link w:val="CommentTextChar"/>
    <w:uiPriority w:val="99"/>
    <w:semiHidden/>
    <w:unhideWhenUsed/>
    <w:rsid w:val="00C51794"/>
    <w:pPr>
      <w:spacing w:line="240" w:lineRule="auto"/>
    </w:pPr>
    <w:rPr>
      <w:sz w:val="20"/>
      <w:szCs w:val="20"/>
    </w:rPr>
  </w:style>
  <w:style w:type="character" w:customStyle="1" w:styleId="CommentTextChar">
    <w:name w:val="Comment Text Char"/>
    <w:basedOn w:val="DefaultParagraphFont"/>
    <w:link w:val="CommentText"/>
    <w:uiPriority w:val="99"/>
    <w:semiHidden/>
    <w:rsid w:val="00C51794"/>
    <w:rPr>
      <w:rFonts w:cs="Calibri"/>
      <w:w w:val="105"/>
      <w:kern w:val="40"/>
      <w:lang w:eastAsia="en-US"/>
    </w:rPr>
  </w:style>
  <w:style w:type="paragraph" w:styleId="CommentSubject">
    <w:name w:val="annotation subject"/>
    <w:basedOn w:val="CommentText"/>
    <w:next w:val="CommentText"/>
    <w:link w:val="CommentSubjectChar"/>
    <w:uiPriority w:val="99"/>
    <w:semiHidden/>
    <w:unhideWhenUsed/>
    <w:rsid w:val="00C51794"/>
    <w:rPr>
      <w:b/>
      <w:bCs/>
    </w:rPr>
  </w:style>
  <w:style w:type="character" w:customStyle="1" w:styleId="CommentSubjectChar">
    <w:name w:val="Comment Subject Char"/>
    <w:basedOn w:val="CommentTextChar"/>
    <w:link w:val="CommentSubject"/>
    <w:uiPriority w:val="99"/>
    <w:semiHidden/>
    <w:rsid w:val="00C51794"/>
    <w:rPr>
      <w:rFonts w:cs="Calibri"/>
      <w:b/>
      <w:bCs/>
      <w:w w:val="105"/>
      <w:kern w:val="40"/>
      <w:lang w:eastAsia="en-US"/>
    </w:rPr>
  </w:style>
  <w:style w:type="character" w:customStyle="1" w:styleId="Heading5Char">
    <w:name w:val="Heading 5 Char"/>
    <w:basedOn w:val="DefaultParagraphFont"/>
    <w:link w:val="Heading5"/>
    <w:uiPriority w:val="9"/>
    <w:rsid w:val="00E64F15"/>
    <w:rPr>
      <w:rFonts w:eastAsiaTheme="majorEastAsia" w:cstheme="majorBidi"/>
      <w:b/>
      <w:color w:val="365F91" w:themeColor="accent1" w:themeShade="BF"/>
      <w:w w:val="105"/>
      <w:kern w:val="40"/>
      <w:sz w:val="22"/>
      <w:szCs w:val="22"/>
      <w:lang w:eastAsia="en-US"/>
    </w:rPr>
  </w:style>
  <w:style w:type="character" w:customStyle="1" w:styleId="ListParagraphChar">
    <w:name w:val="List Paragraph Char"/>
    <w:aliases w:val="List Paragraph1 Char,List Paragraph11 Char,Bullet point Char,NFP GP Bulleted List Char,L Char,bullet point list Char,1 heading Char,Bulleted Para Char,Bullet points Char,Content descriptions Char,Bullet Point Char,NAST Quote Char"/>
    <w:basedOn w:val="DefaultParagraphFont"/>
    <w:link w:val="ListParagraph"/>
    <w:uiPriority w:val="99"/>
    <w:locked/>
    <w:rsid w:val="00144272"/>
    <w:rPr>
      <w:rFonts w:cs="Calibri"/>
      <w:w w:val="105"/>
      <w:kern w:val="40"/>
      <w:sz w:val="22"/>
      <w:szCs w:val="22"/>
      <w:lang w:eastAsia="en-US"/>
    </w:rPr>
  </w:style>
  <w:style w:type="table" w:styleId="TableGrid">
    <w:name w:val="Table Grid"/>
    <w:basedOn w:val="TableNormal"/>
    <w:uiPriority w:val="59"/>
    <w:rsid w:val="00AA41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F01A27"/>
    <w:rPr>
      <w:rFonts w:cs="Calibri"/>
      <w:w w:val="105"/>
      <w:kern w:val="40"/>
      <w:sz w:val="22"/>
      <w:szCs w:val="22"/>
      <w:lang w:eastAsia="en-US"/>
    </w:rPr>
  </w:style>
  <w:style w:type="paragraph" w:styleId="Quote">
    <w:name w:val="Quote"/>
    <w:basedOn w:val="Normal"/>
    <w:next w:val="Normal"/>
    <w:link w:val="QuoteChar"/>
    <w:uiPriority w:val="29"/>
    <w:qFormat/>
    <w:rsid w:val="006F75F1"/>
    <w:rPr>
      <w:rFonts w:asciiTheme="minorHAnsi" w:hAnsiTheme="minorHAnsi"/>
      <w:i/>
      <w:iCs/>
      <w:color w:val="000000" w:themeColor="text1"/>
    </w:rPr>
  </w:style>
  <w:style w:type="character" w:customStyle="1" w:styleId="QuoteChar">
    <w:name w:val="Quote Char"/>
    <w:basedOn w:val="DefaultParagraphFont"/>
    <w:link w:val="Quote"/>
    <w:uiPriority w:val="29"/>
    <w:rsid w:val="006F75F1"/>
    <w:rPr>
      <w:rFonts w:asciiTheme="minorHAnsi" w:hAnsiTheme="minorHAnsi" w:cs="Calibri"/>
      <w:i/>
      <w:iCs/>
      <w:color w:val="000000" w:themeColor="text1"/>
      <w:w w:val="105"/>
      <w:kern w:val="40"/>
      <w:sz w:val="22"/>
      <w:szCs w:val="22"/>
      <w:lang w:eastAsia="en-US"/>
    </w:rPr>
  </w:style>
  <w:style w:type="paragraph" w:styleId="NoSpacing">
    <w:name w:val="No Spacing"/>
    <w:uiPriority w:val="1"/>
    <w:qFormat/>
    <w:rsid w:val="003C4A25"/>
    <w:rPr>
      <w:rFonts w:cs="Calibri"/>
      <w:w w:val="105"/>
      <w:kern w:val="40"/>
      <w:sz w:val="22"/>
      <w:szCs w:val="22"/>
      <w:lang w:eastAsia="en-US"/>
    </w:rPr>
  </w:style>
  <w:style w:type="paragraph" w:styleId="Caption">
    <w:name w:val="caption"/>
    <w:basedOn w:val="Normal"/>
    <w:next w:val="Normal"/>
    <w:uiPriority w:val="35"/>
    <w:unhideWhenUsed/>
    <w:qFormat/>
    <w:rsid w:val="004D6320"/>
    <w:pPr>
      <w:spacing w:line="240" w:lineRule="auto"/>
    </w:pPr>
    <w:rPr>
      <w:i/>
      <w:iCs/>
      <w:color w:val="1F497D" w:themeColor="text2"/>
      <w:sz w:val="18"/>
      <w:szCs w:val="18"/>
    </w:rPr>
  </w:style>
  <w:style w:type="paragraph" w:customStyle="1" w:styleId="Tablesmall">
    <w:name w:val="Table small"/>
    <w:basedOn w:val="Normal"/>
    <w:qFormat/>
    <w:rsid w:val="003D36B6"/>
    <w:pPr>
      <w:spacing w:after="0" w:line="240" w:lineRule="auto"/>
    </w:pPr>
    <w:rPr>
      <w:w w:val="100"/>
      <w:kern w:val="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553505">
      <w:bodyDiv w:val="1"/>
      <w:marLeft w:val="0"/>
      <w:marRight w:val="0"/>
      <w:marTop w:val="0"/>
      <w:marBottom w:val="0"/>
      <w:divBdr>
        <w:top w:val="none" w:sz="0" w:space="0" w:color="auto"/>
        <w:left w:val="none" w:sz="0" w:space="0" w:color="auto"/>
        <w:bottom w:val="none" w:sz="0" w:space="0" w:color="auto"/>
        <w:right w:val="none" w:sz="0" w:space="0" w:color="auto"/>
      </w:divBdr>
    </w:div>
    <w:div w:id="435369653">
      <w:bodyDiv w:val="1"/>
      <w:marLeft w:val="0"/>
      <w:marRight w:val="0"/>
      <w:marTop w:val="0"/>
      <w:marBottom w:val="0"/>
      <w:divBdr>
        <w:top w:val="none" w:sz="0" w:space="0" w:color="auto"/>
        <w:left w:val="none" w:sz="0" w:space="0" w:color="auto"/>
        <w:bottom w:val="none" w:sz="0" w:space="0" w:color="auto"/>
        <w:right w:val="none" w:sz="0" w:space="0" w:color="auto"/>
      </w:divBdr>
    </w:div>
    <w:div w:id="444472187">
      <w:bodyDiv w:val="1"/>
      <w:marLeft w:val="0"/>
      <w:marRight w:val="0"/>
      <w:marTop w:val="0"/>
      <w:marBottom w:val="0"/>
      <w:divBdr>
        <w:top w:val="none" w:sz="0" w:space="0" w:color="auto"/>
        <w:left w:val="none" w:sz="0" w:space="0" w:color="auto"/>
        <w:bottom w:val="none" w:sz="0" w:space="0" w:color="auto"/>
        <w:right w:val="none" w:sz="0" w:space="0" w:color="auto"/>
      </w:divBdr>
    </w:div>
    <w:div w:id="454174859">
      <w:bodyDiv w:val="1"/>
      <w:marLeft w:val="0"/>
      <w:marRight w:val="0"/>
      <w:marTop w:val="0"/>
      <w:marBottom w:val="0"/>
      <w:divBdr>
        <w:top w:val="none" w:sz="0" w:space="0" w:color="auto"/>
        <w:left w:val="none" w:sz="0" w:space="0" w:color="auto"/>
        <w:bottom w:val="none" w:sz="0" w:space="0" w:color="auto"/>
        <w:right w:val="none" w:sz="0" w:space="0" w:color="auto"/>
      </w:divBdr>
    </w:div>
    <w:div w:id="542668726">
      <w:bodyDiv w:val="1"/>
      <w:marLeft w:val="0"/>
      <w:marRight w:val="0"/>
      <w:marTop w:val="0"/>
      <w:marBottom w:val="0"/>
      <w:divBdr>
        <w:top w:val="none" w:sz="0" w:space="0" w:color="auto"/>
        <w:left w:val="none" w:sz="0" w:space="0" w:color="auto"/>
        <w:bottom w:val="none" w:sz="0" w:space="0" w:color="auto"/>
        <w:right w:val="none" w:sz="0" w:space="0" w:color="auto"/>
      </w:divBdr>
    </w:div>
    <w:div w:id="585501156">
      <w:bodyDiv w:val="1"/>
      <w:marLeft w:val="0"/>
      <w:marRight w:val="0"/>
      <w:marTop w:val="0"/>
      <w:marBottom w:val="0"/>
      <w:divBdr>
        <w:top w:val="none" w:sz="0" w:space="0" w:color="auto"/>
        <w:left w:val="none" w:sz="0" w:space="0" w:color="auto"/>
        <w:bottom w:val="none" w:sz="0" w:space="0" w:color="auto"/>
        <w:right w:val="none" w:sz="0" w:space="0" w:color="auto"/>
      </w:divBdr>
    </w:div>
    <w:div w:id="620183788">
      <w:bodyDiv w:val="1"/>
      <w:marLeft w:val="0"/>
      <w:marRight w:val="0"/>
      <w:marTop w:val="0"/>
      <w:marBottom w:val="0"/>
      <w:divBdr>
        <w:top w:val="none" w:sz="0" w:space="0" w:color="auto"/>
        <w:left w:val="none" w:sz="0" w:space="0" w:color="auto"/>
        <w:bottom w:val="none" w:sz="0" w:space="0" w:color="auto"/>
        <w:right w:val="none" w:sz="0" w:space="0" w:color="auto"/>
      </w:divBdr>
    </w:div>
    <w:div w:id="775441564">
      <w:bodyDiv w:val="1"/>
      <w:marLeft w:val="0"/>
      <w:marRight w:val="0"/>
      <w:marTop w:val="0"/>
      <w:marBottom w:val="0"/>
      <w:divBdr>
        <w:top w:val="none" w:sz="0" w:space="0" w:color="auto"/>
        <w:left w:val="none" w:sz="0" w:space="0" w:color="auto"/>
        <w:bottom w:val="none" w:sz="0" w:space="0" w:color="auto"/>
        <w:right w:val="none" w:sz="0" w:space="0" w:color="auto"/>
      </w:divBdr>
    </w:div>
    <w:div w:id="819156151">
      <w:bodyDiv w:val="1"/>
      <w:marLeft w:val="0"/>
      <w:marRight w:val="0"/>
      <w:marTop w:val="0"/>
      <w:marBottom w:val="0"/>
      <w:divBdr>
        <w:top w:val="none" w:sz="0" w:space="0" w:color="auto"/>
        <w:left w:val="none" w:sz="0" w:space="0" w:color="auto"/>
        <w:bottom w:val="none" w:sz="0" w:space="0" w:color="auto"/>
        <w:right w:val="none" w:sz="0" w:space="0" w:color="auto"/>
      </w:divBdr>
    </w:div>
    <w:div w:id="1472867304">
      <w:bodyDiv w:val="1"/>
      <w:marLeft w:val="0"/>
      <w:marRight w:val="0"/>
      <w:marTop w:val="0"/>
      <w:marBottom w:val="0"/>
      <w:divBdr>
        <w:top w:val="none" w:sz="0" w:space="0" w:color="auto"/>
        <w:left w:val="none" w:sz="0" w:space="0" w:color="auto"/>
        <w:bottom w:val="none" w:sz="0" w:space="0" w:color="auto"/>
        <w:right w:val="none" w:sz="0" w:space="0" w:color="auto"/>
      </w:divBdr>
    </w:div>
    <w:div w:id="1494712116">
      <w:bodyDiv w:val="1"/>
      <w:marLeft w:val="0"/>
      <w:marRight w:val="0"/>
      <w:marTop w:val="0"/>
      <w:marBottom w:val="0"/>
      <w:divBdr>
        <w:top w:val="none" w:sz="0" w:space="0" w:color="auto"/>
        <w:left w:val="none" w:sz="0" w:space="0" w:color="auto"/>
        <w:bottom w:val="none" w:sz="0" w:space="0" w:color="auto"/>
        <w:right w:val="none" w:sz="0" w:space="0" w:color="auto"/>
      </w:divBdr>
    </w:div>
    <w:div w:id="1609703629">
      <w:bodyDiv w:val="1"/>
      <w:marLeft w:val="0"/>
      <w:marRight w:val="0"/>
      <w:marTop w:val="0"/>
      <w:marBottom w:val="0"/>
      <w:divBdr>
        <w:top w:val="none" w:sz="0" w:space="0" w:color="auto"/>
        <w:left w:val="none" w:sz="0" w:space="0" w:color="auto"/>
        <w:bottom w:val="none" w:sz="0" w:space="0" w:color="auto"/>
        <w:right w:val="none" w:sz="0" w:space="0" w:color="auto"/>
      </w:divBdr>
    </w:div>
    <w:div w:id="1810127099">
      <w:bodyDiv w:val="1"/>
      <w:marLeft w:val="0"/>
      <w:marRight w:val="0"/>
      <w:marTop w:val="0"/>
      <w:marBottom w:val="0"/>
      <w:divBdr>
        <w:top w:val="none" w:sz="0" w:space="0" w:color="auto"/>
        <w:left w:val="none" w:sz="0" w:space="0" w:color="auto"/>
        <w:bottom w:val="none" w:sz="0" w:space="0" w:color="auto"/>
        <w:right w:val="none" w:sz="0" w:space="0" w:color="auto"/>
      </w:divBdr>
    </w:div>
    <w:div w:id="1855261207">
      <w:bodyDiv w:val="1"/>
      <w:marLeft w:val="0"/>
      <w:marRight w:val="0"/>
      <w:marTop w:val="0"/>
      <w:marBottom w:val="0"/>
      <w:divBdr>
        <w:top w:val="none" w:sz="0" w:space="0" w:color="auto"/>
        <w:left w:val="none" w:sz="0" w:space="0" w:color="auto"/>
        <w:bottom w:val="none" w:sz="0" w:space="0" w:color="auto"/>
        <w:right w:val="none" w:sz="0" w:space="0" w:color="auto"/>
      </w:divBdr>
    </w:div>
    <w:div w:id="1924072394">
      <w:bodyDiv w:val="1"/>
      <w:marLeft w:val="0"/>
      <w:marRight w:val="0"/>
      <w:marTop w:val="0"/>
      <w:marBottom w:val="0"/>
      <w:divBdr>
        <w:top w:val="none" w:sz="0" w:space="0" w:color="auto"/>
        <w:left w:val="none" w:sz="0" w:space="0" w:color="auto"/>
        <w:bottom w:val="none" w:sz="0" w:space="0" w:color="auto"/>
        <w:right w:val="none" w:sz="0" w:space="0" w:color="auto"/>
      </w:divBdr>
    </w:div>
    <w:div w:id="1943027745">
      <w:bodyDiv w:val="1"/>
      <w:marLeft w:val="0"/>
      <w:marRight w:val="0"/>
      <w:marTop w:val="0"/>
      <w:marBottom w:val="0"/>
      <w:divBdr>
        <w:top w:val="none" w:sz="0" w:space="0" w:color="auto"/>
        <w:left w:val="none" w:sz="0" w:space="0" w:color="auto"/>
        <w:bottom w:val="none" w:sz="0" w:space="0" w:color="auto"/>
        <w:right w:val="none" w:sz="0" w:space="0" w:color="auto"/>
      </w:divBdr>
    </w:div>
    <w:div w:id="19991173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2.emf"/><Relationship Id="rId18" Type="http://schemas.openxmlformats.org/officeDocument/2006/relationships/hyperlink" Target="http://www.dsd.gov.au/library/infosec/ism.html" TargetMode="Externa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chart" Target="charts/chart2.xml"/><Relationship Id="rId17" Type="http://schemas.openxmlformats.org/officeDocument/2006/relationships/chart" Target="charts/chart6.xml"/><Relationship Id="rId2" Type="http://schemas.openxmlformats.org/officeDocument/2006/relationships/styles" Target="styles.xml"/><Relationship Id="rId16" Type="http://schemas.openxmlformats.org/officeDocument/2006/relationships/chart" Target="charts/chart5.xm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chart" Target="charts/chart1.xml"/><Relationship Id="rId5" Type="http://schemas.openxmlformats.org/officeDocument/2006/relationships/webSettings" Target="webSettings.xml"/><Relationship Id="rId15" Type="http://schemas.openxmlformats.org/officeDocument/2006/relationships/chart" Target="charts/chart4.xml"/><Relationship Id="rId10" Type="http://schemas.openxmlformats.org/officeDocument/2006/relationships/image" Target="media/image1.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chart" Target="charts/chart3.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gleadp\AppData\Roaming\Hewlett-Packard\HP%20TRIM\Offline%20Records%20(AG)\PSPF%20compliance%20reporting%202016-2017%20-%20WOG%20reports\PSPF%20Compliance%20reporting.XLSB"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gleadp\AppData\Roaming\Hewlett-Packard\HP%20TRIM\Offline%20Records%20(AG)\PSPF%20compliance%20reporting%202016-2017%20-%20WOG%20reports\PSPF%20Compliance%20reporting.XLSB" TargetMode="External"/></Relationships>
</file>

<file path=word/charts/_rels/chart3.xml.rels><?xml version="1.0" encoding="UTF-8" standalone="yes"?>
<Relationships xmlns="http://schemas.openxmlformats.org/package/2006/relationships"><Relationship Id="rId2" Type="http://schemas.openxmlformats.org/officeDocument/2006/relationships/oleObject" Target="file:///C:\Users\gleadp\AppData\Roaming\Hewlett-Packard\HP%20TRIM\Offline%20Records%20(AG)\PSPF%20compliance%20reporting%202016-2017%20-%20WOG%20reports\PSPF%20Compliance%20reporting.XLSB" TargetMode="External"/><Relationship Id="rId1" Type="http://schemas.openxmlformats.org/officeDocument/2006/relationships/themeOverride" Target="../theme/themeOverride1.xml"/></Relationships>
</file>

<file path=word/charts/_rels/chart4.xml.rels><?xml version="1.0" encoding="UTF-8" standalone="yes"?>
<Relationships xmlns="http://schemas.openxmlformats.org/package/2006/relationships"><Relationship Id="rId2" Type="http://schemas.openxmlformats.org/officeDocument/2006/relationships/oleObject" Target="file:///C:\Users\gleadp\AppData\Roaming\Hewlett-Packard\HP%20TRIM\Offline%20Records%20(AG)\PSPF%20compliance%20reporting%202016-2017%20-%20WOG%20reports\PSPF%20Compliance%20reporting.XLSB" TargetMode="External"/><Relationship Id="rId1" Type="http://schemas.openxmlformats.org/officeDocument/2006/relationships/themeOverride" Target="../theme/themeOverride2.xml"/></Relationships>
</file>

<file path=word/charts/_rels/chart5.xml.rels><?xml version="1.0" encoding="UTF-8" standalone="yes"?>
<Relationships xmlns="http://schemas.openxmlformats.org/package/2006/relationships"><Relationship Id="rId2" Type="http://schemas.openxmlformats.org/officeDocument/2006/relationships/oleObject" Target="file:///C:\Users\gleadp\AppData\Roaming\Hewlett-Packard\HP%20TRIM\Offline%20Records%20(AG)\PSPF%20compliance%20reporting%202016-2017%20-%20WOG%20reports\PSPF%20Compliance%20reporting.XLSB" TargetMode="External"/><Relationship Id="rId1" Type="http://schemas.openxmlformats.org/officeDocument/2006/relationships/themeOverride" Target="../theme/themeOverride3.xml"/></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27"/>
    </mc:Choice>
    <mc:Fallback>
      <c:style val="27"/>
    </mc:Fallback>
  </mc:AlternateContent>
  <c:chart>
    <c:autoTitleDeleted val="1"/>
    <c:plotArea>
      <c:layout>
        <c:manualLayout>
          <c:layoutTarget val="inner"/>
          <c:xMode val="edge"/>
          <c:yMode val="edge"/>
          <c:x val="0.11464622745295602"/>
          <c:y val="0.14679799380499983"/>
          <c:w val="0.85923338153687878"/>
          <c:h val="0.75452490266617001"/>
        </c:manualLayout>
      </c:layout>
      <c:barChart>
        <c:barDir val="col"/>
        <c:grouping val="clustered"/>
        <c:varyColors val="0"/>
        <c:ser>
          <c:idx val="0"/>
          <c:order val="0"/>
          <c:tx>
            <c:strRef>
              <c:f>'Charts compliance by entity18'!$C$2</c:f>
              <c:strCache>
                <c:ptCount val="1"/>
                <c:pt idx="0">
                  <c:v>Non-corporate Commonwealth entity</c:v>
                </c:pt>
              </c:strCache>
            </c:strRef>
          </c:tx>
          <c:invertIfNegative val="0"/>
          <c:dLbls>
            <c:numFmt formatCode="0.00%" sourceLinked="0"/>
            <c:spPr>
              <a:noFill/>
              <a:ln>
                <a:noFill/>
              </a:ln>
              <a:effectLst/>
            </c:spPr>
            <c:txPr>
              <a:bodyPr/>
              <a:lstStyle/>
              <a:p>
                <a:pPr>
                  <a:defRPr sz="80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'Charts compliance by entity18'!$D$1:$G$1</c:f>
              <c:strCache>
                <c:ptCount val="4"/>
                <c:pt idx="0">
                  <c:v>2014-15</c:v>
                </c:pt>
                <c:pt idx="1">
                  <c:v>2015-16</c:v>
                </c:pt>
                <c:pt idx="2">
                  <c:v>2016-17</c:v>
                </c:pt>
                <c:pt idx="3">
                  <c:v>2017-18</c:v>
                </c:pt>
              </c:strCache>
            </c:strRef>
          </c:cat>
          <c:val>
            <c:numRef>
              <c:f>'Charts compliance by entity18'!$D$2:$G$2</c:f>
              <c:numCache>
                <c:formatCode>0.00%</c:formatCode>
                <c:ptCount val="4"/>
                <c:pt idx="0">
                  <c:v>0.32258064516129031</c:v>
                </c:pt>
                <c:pt idx="1">
                  <c:v>0.37634408602150538</c:v>
                </c:pt>
                <c:pt idx="2">
                  <c:v>0.34408602150537637</c:v>
                </c:pt>
                <c:pt idx="3">
                  <c:v>0.40425531914893614</c:v>
                </c:pt>
              </c:numCache>
            </c:numRef>
          </c:val>
        </c:ser>
        <c:dLbls>
          <c:showLegendKey val="0"/>
          <c:showVal val="0"/>
          <c:showCatName val="0"/>
          <c:showSerName val="0"/>
          <c:showPercent val="0"/>
          <c:showBubbleSize val="0"/>
        </c:dLbls>
        <c:gapWidth val="150"/>
        <c:axId val="60961152"/>
        <c:axId val="60963456"/>
      </c:barChart>
      <c:catAx>
        <c:axId val="60961152"/>
        <c:scaling>
          <c:orientation val="minMax"/>
        </c:scaling>
        <c:delete val="0"/>
        <c:axPos val="b"/>
        <c:numFmt formatCode="General" sourceLinked="0"/>
        <c:majorTickMark val="out"/>
        <c:minorTickMark val="none"/>
        <c:tickLblPos val="nextTo"/>
        <c:crossAx val="60963456"/>
        <c:crosses val="autoZero"/>
        <c:auto val="1"/>
        <c:lblAlgn val="ctr"/>
        <c:lblOffset val="100"/>
        <c:noMultiLvlLbl val="0"/>
      </c:catAx>
      <c:valAx>
        <c:axId val="60963456"/>
        <c:scaling>
          <c:orientation val="minMax"/>
          <c:max val="1"/>
          <c:min val="0"/>
        </c:scaling>
        <c:delete val="0"/>
        <c:axPos val="l"/>
        <c:majorGridlines/>
        <c:title>
          <c:tx>
            <c:rich>
              <a:bodyPr rot="-5400000" vert="horz"/>
              <a:lstStyle/>
              <a:p>
                <a:pPr>
                  <a:defRPr b="0"/>
                </a:pPr>
                <a:r>
                  <a:rPr lang="en-US" b="1"/>
                  <a:t>Proportion of entities</a:t>
                </a:r>
              </a:p>
            </c:rich>
          </c:tx>
          <c:layout/>
          <c:overlay val="0"/>
        </c:title>
        <c:numFmt formatCode="0%" sourceLinked="0"/>
        <c:majorTickMark val="out"/>
        <c:minorTickMark val="none"/>
        <c:tickLblPos val="nextTo"/>
        <c:crossAx val="60961152"/>
        <c:crosses val="autoZero"/>
        <c:crossBetween val="between"/>
        <c:majorUnit val="0.1"/>
      </c:valAx>
    </c:plotArea>
    <c:plotVisOnly val="1"/>
    <c:dispBlanksAs val="gap"/>
    <c:showDLblsOverMax val="0"/>
  </c:chart>
  <c:spPr>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27"/>
    </mc:Choice>
    <mc:Fallback>
      <c:style val="27"/>
    </mc:Fallback>
  </mc:AlternateContent>
  <c:chart>
    <c:autoTitleDeleted val="1"/>
    <c:plotArea>
      <c:layout>
        <c:manualLayout>
          <c:layoutTarget val="inner"/>
          <c:xMode val="edge"/>
          <c:yMode val="edge"/>
          <c:x val="0.13078773951539319"/>
          <c:y val="0.14679799380499983"/>
          <c:w val="0.84309170581145154"/>
          <c:h val="0.75452490266617001"/>
        </c:manualLayout>
      </c:layout>
      <c:barChart>
        <c:barDir val="col"/>
        <c:grouping val="clustered"/>
        <c:varyColors val="0"/>
        <c:ser>
          <c:idx val="0"/>
          <c:order val="0"/>
          <c:tx>
            <c:strRef>
              <c:f>'Charts compliance by entity18'!$L$2</c:f>
              <c:strCache>
                <c:ptCount val="1"/>
                <c:pt idx="0">
                  <c:v>Non-corporate Commonwealth entity</c:v>
                </c:pt>
              </c:strCache>
            </c:strRef>
          </c:tx>
          <c:invertIfNegative val="0"/>
          <c:dLbls>
            <c:numFmt formatCode="#,##0.0" sourceLinked="0"/>
            <c:spPr>
              <a:noFill/>
              <a:ln>
                <a:noFill/>
              </a:ln>
              <a:effectLst/>
            </c:spPr>
            <c:txPr>
              <a:bodyPr/>
              <a:lstStyle/>
              <a:p>
                <a:pPr>
                  <a:defRPr sz="80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'Charts compliance by entity18'!$M$1:$P$1</c:f>
              <c:strCache>
                <c:ptCount val="4"/>
                <c:pt idx="0">
                  <c:v>2014-15</c:v>
                </c:pt>
                <c:pt idx="1">
                  <c:v>2015-16</c:v>
                </c:pt>
                <c:pt idx="2">
                  <c:v>2016-17</c:v>
                </c:pt>
                <c:pt idx="3">
                  <c:v>2017-18</c:v>
                </c:pt>
              </c:strCache>
            </c:strRef>
          </c:cat>
          <c:val>
            <c:numRef>
              <c:f>'Charts compliance by entity18'!$M$3:$P$3</c:f>
              <c:numCache>
                <c:formatCode>0</c:formatCode>
                <c:ptCount val="4"/>
                <c:pt idx="0">
                  <c:v>31.483870967741936</c:v>
                </c:pt>
                <c:pt idx="1">
                  <c:v>32.774193548387096</c:v>
                </c:pt>
                <c:pt idx="2">
                  <c:v>32.838709677419352</c:v>
                </c:pt>
                <c:pt idx="3">
                  <c:v>33.170212765957444</c:v>
                </c:pt>
              </c:numCache>
            </c:numRef>
          </c:val>
        </c:ser>
        <c:dLbls>
          <c:showLegendKey val="0"/>
          <c:showVal val="0"/>
          <c:showCatName val="0"/>
          <c:showSerName val="0"/>
          <c:showPercent val="0"/>
          <c:showBubbleSize val="0"/>
        </c:dLbls>
        <c:gapWidth val="150"/>
        <c:axId val="333678080"/>
        <c:axId val="333679616"/>
      </c:barChart>
      <c:catAx>
        <c:axId val="333678080"/>
        <c:scaling>
          <c:orientation val="minMax"/>
        </c:scaling>
        <c:delete val="0"/>
        <c:axPos val="b"/>
        <c:numFmt formatCode="General" sourceLinked="0"/>
        <c:majorTickMark val="out"/>
        <c:minorTickMark val="none"/>
        <c:tickLblPos val="nextTo"/>
        <c:crossAx val="333679616"/>
        <c:crosses val="autoZero"/>
        <c:auto val="1"/>
        <c:lblAlgn val="ctr"/>
        <c:lblOffset val="100"/>
        <c:noMultiLvlLbl val="0"/>
      </c:catAx>
      <c:valAx>
        <c:axId val="333679616"/>
        <c:scaling>
          <c:orientation val="minMax"/>
          <c:max val="36"/>
          <c:min val="0"/>
        </c:scaling>
        <c:delete val="0"/>
        <c:axPos val="l"/>
        <c:majorGridlines/>
        <c:title>
          <c:tx>
            <c:rich>
              <a:bodyPr rot="-5400000" vert="horz"/>
              <a:lstStyle/>
              <a:p>
                <a:pPr>
                  <a:defRPr sz="1000" b="0"/>
                </a:pPr>
                <a:r>
                  <a:rPr lang="en-US" sz="1000" b="1" i="0" baseline="0">
                    <a:effectLst/>
                  </a:rPr>
                  <a:t>Number of mandatory requirmenets complied with</a:t>
                </a:r>
                <a:endParaRPr lang="en-AU" sz="1000" b="1">
                  <a:effectLst/>
                </a:endParaRPr>
              </a:p>
            </c:rich>
          </c:tx>
          <c:layout/>
          <c:overlay val="0"/>
        </c:title>
        <c:numFmt formatCode="#,##0" sourceLinked="0"/>
        <c:majorTickMark val="out"/>
        <c:minorTickMark val="none"/>
        <c:tickLblPos val="nextTo"/>
        <c:crossAx val="333678080"/>
        <c:crosses val="autoZero"/>
        <c:crossBetween val="between"/>
        <c:majorUnit val="6"/>
      </c:valAx>
    </c:plotArea>
    <c:plotVisOnly val="1"/>
    <c:dispBlanksAs val="gap"/>
    <c:showDLblsOverMax val="0"/>
  </c:chart>
  <c:spPr>
    <a:ln>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27"/>
    </mc:Choice>
    <mc:Fallback>
      <c:style val="27"/>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7527299342454757E-2"/>
          <c:y val="0.14679799380499983"/>
          <c:w val="0.88834622059049217"/>
          <c:h val="0.75058595694515218"/>
        </c:manualLayout>
      </c:layout>
      <c:barChart>
        <c:barDir val="col"/>
        <c:grouping val="clustered"/>
        <c:varyColors val="0"/>
        <c:ser>
          <c:idx val="0"/>
          <c:order val="0"/>
          <c:tx>
            <c:strRef>
              <c:f>'Charts compliance by contro18'!$J$1</c:f>
              <c:strCache>
                <c:ptCount val="1"/>
                <c:pt idx="0">
                  <c:v>2014-15</c:v>
                </c:pt>
              </c:strCache>
            </c:strRef>
          </c:tx>
          <c:spPr>
            <a:solidFill>
              <a:schemeClr val="tx2">
                <a:lumMod val="75000"/>
              </a:schemeClr>
            </a:solidFill>
          </c:spPr>
          <c:invertIfNegative val="0"/>
          <c:dLbls>
            <c:dLbl>
              <c:idx val="0"/>
              <c:layout>
                <c:manualLayout>
                  <c:x val="-1.8323959567764908E-17"/>
                  <c:y val="8.0547724526782126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0"/>
                  <c:y val="1.6109544905356425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9990004997501249E-3"/>
                  <c:y val="1.6109544905356425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9990004997501249E-3"/>
                  <c:y val="1.2082158679017317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1.9990004997501249E-3"/>
                  <c:y val="0"/>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1.9990004997502715E-3"/>
                  <c:y val="4.027386226339069E-3"/>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0"/>
                  <c:y val="8.0547724526781935E-3"/>
                </c:manualLayout>
              </c:layout>
              <c:showLegendKey val="0"/>
              <c:showVal val="1"/>
              <c:showCatName val="0"/>
              <c:showSerName val="0"/>
              <c:showPercent val="0"/>
              <c:showBubbleSize val="0"/>
              <c:extLst>
                <c:ext xmlns:c15="http://schemas.microsoft.com/office/drawing/2012/chart" uri="{CE6537A1-D6FC-4f65-9D91-7224C49458BB}"/>
              </c:extLst>
            </c:dLbl>
            <c:numFmt formatCode="0%" sourceLinked="0"/>
            <c:spPr>
              <a:noFill/>
              <a:ln>
                <a:noFill/>
              </a:ln>
              <a:effectLst/>
            </c:spPr>
            <c:txPr>
              <a:bodyPr/>
              <a:lstStyle/>
              <a:p>
                <a:pPr>
                  <a:defRPr sz="70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'Charts compliance by contro18'!$I$59:$I$65</c:f>
              <c:strCache>
                <c:ptCount val="7"/>
                <c:pt idx="0">
                  <c:v>INFOSEC1</c:v>
                </c:pt>
                <c:pt idx="1">
                  <c:v>INFOSEC2</c:v>
                </c:pt>
                <c:pt idx="2">
                  <c:v>INFOSEC3</c:v>
                </c:pt>
                <c:pt idx="3">
                  <c:v>INFOSEC4</c:v>
                </c:pt>
                <c:pt idx="4">
                  <c:v>INFOSEC5</c:v>
                </c:pt>
                <c:pt idx="5">
                  <c:v>INFOSEC6</c:v>
                </c:pt>
                <c:pt idx="6">
                  <c:v>INFOSEC7</c:v>
                </c:pt>
              </c:strCache>
            </c:strRef>
          </c:cat>
          <c:val>
            <c:numRef>
              <c:f>'Charts compliance by contro18'!$J$59:$J$65</c:f>
              <c:numCache>
                <c:formatCode>0.0%</c:formatCode>
                <c:ptCount val="7"/>
                <c:pt idx="0">
                  <c:v>0.88172043010752688</c:v>
                </c:pt>
                <c:pt idx="1">
                  <c:v>0.88172043010752688</c:v>
                </c:pt>
                <c:pt idx="2">
                  <c:v>0.87096774193548387</c:v>
                </c:pt>
                <c:pt idx="3">
                  <c:v>0.4838709677419355</c:v>
                </c:pt>
                <c:pt idx="4">
                  <c:v>0.76344086021505375</c:v>
                </c:pt>
                <c:pt idx="5">
                  <c:v>0.79569892473118276</c:v>
                </c:pt>
                <c:pt idx="6">
                  <c:v>0.91397849462365588</c:v>
                </c:pt>
              </c:numCache>
            </c:numRef>
          </c:val>
        </c:ser>
        <c:ser>
          <c:idx val="1"/>
          <c:order val="1"/>
          <c:tx>
            <c:strRef>
              <c:f>'Charts compliance by contro18'!$K$1</c:f>
              <c:strCache>
                <c:ptCount val="1"/>
                <c:pt idx="0">
                  <c:v>2015-16</c:v>
                </c:pt>
              </c:strCache>
            </c:strRef>
          </c:tx>
          <c:invertIfNegative val="0"/>
          <c:dLbls>
            <c:dLbl>
              <c:idx val="0"/>
              <c:layout>
                <c:manualLayout>
                  <c:x val="0"/>
                  <c:y val="1.0249856504545836E-2"/>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1"/>
              <c:layout>
                <c:manualLayout>
                  <c:x val="-3.6647919135529815E-17"/>
                  <c:y val="1.8304628957224046E-2"/>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2"/>
              <c:layout>
                <c:manualLayout>
                  <c:x val="0"/>
                  <c:y val="-1.8323021744714452E-3"/>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3"/>
              <c:layout>
                <c:manualLayout>
                  <c:x val="7.8700807003480735E-8"/>
                  <c:y val="1.6290935844054531E-2"/>
                </c:manualLayout>
              </c:layout>
              <c:dLblPos val="outEnd"/>
              <c:showLegendKey val="0"/>
              <c:showVal val="1"/>
              <c:showCatName val="0"/>
              <c:showSerName val="0"/>
              <c:showPercent val="0"/>
              <c:showBubbleSize val="0"/>
              <c:extLst>
                <c:ext xmlns:c15="http://schemas.microsoft.com/office/drawing/2012/chart" uri="{CE6537A1-D6FC-4f65-9D91-7224C49458BB}">
                  <c15:layout>
                    <c:manualLayout>
                      <c:w val="3.6191982748783082E-2"/>
                      <c:h val="5.0523718767936932E-2"/>
                    </c:manualLayout>
                  </c15:layout>
                </c:ext>
              </c:extLst>
            </c:dLbl>
            <c:dLbl>
              <c:idx val="4"/>
              <c:layout>
                <c:manualLayout>
                  <c:x val="-1.9990004997501249E-3"/>
                  <c:y val="6.2224702782067666E-3"/>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5"/>
              <c:layout>
                <c:manualLayout>
                  <c:x val="0"/>
                  <c:y val="6.2224702782067666E-3"/>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6"/>
              <c:layout>
                <c:manualLayout>
                  <c:x val="0"/>
                  <c:y val="6.2224702782067666E-3"/>
                </c:manualLayout>
              </c:layout>
              <c:dLblPos val="outEnd"/>
              <c:showLegendKey val="0"/>
              <c:showVal val="1"/>
              <c:showCatName val="0"/>
              <c:showSerName val="0"/>
              <c:showPercent val="0"/>
              <c:showBubbleSize val="0"/>
              <c:extLst>
                <c:ext xmlns:c15="http://schemas.microsoft.com/office/drawing/2012/chart" uri="{CE6537A1-D6FC-4f65-9D91-7224C49458BB}"/>
              </c:extLst>
            </c:dLbl>
            <c:numFmt formatCode="0%" sourceLinked="0"/>
            <c:spPr>
              <a:noFill/>
              <a:ln>
                <a:noFill/>
              </a:ln>
              <a:effectLst/>
            </c:spPr>
            <c:txPr>
              <a:bodyPr/>
              <a:lstStyle/>
              <a:p>
                <a:pPr>
                  <a:defRPr sz="700"/>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'Charts compliance by contro18'!$I$59:$I$65</c:f>
              <c:strCache>
                <c:ptCount val="7"/>
                <c:pt idx="0">
                  <c:v>INFOSEC1</c:v>
                </c:pt>
                <c:pt idx="1">
                  <c:v>INFOSEC2</c:v>
                </c:pt>
                <c:pt idx="2">
                  <c:v>INFOSEC3</c:v>
                </c:pt>
                <c:pt idx="3">
                  <c:v>INFOSEC4</c:v>
                </c:pt>
                <c:pt idx="4">
                  <c:v>INFOSEC5</c:v>
                </c:pt>
                <c:pt idx="5">
                  <c:v>INFOSEC6</c:v>
                </c:pt>
                <c:pt idx="6">
                  <c:v>INFOSEC7</c:v>
                </c:pt>
              </c:strCache>
            </c:strRef>
          </c:cat>
          <c:val>
            <c:numRef>
              <c:f>'Charts compliance by contro18'!$K$59:$K$65</c:f>
              <c:numCache>
                <c:formatCode>0.0%</c:formatCode>
                <c:ptCount val="7"/>
                <c:pt idx="0">
                  <c:v>0.90322580645161288</c:v>
                </c:pt>
                <c:pt idx="1">
                  <c:v>0.93548387096774188</c:v>
                </c:pt>
                <c:pt idx="2">
                  <c:v>0.89247311827956988</c:v>
                </c:pt>
                <c:pt idx="3">
                  <c:v>0.59139784946236562</c:v>
                </c:pt>
                <c:pt idx="4">
                  <c:v>0.83870967741935487</c:v>
                </c:pt>
                <c:pt idx="5">
                  <c:v>0.90322580645161288</c:v>
                </c:pt>
                <c:pt idx="6">
                  <c:v>0.93548387096774188</c:v>
                </c:pt>
              </c:numCache>
            </c:numRef>
          </c:val>
        </c:ser>
        <c:ser>
          <c:idx val="2"/>
          <c:order val="2"/>
          <c:tx>
            <c:strRef>
              <c:f>'Charts compliance by contro18'!$L$1</c:f>
              <c:strCache>
                <c:ptCount val="1"/>
                <c:pt idx="0">
                  <c:v>2016-17</c:v>
                </c:pt>
              </c:strCache>
            </c:strRef>
          </c:tx>
          <c:spPr>
            <a:solidFill>
              <a:schemeClr val="tx2">
                <a:lumMod val="40000"/>
                <a:lumOff val="60000"/>
              </a:schemeClr>
            </a:solidFill>
          </c:spPr>
          <c:invertIfNegative val="0"/>
          <c:dLbls>
            <c:dLbl>
              <c:idx val="2"/>
              <c:layout>
                <c:manualLayout>
                  <c:x val="0"/>
                  <c:y val="2.013693113169553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0"/>
                  <c:y val="8.0547724526782126E-3"/>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3.9980009995001032E-3"/>
                  <c:y val="1.6109544905356425E-2"/>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0"/>
                  <c:y val="-8.0547724526782126E-3"/>
                </c:manualLayout>
              </c:layout>
              <c:showLegendKey val="0"/>
              <c:showVal val="1"/>
              <c:showCatName val="0"/>
              <c:showSerName val="0"/>
              <c:showPercent val="0"/>
              <c:showBubbleSize val="0"/>
              <c:extLst>
                <c:ext xmlns:c15="http://schemas.microsoft.com/office/drawing/2012/chart" uri="{CE6537A1-D6FC-4f65-9D91-7224C49458BB}"/>
              </c:extLst>
            </c:dLbl>
            <c:numFmt formatCode="0%" sourceLinked="0"/>
            <c:spPr>
              <a:noFill/>
              <a:ln>
                <a:noFill/>
              </a:ln>
              <a:effectLst/>
            </c:spPr>
            <c:txPr>
              <a:bodyPr/>
              <a:lstStyle/>
              <a:p>
                <a:pPr>
                  <a:defRPr sz="70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'Charts compliance by contro18'!$I$59:$I$65</c:f>
              <c:strCache>
                <c:ptCount val="7"/>
                <c:pt idx="0">
                  <c:v>INFOSEC1</c:v>
                </c:pt>
                <c:pt idx="1">
                  <c:v>INFOSEC2</c:v>
                </c:pt>
                <c:pt idx="2">
                  <c:v>INFOSEC3</c:v>
                </c:pt>
                <c:pt idx="3">
                  <c:v>INFOSEC4</c:v>
                </c:pt>
                <c:pt idx="4">
                  <c:v>INFOSEC5</c:v>
                </c:pt>
                <c:pt idx="5">
                  <c:v>INFOSEC6</c:v>
                </c:pt>
                <c:pt idx="6">
                  <c:v>INFOSEC7</c:v>
                </c:pt>
              </c:strCache>
            </c:strRef>
          </c:cat>
          <c:val>
            <c:numRef>
              <c:f>'Charts compliance by contro18'!$L$59:$L$65</c:f>
              <c:numCache>
                <c:formatCode>0.0%</c:formatCode>
                <c:ptCount val="7"/>
                <c:pt idx="0">
                  <c:v>0.91397849462365588</c:v>
                </c:pt>
                <c:pt idx="1">
                  <c:v>0.94623655913978499</c:v>
                </c:pt>
                <c:pt idx="2">
                  <c:v>0.88172043010752688</c:v>
                </c:pt>
                <c:pt idx="3">
                  <c:v>0.60215053763440862</c:v>
                </c:pt>
                <c:pt idx="4">
                  <c:v>0.81720430107526887</c:v>
                </c:pt>
                <c:pt idx="5">
                  <c:v>0.87096774193548387</c:v>
                </c:pt>
                <c:pt idx="6">
                  <c:v>0.956989247311828</c:v>
                </c:pt>
              </c:numCache>
            </c:numRef>
          </c:val>
        </c:ser>
        <c:ser>
          <c:idx val="4"/>
          <c:order val="4"/>
          <c:tx>
            <c:strRef>
              <c:f>'Charts compliance by contro18'!$M$1</c:f>
              <c:strCache>
                <c:ptCount val="1"/>
                <c:pt idx="0">
                  <c:v>2017-18 Non-corporate Commonwealth entity</c:v>
                </c:pt>
              </c:strCache>
            </c:strRef>
          </c:tx>
          <c:spPr>
            <a:solidFill>
              <a:schemeClr val="tx1"/>
            </a:solidFill>
          </c:spPr>
          <c:invertIfNegative val="0"/>
          <c:dLbls>
            <c:dLbl>
              <c:idx val="1"/>
              <c:layout>
                <c:manualLayout>
                  <c:x val="0"/>
                  <c:y val="8.0547724526781935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9990004997501249E-3"/>
                  <c:y val="1.2082158679017317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0"/>
                  <c:y val="4.027386226339069E-3"/>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7.9960019990004995E-3"/>
                  <c:y val="1.6109544905356425E-2"/>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3.9980009995001032E-3"/>
                  <c:y val="1.6109544905356425E-2"/>
                </c:manualLayout>
              </c:layout>
              <c:showLegendKey val="0"/>
              <c:showVal val="1"/>
              <c:showCatName val="0"/>
              <c:showSerName val="0"/>
              <c:showPercent val="0"/>
              <c:showBubbleSize val="0"/>
              <c:extLst>
                <c:ext xmlns:c15="http://schemas.microsoft.com/office/drawing/2012/chart" uri="{CE6537A1-D6FC-4f65-9D91-7224C49458BB}"/>
              </c:extLst>
            </c:dLbl>
            <c:numFmt formatCode="0%" sourceLinked="0"/>
            <c:spPr>
              <a:noFill/>
              <a:ln>
                <a:noFill/>
              </a:ln>
              <a:effectLst/>
            </c:spPr>
            <c:txPr>
              <a:bodyPr/>
              <a:lstStyle/>
              <a:p>
                <a:pPr>
                  <a:defRPr sz="70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'Charts compliance by contro18'!$M$59:$M$65</c:f>
              <c:numCache>
                <c:formatCode>0.0%</c:formatCode>
                <c:ptCount val="7"/>
                <c:pt idx="0">
                  <c:v>0.93617021276595747</c:v>
                </c:pt>
                <c:pt idx="1">
                  <c:v>0.93617021276595747</c:v>
                </c:pt>
                <c:pt idx="2">
                  <c:v>0.82978723404255317</c:v>
                </c:pt>
                <c:pt idx="3">
                  <c:v>0.61702127659574468</c:v>
                </c:pt>
                <c:pt idx="4">
                  <c:v>0.84042553191489366</c:v>
                </c:pt>
                <c:pt idx="5">
                  <c:v>0.86170212765957444</c:v>
                </c:pt>
                <c:pt idx="6">
                  <c:v>0.94680851063829785</c:v>
                </c:pt>
              </c:numCache>
            </c:numRef>
          </c:val>
        </c:ser>
        <c:dLbls>
          <c:showLegendKey val="0"/>
          <c:showVal val="0"/>
          <c:showCatName val="0"/>
          <c:showSerName val="0"/>
          <c:showPercent val="0"/>
          <c:showBubbleSize val="0"/>
        </c:dLbls>
        <c:gapWidth val="150"/>
        <c:axId val="35308672"/>
        <c:axId val="35310208"/>
      </c:barChart>
      <c:lineChart>
        <c:grouping val="standard"/>
        <c:varyColors val="0"/>
        <c:ser>
          <c:idx val="3"/>
          <c:order val="3"/>
          <c:tx>
            <c:strRef>
              <c:f>'Charts compliance by contro18'!$N$1</c:f>
              <c:strCache>
                <c:ptCount val="1"/>
                <c:pt idx="0">
                  <c:v>2017-18 PSPF compliance average</c:v>
                </c:pt>
              </c:strCache>
            </c:strRef>
          </c:tx>
          <c:spPr>
            <a:ln w="38100">
              <a:solidFill>
                <a:srgbClr val="FF0000"/>
              </a:solidFill>
              <a:prstDash val="sysDot"/>
            </a:ln>
          </c:spPr>
          <c:marker>
            <c:symbol val="none"/>
          </c:marker>
          <c:dLbls>
            <c:dLbl>
              <c:idx val="0"/>
              <c:layout>
                <c:manualLayout>
                  <c:x val="0.28218654452301406"/>
                  <c:y val="-4.2087771650372325E-3"/>
                </c:manualLayout>
              </c:layout>
              <c:numFmt formatCode="0%" sourceLinked="0"/>
              <c:spPr/>
              <c:txPr>
                <a:bodyPr/>
                <a:lstStyle/>
                <a:p>
                  <a:pPr>
                    <a:defRPr sz="800">
                      <a:solidFill>
                        <a:srgbClr val="FF0000"/>
                      </a:solidFill>
                    </a:defRPr>
                  </a:pPr>
                  <a:endParaRPr lang="en-US"/>
                </a:p>
              </c:txPr>
              <c:dLblPos val="r"/>
              <c:showLegendKey val="0"/>
              <c:showVal val="0"/>
              <c:showCatName val="0"/>
              <c:showSerName val="1"/>
              <c:showPercent val="0"/>
              <c:showBubbleSize val="0"/>
              <c:extLst>
                <c:ext xmlns:c15="http://schemas.microsoft.com/office/drawing/2012/chart" uri="{CE6537A1-D6FC-4f65-9D91-7224C49458BB}">
                  <c15:layout>
                    <c:manualLayout>
                      <c:w val="0.17849075462268862"/>
                      <c:h val="0.11087394281111558"/>
                    </c:manualLayout>
                  </c15:layout>
                </c:ext>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delete val="1"/>
              <c:extLst>
                <c:ext xmlns:c15="http://schemas.microsoft.com/office/drawing/2012/chart" uri="{CE6537A1-D6FC-4f65-9D91-7224C49458BB}"/>
              </c:extLst>
            </c:dLbl>
            <c:dLbl>
              <c:idx val="6"/>
              <c:delete val="1"/>
              <c:extLst>
                <c:ext xmlns:c15="http://schemas.microsoft.com/office/drawing/2012/chart" uri="{CE6537A1-D6FC-4f65-9D91-7224C49458BB}"/>
              </c:extLst>
            </c:dLbl>
            <c:dLbl>
              <c:idx val="7"/>
              <c:delete val="1"/>
              <c:extLst>
                <c:ext xmlns:c15="http://schemas.microsoft.com/office/drawing/2012/chart" uri="{CE6537A1-D6FC-4f65-9D91-7224C49458BB}"/>
              </c:extLst>
            </c:dLbl>
            <c:dLbl>
              <c:idx val="8"/>
              <c:delete val="1"/>
              <c:extLst>
                <c:ext xmlns:c15="http://schemas.microsoft.com/office/drawing/2012/chart" uri="{CE6537A1-D6FC-4f65-9D91-7224C49458BB}"/>
              </c:extLst>
            </c:dLbl>
            <c:dLbl>
              <c:idx val="9"/>
              <c:delete val="1"/>
              <c:extLst>
                <c:ext xmlns:c15="http://schemas.microsoft.com/office/drawing/2012/chart" uri="{CE6537A1-D6FC-4f65-9D91-7224C49458BB}"/>
              </c:extLst>
            </c:dLbl>
            <c:dLbl>
              <c:idx val="10"/>
              <c:delete val="1"/>
              <c:extLst>
                <c:ext xmlns:c15="http://schemas.microsoft.com/office/drawing/2012/chart" uri="{CE6537A1-D6FC-4f65-9D91-7224C49458BB}"/>
              </c:extLst>
            </c:dLbl>
            <c:dLbl>
              <c:idx val="11"/>
              <c:delete val="1"/>
              <c:extLst>
                <c:ext xmlns:c15="http://schemas.microsoft.com/office/drawing/2012/chart" uri="{CE6537A1-D6FC-4f65-9D91-7224C49458BB}"/>
              </c:extLst>
            </c:dLbl>
            <c:dLbl>
              <c:idx val="12"/>
              <c:delete val="1"/>
              <c:extLst>
                <c:ext xmlns:c15="http://schemas.microsoft.com/office/drawing/2012/chart" uri="{CE6537A1-D6FC-4f65-9D91-7224C49458BB}"/>
              </c:extLst>
            </c:dLbl>
            <c:spPr>
              <a:noFill/>
              <a:ln>
                <a:noFill/>
              </a:ln>
              <a:effectLst/>
            </c:spPr>
            <c:txPr>
              <a:bodyPr/>
              <a:lstStyle/>
              <a:p>
                <a:pPr>
                  <a:defRPr>
                    <a:solidFill>
                      <a:srgbClr val="FF0000"/>
                    </a:solidFill>
                  </a:defRPr>
                </a:pPr>
                <a:endParaRPr lang="en-US"/>
              </a:p>
            </c:tx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cat>
            <c:strRef>
              <c:f>'Charts compliance by contro18'!$I$59:$I$65</c:f>
              <c:strCache>
                <c:ptCount val="7"/>
                <c:pt idx="0">
                  <c:v>INFOSEC1</c:v>
                </c:pt>
                <c:pt idx="1">
                  <c:v>INFOSEC2</c:v>
                </c:pt>
                <c:pt idx="2">
                  <c:v>INFOSEC3</c:v>
                </c:pt>
                <c:pt idx="3">
                  <c:v>INFOSEC4</c:v>
                </c:pt>
                <c:pt idx="4">
                  <c:v>INFOSEC5</c:v>
                </c:pt>
                <c:pt idx="5">
                  <c:v>INFOSEC6</c:v>
                </c:pt>
                <c:pt idx="6">
                  <c:v>INFOSEC7</c:v>
                </c:pt>
              </c:strCache>
            </c:strRef>
          </c:cat>
          <c:val>
            <c:numRef>
              <c:f>'Charts compliance by contro18'!$N$59:$N$65</c:f>
              <c:numCache>
                <c:formatCode>0.0%</c:formatCode>
                <c:ptCount val="7"/>
                <c:pt idx="0">
                  <c:v>0.92174432497013137</c:v>
                </c:pt>
                <c:pt idx="1">
                  <c:v>0.92174432497013137</c:v>
                </c:pt>
                <c:pt idx="2">
                  <c:v>0.92174432497013137</c:v>
                </c:pt>
                <c:pt idx="3">
                  <c:v>0.92174432497013137</c:v>
                </c:pt>
                <c:pt idx="4">
                  <c:v>0.92174432497013137</c:v>
                </c:pt>
                <c:pt idx="5">
                  <c:v>0.92174432497013137</c:v>
                </c:pt>
                <c:pt idx="6">
                  <c:v>0.92174432497013137</c:v>
                </c:pt>
              </c:numCache>
            </c:numRef>
          </c:val>
          <c:smooth val="0"/>
        </c:ser>
        <c:dLbls>
          <c:showLegendKey val="0"/>
          <c:showVal val="0"/>
          <c:showCatName val="0"/>
          <c:showSerName val="0"/>
          <c:showPercent val="0"/>
          <c:showBubbleSize val="0"/>
        </c:dLbls>
        <c:marker val="1"/>
        <c:smooth val="0"/>
        <c:axId val="35318016"/>
        <c:axId val="35316480"/>
      </c:lineChart>
      <c:catAx>
        <c:axId val="35308672"/>
        <c:scaling>
          <c:orientation val="minMax"/>
        </c:scaling>
        <c:delete val="0"/>
        <c:axPos val="b"/>
        <c:numFmt formatCode="General" sourceLinked="1"/>
        <c:majorTickMark val="out"/>
        <c:minorTickMark val="none"/>
        <c:tickLblPos val="nextTo"/>
        <c:crossAx val="35310208"/>
        <c:crosses val="autoZero"/>
        <c:auto val="1"/>
        <c:lblAlgn val="ctr"/>
        <c:lblOffset val="100"/>
        <c:noMultiLvlLbl val="0"/>
      </c:catAx>
      <c:valAx>
        <c:axId val="35310208"/>
        <c:scaling>
          <c:orientation val="minMax"/>
          <c:max val="1"/>
        </c:scaling>
        <c:delete val="0"/>
        <c:axPos val="l"/>
        <c:majorGridlines>
          <c:spPr>
            <a:ln>
              <a:solidFill>
                <a:sysClr val="window" lastClr="FFFFFF">
                  <a:lumMod val="75000"/>
                </a:sysClr>
              </a:solidFill>
            </a:ln>
          </c:spPr>
        </c:majorGridlines>
        <c:title>
          <c:tx>
            <c:rich>
              <a:bodyPr rot="-5400000" vert="horz"/>
              <a:lstStyle/>
              <a:p>
                <a:pPr>
                  <a:defRPr b="1"/>
                </a:pPr>
                <a:r>
                  <a:rPr lang="en-US" b="1"/>
                  <a:t>Rate</a:t>
                </a:r>
                <a:r>
                  <a:rPr lang="en-US" b="1" baseline="0"/>
                  <a:t> of entity compliance</a:t>
                </a:r>
              </a:p>
            </c:rich>
          </c:tx>
          <c:layout/>
          <c:overlay val="0"/>
        </c:title>
        <c:numFmt formatCode="0%" sourceLinked="0"/>
        <c:majorTickMark val="out"/>
        <c:minorTickMark val="none"/>
        <c:tickLblPos val="nextTo"/>
        <c:crossAx val="35308672"/>
        <c:crosses val="autoZero"/>
        <c:crossBetween val="between"/>
        <c:majorUnit val="0.1"/>
      </c:valAx>
      <c:valAx>
        <c:axId val="35316480"/>
        <c:scaling>
          <c:orientation val="minMax"/>
          <c:max val="1"/>
        </c:scaling>
        <c:delete val="1"/>
        <c:axPos val="r"/>
        <c:numFmt formatCode="0.0%" sourceLinked="1"/>
        <c:majorTickMark val="out"/>
        <c:minorTickMark val="none"/>
        <c:tickLblPos val="nextTo"/>
        <c:crossAx val="35318016"/>
        <c:crosses val="max"/>
        <c:crossBetween val="between"/>
      </c:valAx>
      <c:catAx>
        <c:axId val="35318016"/>
        <c:scaling>
          <c:orientation val="minMax"/>
        </c:scaling>
        <c:delete val="1"/>
        <c:axPos val="b"/>
        <c:numFmt formatCode="General" sourceLinked="1"/>
        <c:majorTickMark val="out"/>
        <c:minorTickMark val="none"/>
        <c:tickLblPos val="nextTo"/>
        <c:crossAx val="35316480"/>
        <c:crosses val="autoZero"/>
        <c:auto val="1"/>
        <c:lblAlgn val="ctr"/>
        <c:lblOffset val="100"/>
        <c:noMultiLvlLbl val="0"/>
      </c:catAx>
    </c:plotArea>
    <c:legend>
      <c:legendPos val="t"/>
      <c:legendEntry>
        <c:idx val="4"/>
        <c:delete val="1"/>
      </c:legendEntry>
      <c:layout>
        <c:manualLayout>
          <c:xMode val="edge"/>
          <c:yMode val="edge"/>
          <c:x val="0"/>
          <c:y val="6.6962077257302785E-2"/>
          <c:w val="0.98651568155898017"/>
          <c:h val="7.1227614304638059E-2"/>
        </c:manualLayout>
      </c:layout>
      <c:overlay val="0"/>
    </c:legend>
    <c:plotVisOnly val="1"/>
    <c:dispBlanksAs val="gap"/>
    <c:showDLblsOverMax val="0"/>
  </c:chart>
  <c:spPr>
    <a:ln>
      <a:noFill/>
    </a:ln>
  </c:sp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27"/>
    </mc:Choice>
    <mc:Fallback>
      <c:style val="27"/>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6920174440652263E-2"/>
          <c:y val="0.14679799380499983"/>
          <c:w val="0.87695923397800535"/>
          <c:h val="0.73852516475009888"/>
        </c:manualLayout>
      </c:layout>
      <c:barChart>
        <c:barDir val="col"/>
        <c:grouping val="clustered"/>
        <c:varyColors val="0"/>
        <c:ser>
          <c:idx val="2"/>
          <c:order val="0"/>
          <c:tx>
            <c:strRef>
              <c:f>'Charts compliance by contro18'!$C$111:$C$112</c:f>
              <c:strCache>
                <c:ptCount val="1"/>
                <c:pt idx="0">
                  <c:v>Non-corporate Commonwealth entity</c:v>
                </c:pt>
              </c:strCache>
            </c:strRef>
          </c:tx>
          <c:invertIfNegative val="0"/>
          <c:dLbls>
            <c:numFmt formatCode="0%" sourceLinked="0"/>
            <c:spPr>
              <a:noFill/>
              <a:ln>
                <a:noFill/>
              </a:ln>
              <a:effectLst/>
            </c:spPr>
            <c:txPr>
              <a:bodyPr/>
              <a:lstStyle/>
              <a:p>
                <a:pPr>
                  <a:defRPr sz="80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'Charts compliance by contro18'!$D$111:$G$111</c:f>
              <c:strCache>
                <c:ptCount val="4"/>
                <c:pt idx="0">
                  <c:v>2014-15</c:v>
                </c:pt>
                <c:pt idx="1">
                  <c:v>2015-16</c:v>
                </c:pt>
                <c:pt idx="2">
                  <c:v>2016-17</c:v>
                </c:pt>
                <c:pt idx="3">
                  <c:v>2017-18</c:v>
                </c:pt>
              </c:strCache>
            </c:strRef>
          </c:cat>
          <c:val>
            <c:numRef>
              <c:f>'Charts compliance by contro18'!$D$112:$G$112</c:f>
              <c:numCache>
                <c:formatCode>0.00%</c:formatCode>
                <c:ptCount val="4"/>
                <c:pt idx="0">
                  <c:v>0.4838709677419355</c:v>
                </c:pt>
                <c:pt idx="1">
                  <c:v>0.59139784946236562</c:v>
                </c:pt>
                <c:pt idx="2">
                  <c:v>0.60215053763440862</c:v>
                </c:pt>
                <c:pt idx="3">
                  <c:v>0.61702127659574468</c:v>
                </c:pt>
              </c:numCache>
            </c:numRef>
          </c:val>
        </c:ser>
        <c:dLbls>
          <c:showLegendKey val="0"/>
          <c:showVal val="0"/>
          <c:showCatName val="0"/>
          <c:showSerName val="0"/>
          <c:showPercent val="0"/>
          <c:showBubbleSize val="0"/>
        </c:dLbls>
        <c:gapWidth val="150"/>
        <c:axId val="35358976"/>
        <c:axId val="35651584"/>
      </c:barChart>
      <c:lineChart>
        <c:grouping val="standard"/>
        <c:varyColors val="0"/>
        <c:ser>
          <c:idx val="0"/>
          <c:order val="1"/>
          <c:tx>
            <c:strRef>
              <c:f>'Charts compliance by contro18'!$N$1</c:f>
              <c:strCache>
                <c:ptCount val="1"/>
                <c:pt idx="0">
                  <c:v>2017-18 PSPF compliance average</c:v>
                </c:pt>
              </c:strCache>
            </c:strRef>
          </c:tx>
          <c:spPr>
            <a:ln w="38100">
              <a:solidFill>
                <a:srgbClr val="FF0000"/>
              </a:solidFill>
              <a:prstDash val="sysDot"/>
            </a:ln>
          </c:spPr>
          <c:marker>
            <c:symbol val="none"/>
          </c:marker>
          <c:dLbls>
            <c:dLbl>
              <c:idx val="0"/>
              <c:layout>
                <c:manualLayout>
                  <c:x val="0.160090063122275"/>
                  <c:y val="-0.11716876391804204"/>
                </c:manualLayout>
              </c:layout>
              <c:spPr/>
              <c:txPr>
                <a:bodyPr/>
                <a:lstStyle/>
                <a:p>
                  <a:pPr>
                    <a:defRPr sz="800">
                      <a:solidFill>
                        <a:srgbClr val="FF0000"/>
                      </a:solidFill>
                    </a:defRPr>
                  </a:pPr>
                  <a:endParaRPr lang="en-US"/>
                </a:p>
              </c:txPr>
              <c:dLblPos val="r"/>
              <c:showLegendKey val="0"/>
              <c:showVal val="0"/>
              <c:showCatName val="0"/>
              <c:showSerName val="1"/>
              <c:showPercent val="0"/>
              <c:showBubbleSize val="0"/>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'Charts compliance by contro18'!$N$2:$N$5</c:f>
              <c:numCache>
                <c:formatCode>0.00%</c:formatCode>
                <c:ptCount val="4"/>
                <c:pt idx="0">
                  <c:v>0.92174432497013137</c:v>
                </c:pt>
                <c:pt idx="1">
                  <c:v>0.92174432497013137</c:v>
                </c:pt>
                <c:pt idx="2">
                  <c:v>0.92174432497013137</c:v>
                </c:pt>
                <c:pt idx="3">
                  <c:v>0.92174432497013137</c:v>
                </c:pt>
              </c:numCache>
            </c:numRef>
          </c:val>
          <c:smooth val="0"/>
        </c:ser>
        <c:dLbls>
          <c:showLegendKey val="0"/>
          <c:showVal val="0"/>
          <c:showCatName val="0"/>
          <c:showSerName val="0"/>
          <c:showPercent val="0"/>
          <c:showBubbleSize val="0"/>
        </c:dLbls>
        <c:marker val="1"/>
        <c:smooth val="0"/>
        <c:axId val="35654656"/>
        <c:axId val="35653120"/>
      </c:lineChart>
      <c:catAx>
        <c:axId val="35358976"/>
        <c:scaling>
          <c:orientation val="minMax"/>
        </c:scaling>
        <c:delete val="0"/>
        <c:axPos val="b"/>
        <c:numFmt formatCode="General" sourceLinked="1"/>
        <c:majorTickMark val="out"/>
        <c:minorTickMark val="none"/>
        <c:tickLblPos val="nextTo"/>
        <c:crossAx val="35651584"/>
        <c:crosses val="autoZero"/>
        <c:auto val="1"/>
        <c:lblAlgn val="ctr"/>
        <c:lblOffset val="100"/>
        <c:noMultiLvlLbl val="0"/>
      </c:catAx>
      <c:valAx>
        <c:axId val="35651584"/>
        <c:scaling>
          <c:orientation val="minMax"/>
          <c:max val="1"/>
        </c:scaling>
        <c:delete val="0"/>
        <c:axPos val="l"/>
        <c:majorGridlines/>
        <c:numFmt formatCode="0%" sourceLinked="0"/>
        <c:majorTickMark val="out"/>
        <c:minorTickMark val="none"/>
        <c:tickLblPos val="nextTo"/>
        <c:crossAx val="35358976"/>
        <c:crosses val="autoZero"/>
        <c:crossBetween val="between"/>
        <c:majorUnit val="0.1"/>
      </c:valAx>
      <c:valAx>
        <c:axId val="35653120"/>
        <c:scaling>
          <c:orientation val="minMax"/>
          <c:max val="1"/>
        </c:scaling>
        <c:delete val="1"/>
        <c:axPos val="r"/>
        <c:numFmt formatCode="0%" sourceLinked="0"/>
        <c:majorTickMark val="out"/>
        <c:minorTickMark val="none"/>
        <c:tickLblPos val="nextTo"/>
        <c:crossAx val="35654656"/>
        <c:crosses val="max"/>
        <c:crossBetween val="between"/>
      </c:valAx>
      <c:catAx>
        <c:axId val="35654656"/>
        <c:scaling>
          <c:orientation val="minMax"/>
        </c:scaling>
        <c:delete val="1"/>
        <c:axPos val="b"/>
        <c:majorTickMark val="out"/>
        <c:minorTickMark val="none"/>
        <c:tickLblPos val="nextTo"/>
        <c:crossAx val="35653120"/>
        <c:crosses val="autoZero"/>
        <c:auto val="1"/>
        <c:lblAlgn val="ctr"/>
        <c:lblOffset val="100"/>
        <c:noMultiLvlLbl val="0"/>
      </c:catAx>
    </c:plotArea>
    <c:plotVisOnly val="1"/>
    <c:dispBlanksAs val="gap"/>
    <c:showDLblsOverMax val="0"/>
  </c:chart>
  <c:spPr>
    <a:ln>
      <a:noFill/>
    </a:ln>
  </c:sp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27"/>
    </mc:Choice>
    <mc:Fallback>
      <c:style val="27"/>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6920174440652263E-2"/>
          <c:y val="0.14679799380499983"/>
          <c:w val="0.87695923397800535"/>
          <c:h val="0.73852516475009888"/>
        </c:manualLayout>
      </c:layout>
      <c:barChart>
        <c:barDir val="col"/>
        <c:grouping val="clustered"/>
        <c:varyColors val="0"/>
        <c:ser>
          <c:idx val="2"/>
          <c:order val="0"/>
          <c:tx>
            <c:strRef>
              <c:f>'Charts compliance by contro18'!$C$111:$C$112</c:f>
              <c:strCache>
                <c:ptCount val="1"/>
                <c:pt idx="0">
                  <c:v>Non-corporate Commonwealth entity</c:v>
                </c:pt>
              </c:strCache>
            </c:strRef>
          </c:tx>
          <c:invertIfNegative val="0"/>
          <c:dLbls>
            <c:dLbl>
              <c:idx val="3"/>
              <c:layout>
                <c:manualLayout>
                  <c:x val="0"/>
                  <c:y val="2.1709633649932131E-2"/>
                </c:manualLayout>
              </c:layout>
              <c:showLegendKey val="0"/>
              <c:showVal val="1"/>
              <c:showCatName val="0"/>
              <c:showSerName val="0"/>
              <c:showPercent val="0"/>
              <c:showBubbleSize val="0"/>
              <c:extLst>
                <c:ext xmlns:c15="http://schemas.microsoft.com/office/drawing/2012/chart" uri="{CE6537A1-D6FC-4f65-9D91-7224C49458BB}"/>
              </c:extLst>
            </c:dLbl>
            <c:numFmt formatCode="0%" sourceLinked="0"/>
            <c:spPr>
              <a:noFill/>
              <a:ln>
                <a:noFill/>
              </a:ln>
              <a:effectLst/>
            </c:spPr>
            <c:txPr>
              <a:bodyPr/>
              <a:lstStyle/>
              <a:p>
                <a:pPr>
                  <a:defRPr sz="80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'Charts compliance by contro18'!$D$111:$G$111</c:f>
              <c:strCache>
                <c:ptCount val="4"/>
                <c:pt idx="0">
                  <c:v>2014-15</c:v>
                </c:pt>
                <c:pt idx="1">
                  <c:v>2015-16</c:v>
                </c:pt>
                <c:pt idx="2">
                  <c:v>2016-17</c:v>
                </c:pt>
                <c:pt idx="3">
                  <c:v>2017-18</c:v>
                </c:pt>
              </c:strCache>
            </c:strRef>
          </c:cat>
          <c:val>
            <c:numRef>
              <c:f>'Charts compliance by contro18'!$D$112:$G$112</c:f>
              <c:numCache>
                <c:formatCode>0.00%</c:formatCode>
                <c:ptCount val="4"/>
                <c:pt idx="0">
                  <c:v>0.87096774193548387</c:v>
                </c:pt>
                <c:pt idx="1">
                  <c:v>0.89247311827956988</c:v>
                </c:pt>
                <c:pt idx="2">
                  <c:v>0.88172043010752688</c:v>
                </c:pt>
                <c:pt idx="3">
                  <c:v>0.82978723404255317</c:v>
                </c:pt>
              </c:numCache>
            </c:numRef>
          </c:val>
        </c:ser>
        <c:dLbls>
          <c:showLegendKey val="0"/>
          <c:showVal val="0"/>
          <c:showCatName val="0"/>
          <c:showSerName val="0"/>
          <c:showPercent val="0"/>
          <c:showBubbleSize val="0"/>
        </c:dLbls>
        <c:gapWidth val="150"/>
        <c:axId val="35916800"/>
        <c:axId val="35918592"/>
      </c:barChart>
      <c:lineChart>
        <c:grouping val="standard"/>
        <c:varyColors val="0"/>
        <c:ser>
          <c:idx val="0"/>
          <c:order val="1"/>
          <c:tx>
            <c:strRef>
              <c:f>'Charts compliance by contro18'!$N$1</c:f>
              <c:strCache>
                <c:ptCount val="1"/>
                <c:pt idx="0">
                  <c:v>2017-18 PSPF compliance average</c:v>
                </c:pt>
              </c:strCache>
            </c:strRef>
          </c:tx>
          <c:spPr>
            <a:ln w="38100">
              <a:solidFill>
                <a:srgbClr val="FF0000"/>
              </a:solidFill>
              <a:prstDash val="sysDot"/>
            </a:ln>
          </c:spPr>
          <c:marker>
            <c:symbol val="none"/>
          </c:marker>
          <c:dLbls>
            <c:dLbl>
              <c:idx val="0"/>
              <c:layout>
                <c:manualLayout>
                  <c:x val="0.23341668126582688"/>
                  <c:y val="-9.0105843670156435E-2"/>
                </c:manualLayout>
              </c:layout>
              <c:spPr/>
              <c:txPr>
                <a:bodyPr/>
                <a:lstStyle/>
                <a:p>
                  <a:pPr>
                    <a:defRPr sz="800">
                      <a:solidFill>
                        <a:srgbClr val="FF0000"/>
                      </a:solidFill>
                    </a:defRPr>
                  </a:pPr>
                  <a:endParaRPr lang="en-US"/>
                </a:p>
              </c:txPr>
              <c:dLblPos val="r"/>
              <c:showLegendKey val="0"/>
              <c:showVal val="0"/>
              <c:showCatName val="0"/>
              <c:showSerName val="1"/>
              <c:showPercent val="0"/>
              <c:showBubbleSize val="0"/>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'Charts compliance by contro18'!$N$2:$N$5</c:f>
              <c:numCache>
                <c:formatCode>0.00%</c:formatCode>
                <c:ptCount val="4"/>
                <c:pt idx="0">
                  <c:v>0.92174432497013137</c:v>
                </c:pt>
                <c:pt idx="1">
                  <c:v>0.92174432497013137</c:v>
                </c:pt>
                <c:pt idx="2">
                  <c:v>0.92174432497013137</c:v>
                </c:pt>
                <c:pt idx="3">
                  <c:v>0.92174432497013137</c:v>
                </c:pt>
              </c:numCache>
            </c:numRef>
          </c:val>
          <c:smooth val="0"/>
        </c:ser>
        <c:dLbls>
          <c:showLegendKey val="0"/>
          <c:showVal val="0"/>
          <c:showCatName val="0"/>
          <c:showSerName val="0"/>
          <c:showPercent val="0"/>
          <c:showBubbleSize val="0"/>
        </c:dLbls>
        <c:marker val="1"/>
        <c:smooth val="0"/>
        <c:axId val="35934208"/>
        <c:axId val="35920128"/>
      </c:lineChart>
      <c:catAx>
        <c:axId val="35916800"/>
        <c:scaling>
          <c:orientation val="minMax"/>
        </c:scaling>
        <c:delete val="0"/>
        <c:axPos val="b"/>
        <c:numFmt formatCode="General" sourceLinked="1"/>
        <c:majorTickMark val="out"/>
        <c:minorTickMark val="none"/>
        <c:tickLblPos val="nextTo"/>
        <c:crossAx val="35918592"/>
        <c:crosses val="autoZero"/>
        <c:auto val="1"/>
        <c:lblAlgn val="ctr"/>
        <c:lblOffset val="100"/>
        <c:noMultiLvlLbl val="0"/>
      </c:catAx>
      <c:valAx>
        <c:axId val="35918592"/>
        <c:scaling>
          <c:orientation val="minMax"/>
          <c:max val="1"/>
        </c:scaling>
        <c:delete val="0"/>
        <c:axPos val="l"/>
        <c:majorGridlines/>
        <c:numFmt formatCode="0%" sourceLinked="0"/>
        <c:majorTickMark val="out"/>
        <c:minorTickMark val="none"/>
        <c:tickLblPos val="nextTo"/>
        <c:crossAx val="35916800"/>
        <c:crosses val="autoZero"/>
        <c:crossBetween val="between"/>
        <c:majorUnit val="0.1"/>
      </c:valAx>
      <c:valAx>
        <c:axId val="35920128"/>
        <c:scaling>
          <c:orientation val="minMax"/>
          <c:max val="1"/>
        </c:scaling>
        <c:delete val="1"/>
        <c:axPos val="r"/>
        <c:numFmt formatCode="0%" sourceLinked="0"/>
        <c:majorTickMark val="out"/>
        <c:minorTickMark val="none"/>
        <c:tickLblPos val="nextTo"/>
        <c:crossAx val="35934208"/>
        <c:crosses val="max"/>
        <c:crossBetween val="between"/>
      </c:valAx>
      <c:catAx>
        <c:axId val="35934208"/>
        <c:scaling>
          <c:orientation val="minMax"/>
        </c:scaling>
        <c:delete val="1"/>
        <c:axPos val="b"/>
        <c:majorTickMark val="out"/>
        <c:minorTickMark val="none"/>
        <c:tickLblPos val="nextTo"/>
        <c:crossAx val="35920128"/>
        <c:crosses val="autoZero"/>
        <c:auto val="1"/>
        <c:lblAlgn val="ctr"/>
        <c:lblOffset val="100"/>
        <c:noMultiLvlLbl val="0"/>
      </c:catAx>
    </c:plotArea>
    <c:plotVisOnly val="1"/>
    <c:dispBlanksAs val="gap"/>
    <c:showDLblsOverMax val="0"/>
  </c:chart>
  <c:spPr>
    <a:ln>
      <a:noFill/>
    </a:ln>
  </c:sp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27"/>
    </mc:Choice>
    <mc:Fallback>
      <c:style val="27"/>
    </mc:Fallback>
  </mc:AlternateContent>
  <c:chart>
    <c:title>
      <c:tx>
        <c:rich>
          <a:bodyPr/>
          <a:lstStyle/>
          <a:p>
            <a:pPr>
              <a:defRPr sz="1000"/>
            </a:pPr>
            <a:r>
              <a:rPr lang="en-US" sz="1000"/>
              <a:t>Proportion of PSPF requirements complied with by entities - by size</a:t>
            </a:r>
          </a:p>
        </c:rich>
      </c:tx>
      <c:layout>
        <c:manualLayout>
          <c:xMode val="edge"/>
          <c:yMode val="edge"/>
          <c:x val="0.170040719702548"/>
          <c:y val="0"/>
        </c:manualLayout>
      </c:layout>
      <c:overlay val="1"/>
    </c:title>
    <c:autoTitleDeleted val="0"/>
    <c:plotArea>
      <c:layout>
        <c:manualLayout>
          <c:layoutTarget val="inner"/>
          <c:xMode val="edge"/>
          <c:yMode val="edge"/>
          <c:x val="0.10655240401033639"/>
          <c:y val="0.14679799380499983"/>
          <c:w val="0.86732700737229118"/>
          <c:h val="0.64029547675665344"/>
        </c:manualLayout>
      </c:layout>
      <c:barChart>
        <c:barDir val="col"/>
        <c:grouping val="clustered"/>
        <c:varyColors val="0"/>
        <c:ser>
          <c:idx val="1"/>
          <c:order val="0"/>
          <c:tx>
            <c:strRef>
              <c:f>'Charts compliance by entity18'!$O$73</c:f>
              <c:strCache>
                <c:ptCount val="1"/>
                <c:pt idx="0">
                  <c:v>2015-16</c:v>
                </c:pt>
              </c:strCache>
            </c:strRef>
          </c:tx>
          <c:invertIfNegative val="0"/>
          <c:dLbls>
            <c:numFmt formatCode="0%" sourceLinked="0"/>
            <c:spPr>
              <a:noFill/>
              <a:ln>
                <a:noFill/>
              </a:ln>
              <a:effectLst/>
            </c:spPr>
            <c:txPr>
              <a:bodyPr/>
              <a:lstStyle/>
              <a:p>
                <a:pPr>
                  <a:defRPr sz="80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'Charts compliance by entity18'!$M$74:$M$80</c:f>
              <c:strCache>
                <c:ptCount val="7"/>
                <c:pt idx="0">
                  <c:v>Not identified</c:v>
                </c:pt>
                <c:pt idx="1">
                  <c:v>Micro &lt;20</c:v>
                </c:pt>
                <c:pt idx="2">
                  <c:v>Extra Small 20-100</c:v>
                </c:pt>
                <c:pt idx="3">
                  <c:v>Small 101-250</c:v>
                </c:pt>
                <c:pt idx="4">
                  <c:v>Medium 251-1,000</c:v>
                </c:pt>
                <c:pt idx="5">
                  <c:v>Large 1,001-10,000</c:v>
                </c:pt>
                <c:pt idx="6">
                  <c:v>Extral Large &gt;10,000</c:v>
                </c:pt>
              </c:strCache>
            </c:strRef>
          </c:cat>
          <c:val>
            <c:numRef>
              <c:f>'Charts compliance by entity18'!$O$74:$O$80</c:f>
              <c:numCache>
                <c:formatCode>0.00%</c:formatCode>
                <c:ptCount val="7"/>
                <c:pt idx="0">
                  <c:v>0.80555555555555558</c:v>
                </c:pt>
                <c:pt idx="1">
                  <c:v>0.98611111111111116</c:v>
                </c:pt>
                <c:pt idx="2">
                  <c:v>0.8571428571428571</c:v>
                </c:pt>
                <c:pt idx="3">
                  <c:v>0.93650793650793651</c:v>
                </c:pt>
                <c:pt idx="4">
                  <c:v>0.93333333333333335</c:v>
                </c:pt>
                <c:pt idx="5">
                  <c:v>0.92083333333333328</c:v>
                </c:pt>
                <c:pt idx="6">
                  <c:v>0.88888888888888884</c:v>
                </c:pt>
              </c:numCache>
            </c:numRef>
          </c:val>
        </c:ser>
        <c:ser>
          <c:idx val="2"/>
          <c:order val="1"/>
          <c:tx>
            <c:strRef>
              <c:f>'Charts compliance by entity18'!$P$73</c:f>
              <c:strCache>
                <c:ptCount val="1"/>
                <c:pt idx="0">
                  <c:v>2016-17</c:v>
                </c:pt>
              </c:strCache>
            </c:strRef>
          </c:tx>
          <c:invertIfNegative val="0"/>
          <c:dLbls>
            <c:numFmt formatCode="0%" sourceLinked="0"/>
            <c:spPr>
              <a:noFill/>
              <a:ln>
                <a:noFill/>
              </a:ln>
              <a:effectLst/>
            </c:spPr>
            <c:txPr>
              <a:bodyPr/>
              <a:lstStyle/>
              <a:p>
                <a:pPr>
                  <a:defRPr sz="80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'Charts compliance by entity18'!$M$74:$M$80</c:f>
              <c:strCache>
                <c:ptCount val="7"/>
                <c:pt idx="0">
                  <c:v>Not identified</c:v>
                </c:pt>
                <c:pt idx="1">
                  <c:v>Micro &lt;20</c:v>
                </c:pt>
                <c:pt idx="2">
                  <c:v>Extra Small 20-100</c:v>
                </c:pt>
                <c:pt idx="3">
                  <c:v>Small 101-250</c:v>
                </c:pt>
                <c:pt idx="4">
                  <c:v>Medium 251-1,000</c:v>
                </c:pt>
                <c:pt idx="5">
                  <c:v>Large 1,001-10,000</c:v>
                </c:pt>
                <c:pt idx="6">
                  <c:v>Extral Large &gt;10,000</c:v>
                </c:pt>
              </c:strCache>
            </c:strRef>
          </c:cat>
          <c:val>
            <c:numRef>
              <c:f>'Charts compliance by entity18'!$P$74:$P$80</c:f>
              <c:numCache>
                <c:formatCode>0.00%</c:formatCode>
                <c:ptCount val="7"/>
                <c:pt idx="0">
                  <c:v>0.90972222222222221</c:v>
                </c:pt>
                <c:pt idx="1">
                  <c:v>0.85648148148148151</c:v>
                </c:pt>
                <c:pt idx="2">
                  <c:v>0.93452380952380953</c:v>
                </c:pt>
                <c:pt idx="3">
                  <c:v>0.94444444444444442</c:v>
                </c:pt>
                <c:pt idx="4">
                  <c:v>0.91249999999999998</c:v>
                </c:pt>
                <c:pt idx="5">
                  <c:v>0.88055555555555554</c:v>
                </c:pt>
                <c:pt idx="6">
                  <c:v>0.90972222222222221</c:v>
                </c:pt>
              </c:numCache>
            </c:numRef>
          </c:val>
        </c:ser>
        <c:ser>
          <c:idx val="4"/>
          <c:order val="3"/>
          <c:tx>
            <c:strRef>
              <c:f>'Charts compliance by entity18'!$Q$73</c:f>
              <c:strCache>
                <c:ptCount val="1"/>
                <c:pt idx="0">
                  <c:v>2017-18 Non-corporate Commonwealth entity</c:v>
                </c:pt>
              </c:strCache>
            </c:strRef>
          </c:tx>
          <c:invertIfNegative val="0"/>
          <c:dLbls>
            <c:numFmt formatCode="0%" sourceLinked="0"/>
            <c:spPr>
              <a:noFill/>
              <a:ln>
                <a:noFill/>
              </a:ln>
              <a:effectLst/>
            </c:spPr>
            <c:txPr>
              <a:bodyPr/>
              <a:lstStyle/>
              <a:p>
                <a:pPr>
                  <a:defRPr sz="80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'Charts compliance by entity18'!$Q$74:$Q$80</c:f>
              <c:numCache>
                <c:formatCode>0.00%</c:formatCode>
                <c:ptCount val="7"/>
                <c:pt idx="0">
                  <c:v>0</c:v>
                </c:pt>
                <c:pt idx="1">
                  <c:v>0.92361111111111116</c:v>
                </c:pt>
                <c:pt idx="2">
                  <c:v>0.9183006535947712</c:v>
                </c:pt>
                <c:pt idx="3">
                  <c:v>0.94328703703703709</c:v>
                </c:pt>
                <c:pt idx="4">
                  <c:v>0.94179894179894175</c:v>
                </c:pt>
                <c:pt idx="5">
                  <c:v>0.87830687830687826</c:v>
                </c:pt>
                <c:pt idx="6">
                  <c:v>0.92592592592592593</c:v>
                </c:pt>
              </c:numCache>
            </c:numRef>
          </c:val>
        </c:ser>
        <c:dLbls>
          <c:showLegendKey val="0"/>
          <c:showVal val="0"/>
          <c:showCatName val="0"/>
          <c:showSerName val="0"/>
          <c:showPercent val="0"/>
          <c:showBubbleSize val="0"/>
        </c:dLbls>
        <c:gapWidth val="150"/>
        <c:axId val="36057856"/>
        <c:axId val="36059776"/>
      </c:barChart>
      <c:lineChart>
        <c:grouping val="standard"/>
        <c:varyColors val="0"/>
        <c:ser>
          <c:idx val="3"/>
          <c:order val="2"/>
          <c:tx>
            <c:strRef>
              <c:f>'Charts compliance by entity18'!$R$73</c:f>
              <c:strCache>
                <c:ptCount val="1"/>
                <c:pt idx="0">
                  <c:v>2017-18 average</c:v>
                </c:pt>
              </c:strCache>
            </c:strRef>
          </c:tx>
          <c:spPr>
            <a:ln w="38100">
              <a:solidFill>
                <a:srgbClr val="FF0000"/>
              </a:solidFill>
              <a:prstDash val="sysDot"/>
            </a:ln>
          </c:spPr>
          <c:marker>
            <c:symbol val="none"/>
          </c:marker>
          <c:dLbls>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delete val="1"/>
              <c:extLst>
                <c:ext xmlns:c15="http://schemas.microsoft.com/office/drawing/2012/chart" uri="{CE6537A1-D6FC-4f65-9D91-7224C49458BB}"/>
              </c:extLst>
            </c:dLbl>
            <c:dLbl>
              <c:idx val="6"/>
              <c:delete val="1"/>
              <c:extLst>
                <c:ext xmlns:c15="http://schemas.microsoft.com/office/drawing/2012/chart" uri="{CE6537A1-D6FC-4f65-9D91-7224C49458BB}"/>
              </c:extLst>
            </c:dLbl>
            <c:spPr>
              <a:noFill/>
              <a:ln>
                <a:noFill/>
              </a:ln>
              <a:effectLst/>
            </c:spPr>
            <c:txPr>
              <a:bodyPr/>
              <a:lstStyle/>
              <a:p>
                <a:pPr>
                  <a:defRPr>
                    <a:solidFill>
                      <a:srgbClr val="FF0000"/>
                    </a:solidFill>
                  </a:defRPr>
                </a:pPr>
                <a:endParaRPr lang="en-US"/>
              </a:p>
            </c:txPr>
            <c:dLblPos val="t"/>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val>
            <c:numRef>
              <c:f>'Charts compliance by entity18'!$R$74:$R$80</c:f>
              <c:numCache>
                <c:formatCode>0.00%</c:formatCode>
                <c:ptCount val="7"/>
                <c:pt idx="0">
                  <c:v>0.92169030732860524</c:v>
                </c:pt>
                <c:pt idx="1">
                  <c:v>0.92169030732860524</c:v>
                </c:pt>
                <c:pt idx="2">
                  <c:v>0.92169030732860524</c:v>
                </c:pt>
                <c:pt idx="3">
                  <c:v>0.92169030732860524</c:v>
                </c:pt>
                <c:pt idx="4">
                  <c:v>0.92169030732860524</c:v>
                </c:pt>
                <c:pt idx="5">
                  <c:v>0.92169030732860524</c:v>
                </c:pt>
                <c:pt idx="6">
                  <c:v>0.92169030732860524</c:v>
                </c:pt>
              </c:numCache>
            </c:numRef>
          </c:val>
          <c:smooth val="0"/>
        </c:ser>
        <c:dLbls>
          <c:showLegendKey val="0"/>
          <c:showVal val="0"/>
          <c:showCatName val="0"/>
          <c:showSerName val="0"/>
          <c:showPercent val="0"/>
          <c:showBubbleSize val="0"/>
        </c:dLbls>
        <c:marker val="1"/>
        <c:smooth val="0"/>
        <c:axId val="36067584"/>
        <c:axId val="36066048"/>
      </c:lineChart>
      <c:catAx>
        <c:axId val="36057856"/>
        <c:scaling>
          <c:orientation val="minMax"/>
        </c:scaling>
        <c:delete val="0"/>
        <c:axPos val="b"/>
        <c:title>
          <c:tx>
            <c:rich>
              <a:bodyPr/>
              <a:lstStyle/>
              <a:p>
                <a:pPr>
                  <a:defRPr b="1"/>
                </a:pPr>
                <a:r>
                  <a:rPr lang="en-AU" b="1"/>
                  <a:t>Entity size</a:t>
                </a:r>
              </a:p>
            </c:rich>
          </c:tx>
          <c:layout>
            <c:manualLayout>
              <c:xMode val="edge"/>
              <c:yMode val="edge"/>
              <c:x val="0.4527189508230115"/>
              <c:y val="0.92990661597109125"/>
            </c:manualLayout>
          </c:layout>
          <c:overlay val="0"/>
        </c:title>
        <c:numFmt formatCode="General" sourceLinked="1"/>
        <c:majorTickMark val="out"/>
        <c:minorTickMark val="none"/>
        <c:tickLblPos val="nextTo"/>
        <c:crossAx val="36059776"/>
        <c:crosses val="autoZero"/>
        <c:auto val="1"/>
        <c:lblAlgn val="ctr"/>
        <c:lblOffset val="100"/>
        <c:noMultiLvlLbl val="0"/>
      </c:catAx>
      <c:valAx>
        <c:axId val="36059776"/>
        <c:scaling>
          <c:orientation val="minMax"/>
          <c:max val="1"/>
        </c:scaling>
        <c:delete val="0"/>
        <c:axPos val="l"/>
        <c:majorGridlines/>
        <c:title>
          <c:tx>
            <c:rich>
              <a:bodyPr rot="-5400000" vert="horz"/>
              <a:lstStyle/>
              <a:p>
                <a:pPr>
                  <a:defRPr b="0"/>
                </a:pPr>
                <a:r>
                  <a:rPr lang="en-US" b="0"/>
                  <a:t>Proportion of PSPF requirements</a:t>
                </a:r>
              </a:p>
            </c:rich>
          </c:tx>
          <c:overlay val="0"/>
        </c:title>
        <c:numFmt formatCode="0%" sourceLinked="0"/>
        <c:majorTickMark val="out"/>
        <c:minorTickMark val="none"/>
        <c:tickLblPos val="nextTo"/>
        <c:crossAx val="36057856"/>
        <c:crosses val="autoZero"/>
        <c:crossBetween val="between"/>
        <c:majorUnit val="0.1"/>
      </c:valAx>
      <c:valAx>
        <c:axId val="36066048"/>
        <c:scaling>
          <c:orientation val="minMax"/>
          <c:max val="1"/>
        </c:scaling>
        <c:delete val="1"/>
        <c:axPos val="r"/>
        <c:numFmt formatCode="0.00%" sourceLinked="1"/>
        <c:majorTickMark val="out"/>
        <c:minorTickMark val="none"/>
        <c:tickLblPos val="nextTo"/>
        <c:crossAx val="36067584"/>
        <c:crosses val="max"/>
        <c:crossBetween val="between"/>
      </c:valAx>
      <c:catAx>
        <c:axId val="36067584"/>
        <c:scaling>
          <c:orientation val="minMax"/>
        </c:scaling>
        <c:delete val="1"/>
        <c:axPos val="b"/>
        <c:majorTickMark val="out"/>
        <c:minorTickMark val="none"/>
        <c:tickLblPos val="nextTo"/>
        <c:crossAx val="36066048"/>
        <c:crosses val="autoZero"/>
        <c:auto val="1"/>
        <c:lblAlgn val="ctr"/>
        <c:lblOffset val="100"/>
        <c:noMultiLvlLbl val="0"/>
      </c:catAx>
    </c:plotArea>
    <c:legend>
      <c:legendPos val="t"/>
      <c:legendEntry>
        <c:idx val="3"/>
        <c:delete val="1"/>
      </c:legendEntry>
      <c:layout>
        <c:manualLayout>
          <c:xMode val="edge"/>
          <c:yMode val="edge"/>
          <c:x val="0"/>
          <c:y val="6.6962077257302785E-2"/>
          <c:w val="0.99801493180501033"/>
          <c:h val="7.1256853321087596E-2"/>
        </c:manualLayout>
      </c:layout>
      <c:overlay val="0"/>
    </c:legend>
    <c:plotVisOnly val="1"/>
    <c:dispBlanksAs val="gap"/>
    <c:showDLblsOverMax val="0"/>
  </c:chart>
  <c:spPr>
    <a:ln>
      <a:noFill/>
    </a:ln>
  </c:sp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Normal.dotm</Template>
  <TotalTime>0</TotalTime>
  <Pages>16</Pages>
  <Words>4704</Words>
  <Characters>26814</Characters>
  <Application>Microsoft Office Word</Application>
  <DocSecurity>0</DocSecurity>
  <Lines>223</Lines>
  <Paragraphs>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31456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PSPF 2017-18 Compliance Report</dc:title>
  <dc:creator/>
  <cp:lastModifiedBy/>
  <cp:revision>1</cp:revision>
  <dcterms:created xsi:type="dcterms:W3CDTF">2019-11-11T22:28:00Z</dcterms:created>
  <dcterms:modified xsi:type="dcterms:W3CDTF">2019-11-11T22:28:00Z</dcterms:modified>
</cp:coreProperties>
</file>