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70A" w:rsidRPr="00B12627" w:rsidRDefault="00D318A0" w:rsidP="00B12627">
      <w:pPr>
        <w:pStyle w:val="Heading1"/>
      </w:pPr>
      <w:bookmarkStart w:id="0" w:name="_Ref513635588"/>
      <w:bookmarkStart w:id="1" w:name="_GoBack"/>
      <w:bookmarkEnd w:id="1"/>
      <w:r>
        <w:t>15 Physical security for entity resources</w:t>
      </w:r>
      <w:bookmarkEnd w:id="0"/>
    </w:p>
    <w:p w:rsidR="007D070A" w:rsidRDefault="00F60BF2" w:rsidP="00B12627">
      <w:pPr>
        <w:pStyle w:val="Heading2"/>
      </w:pPr>
      <w:r>
        <w:t>Purpose</w:t>
      </w:r>
    </w:p>
    <w:p w:rsidR="00D318A0" w:rsidRPr="00BE0C77" w:rsidRDefault="00D318A0" w:rsidP="001D7DF5">
      <w:pPr>
        <w:pStyle w:val="Listbullet1"/>
      </w:pPr>
      <w:r w:rsidRPr="00BE0C77">
        <w:t>This policy describes the physical protections required to safeguard people (consistent with the requirements of the</w:t>
      </w:r>
      <w:r>
        <w:t xml:space="preserve"> </w:t>
      </w:r>
      <w:hyperlink r:id="rId14" w:history="1">
        <w:r w:rsidRPr="00412BA8">
          <w:rPr>
            <w:rStyle w:val="Hyperlink"/>
            <w:i/>
          </w:rPr>
          <w:t>Work Health and Safety Act 2011</w:t>
        </w:r>
      </w:hyperlink>
      <w:r w:rsidR="007D6C5D">
        <w:t>),</w:t>
      </w:r>
      <w:r>
        <w:t xml:space="preserve"> </w:t>
      </w:r>
      <w:r w:rsidRPr="00BE0C77">
        <w:t>information and assets (including ICT equipment) to minimise or remove security risk.</w:t>
      </w:r>
    </w:p>
    <w:p w:rsidR="00A05362" w:rsidRDefault="00F60BF2" w:rsidP="00A05362">
      <w:pPr>
        <w:pStyle w:val="Heading2"/>
      </w:pPr>
      <w:r>
        <w:t>Requirements</w:t>
      </w:r>
    </w:p>
    <w:p w:rsidR="00A05362" w:rsidRDefault="004D0C20" w:rsidP="004D0C20">
      <w:pPr>
        <w:pStyle w:val="Heading3"/>
      </w:pPr>
      <w:bookmarkStart w:id="2" w:name="_Core_requirement"/>
      <w:bookmarkEnd w:id="2"/>
      <w:r>
        <w:t>Core requirement</w:t>
      </w:r>
    </w:p>
    <w:p w:rsidR="007216E6" w:rsidRDefault="00D318A0" w:rsidP="00D318A0">
      <w:pPr>
        <w:pStyle w:val="IntenseQuote"/>
        <w:spacing w:after="120"/>
      </w:pPr>
      <w:r w:rsidRPr="00D318A0">
        <w:t xml:space="preserve">Each entity must implement </w:t>
      </w:r>
      <w:r w:rsidRPr="007216E6">
        <w:t>physical</w:t>
      </w:r>
      <w:r w:rsidRPr="00D318A0">
        <w:t xml:space="preserve"> security measures that minimise or remove the risk of</w:t>
      </w:r>
      <w:r w:rsidR="007216E6">
        <w:t>:</w:t>
      </w:r>
    </w:p>
    <w:p w:rsidR="007216E6" w:rsidRDefault="007216E6" w:rsidP="001B671D">
      <w:pPr>
        <w:pStyle w:val="intensequotenumbered"/>
        <w:numPr>
          <w:ilvl w:val="0"/>
          <w:numId w:val="7"/>
        </w:numPr>
        <w:spacing w:after="120"/>
        <w:ind w:left="1656"/>
      </w:pPr>
      <w:r>
        <w:t xml:space="preserve">harm to people, and </w:t>
      </w:r>
    </w:p>
    <w:p w:rsidR="00AF0947" w:rsidRPr="007216E6" w:rsidRDefault="00F17F69" w:rsidP="001B671D">
      <w:pPr>
        <w:pStyle w:val="intensequotenumbered"/>
        <w:numPr>
          <w:ilvl w:val="0"/>
          <w:numId w:val="7"/>
        </w:numPr>
        <w:spacing w:after="120"/>
        <w:ind w:left="1656"/>
      </w:pPr>
      <w:r>
        <w:t>information and physical asset</w:t>
      </w:r>
      <w:r w:rsidR="007216E6">
        <w:t xml:space="preserve"> </w:t>
      </w:r>
      <w:r w:rsidR="00D318A0" w:rsidRPr="007216E6">
        <w:t>resources being made inoperable or inaccessible, or being accessed, used or removed without appropriate authorisation.</w:t>
      </w:r>
    </w:p>
    <w:p w:rsidR="004D0C20" w:rsidRDefault="004D0C20" w:rsidP="004D0C20">
      <w:pPr>
        <w:pStyle w:val="Heading3"/>
      </w:pPr>
      <w:bookmarkStart w:id="3" w:name="_Supporting_requirements"/>
      <w:bookmarkEnd w:id="3"/>
      <w:r>
        <w:t>Supporting requirements</w:t>
      </w:r>
    </w:p>
    <w:p w:rsidR="004D0C20" w:rsidRPr="007D6C5D" w:rsidRDefault="00D318A0" w:rsidP="001D7DF5">
      <w:pPr>
        <w:pStyle w:val="Listbullet1"/>
      </w:pPr>
      <w:r w:rsidRPr="007D6C5D">
        <w:t>The supporting requirements help entities identify the resources that need protection and the level of physical security measures required to protect resources appropriately.</w:t>
      </w:r>
    </w:p>
    <w:p w:rsidR="00A05362" w:rsidRDefault="00F60BF2" w:rsidP="00FB5CFE">
      <w:pPr>
        <w:pStyle w:val="Caption"/>
      </w:pPr>
      <w:r>
        <w:t xml:space="preserve">Supporting requirements for </w:t>
      </w:r>
      <w:r w:rsidR="00D318A0">
        <w:t>physical security for entity resources</w:t>
      </w:r>
    </w:p>
    <w:tbl>
      <w:tblPr>
        <w:tblStyle w:val="LightShading-Accent4"/>
        <w:tblW w:w="0" w:type="auto"/>
        <w:jc w:val="center"/>
        <w:tblLook w:val="04A0" w:firstRow="1" w:lastRow="0" w:firstColumn="1" w:lastColumn="0" w:noHBand="0" w:noVBand="1"/>
        <w:tblDescription w:val="This table has two columns. Column one identifies the requirement number and name. Column two describes the supporting requirement.&#10;&#10;There are three supporting requirements for physical security for entity resources.&#10;&#10;Requirement 1: Physcial security measures&#10;Entities must put in place appropriate physical security measures to protect entity resources, commensurate with the assessed business impact level of their compromise, loss or damage.&#10;&#10;Requirement 2: Security containers, cabinets and rooms&#10;Entities must assess security risks and select the appropriate containers, cabinets, secure rooms and strong rooms to protect entity information and assets.&#10;&#10;Requirement 3: Disposal&#10;Entities must dispose of physical assets securely."/>
      </w:tblPr>
      <w:tblGrid>
        <w:gridCol w:w="1644"/>
        <w:gridCol w:w="9038"/>
      </w:tblGrid>
      <w:tr w:rsidR="00FF1BD3" w:rsidTr="00D318A0">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44" w:type="dxa"/>
          </w:tcPr>
          <w:p w:rsidR="00FF1BD3" w:rsidRPr="00AF0947" w:rsidRDefault="005F46FF" w:rsidP="00F60BF2">
            <w:pPr>
              <w:spacing w:after="0"/>
              <w:rPr>
                <w:rStyle w:val="Strong"/>
                <w:b/>
              </w:rPr>
            </w:pPr>
            <w:r>
              <w:rPr>
                <w:rStyle w:val="Strong"/>
                <w:b/>
              </w:rPr>
              <w:t>#</w:t>
            </w:r>
          </w:p>
        </w:tc>
        <w:tc>
          <w:tcPr>
            <w:tcW w:w="9038" w:type="dxa"/>
          </w:tcPr>
          <w:p w:rsidR="00FF1BD3" w:rsidRPr="00F60BF2" w:rsidRDefault="005F46FF" w:rsidP="00F60BF2">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requirements</w:t>
            </w:r>
          </w:p>
        </w:tc>
      </w:tr>
      <w:tr w:rsidR="00FF1BD3" w:rsidTr="00D318A0">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44" w:type="dxa"/>
          </w:tcPr>
          <w:p w:rsidR="00F60BF2" w:rsidRPr="00D318A0" w:rsidRDefault="00F60BF2" w:rsidP="00F60BF2">
            <w:pPr>
              <w:spacing w:after="0"/>
              <w:rPr>
                <w:rStyle w:val="Strong"/>
                <w:b/>
              </w:rPr>
            </w:pPr>
            <w:r w:rsidRPr="00D318A0">
              <w:rPr>
                <w:rStyle w:val="Strong"/>
                <w:b/>
              </w:rPr>
              <w:t xml:space="preserve">Requirement </w:t>
            </w:r>
            <w:r w:rsidRPr="00D318A0">
              <w:rPr>
                <w:rStyle w:val="Strong"/>
              </w:rPr>
              <w:fldChar w:fldCharType="begin"/>
            </w:r>
            <w:r w:rsidRPr="00D318A0">
              <w:rPr>
                <w:rStyle w:val="Strong"/>
                <w:b/>
              </w:rPr>
              <w:instrText xml:space="preserve"> AUTONUM  \* Arabic </w:instrText>
            </w:r>
            <w:r w:rsidRPr="00D318A0">
              <w:rPr>
                <w:rStyle w:val="Strong"/>
              </w:rPr>
              <w:fldChar w:fldCharType="end"/>
            </w:r>
          </w:p>
          <w:p w:rsidR="00FF1BD3" w:rsidRPr="00D318A0" w:rsidRDefault="00D318A0" w:rsidP="00F60BF2">
            <w:pPr>
              <w:spacing w:after="0"/>
              <w:rPr>
                <w:rStyle w:val="Strong"/>
                <w:b/>
              </w:rPr>
            </w:pPr>
            <w:r w:rsidRPr="00D318A0">
              <w:rPr>
                <w:rStyle w:val="Strong"/>
                <w:b/>
              </w:rPr>
              <w:t>Physical security measures</w:t>
            </w:r>
          </w:p>
        </w:tc>
        <w:tc>
          <w:tcPr>
            <w:tcW w:w="9038" w:type="dxa"/>
          </w:tcPr>
          <w:p w:rsidR="00D318A0" w:rsidRPr="0068552B" w:rsidRDefault="00D318A0" w:rsidP="000E2A27">
            <w:pPr>
              <w:pStyle w:val="Tablebody"/>
              <w:cnfStyle w:val="000000100000" w:firstRow="0" w:lastRow="0" w:firstColumn="0" w:lastColumn="0" w:oddVBand="0" w:evenVBand="0" w:oddHBand="1" w:evenHBand="0" w:firstRowFirstColumn="0" w:firstRowLastColumn="0" w:lastRowFirstColumn="0" w:lastRowLastColumn="0"/>
            </w:pPr>
            <w:r w:rsidRPr="00D318A0">
              <w:rPr>
                <w:bCs w:val="0"/>
              </w:rPr>
              <w:t xml:space="preserve">Entities </w:t>
            </w:r>
            <w:r w:rsidRPr="00D318A0">
              <w:rPr>
                <w:b/>
                <w:bCs w:val="0"/>
              </w:rPr>
              <w:t>must</w:t>
            </w:r>
            <w:r w:rsidRPr="00D318A0">
              <w:rPr>
                <w:bCs w:val="0"/>
              </w:rPr>
              <w:t xml:space="preserve"> put in place appropriate physical security measures to protect entity resources, commensurate with the assessed business impact level of their compromise,</w:t>
            </w:r>
            <w:r w:rsidR="000E2A27">
              <w:rPr>
                <w:bCs w:val="0"/>
                <w:vertAlign w:val="superscript"/>
              </w:rPr>
              <w:t xml:space="preserve"> Note </w:t>
            </w:r>
            <w:r w:rsidR="000E2A27">
              <w:rPr>
                <w:rStyle w:val="EndnoteReference"/>
                <w:bCs w:val="0"/>
              </w:rPr>
              <w:endnoteReference w:id="1"/>
            </w:r>
            <w:r w:rsidRPr="00D318A0">
              <w:rPr>
                <w:bCs w:val="0"/>
              </w:rPr>
              <w:t xml:space="preserve"> loss or damage. </w:t>
            </w:r>
          </w:p>
        </w:tc>
      </w:tr>
      <w:tr w:rsidR="00A742F1" w:rsidTr="00D318A0">
        <w:trPr>
          <w:cantSplit/>
          <w:jc w:val="center"/>
        </w:trPr>
        <w:tc>
          <w:tcPr>
            <w:cnfStyle w:val="001000000000" w:firstRow="0" w:lastRow="0" w:firstColumn="1" w:lastColumn="0" w:oddVBand="0" w:evenVBand="0" w:oddHBand="0" w:evenHBand="0" w:firstRowFirstColumn="0" w:firstRowLastColumn="0" w:lastRowFirstColumn="0" w:lastRowLastColumn="0"/>
            <w:tcW w:w="1644" w:type="dxa"/>
          </w:tcPr>
          <w:p w:rsidR="00F60BF2" w:rsidRPr="00D318A0" w:rsidRDefault="00F60BF2" w:rsidP="00F60BF2">
            <w:pPr>
              <w:spacing w:after="0"/>
              <w:rPr>
                <w:rStyle w:val="Strong"/>
                <w:b/>
              </w:rPr>
            </w:pPr>
            <w:r w:rsidRPr="00D318A0">
              <w:rPr>
                <w:rStyle w:val="Strong"/>
                <w:b/>
              </w:rPr>
              <w:t xml:space="preserve">Requirement </w:t>
            </w:r>
            <w:r w:rsidRPr="00D318A0">
              <w:rPr>
                <w:rStyle w:val="Strong"/>
              </w:rPr>
              <w:fldChar w:fldCharType="begin"/>
            </w:r>
            <w:r w:rsidRPr="00D318A0">
              <w:rPr>
                <w:rStyle w:val="Strong"/>
                <w:b/>
              </w:rPr>
              <w:instrText xml:space="preserve"> AUTONUM  \* Arabic </w:instrText>
            </w:r>
            <w:r w:rsidRPr="00D318A0">
              <w:rPr>
                <w:rStyle w:val="Strong"/>
              </w:rPr>
              <w:fldChar w:fldCharType="end"/>
            </w:r>
          </w:p>
          <w:p w:rsidR="00A742F1" w:rsidRPr="00D318A0" w:rsidRDefault="00D318A0" w:rsidP="00B92107">
            <w:pPr>
              <w:spacing w:after="0"/>
              <w:rPr>
                <w:rStyle w:val="Strong"/>
                <w:b/>
              </w:rPr>
            </w:pPr>
            <w:r w:rsidRPr="00D318A0">
              <w:rPr>
                <w:rStyle w:val="Strong"/>
                <w:b/>
              </w:rPr>
              <w:t>Security containers</w:t>
            </w:r>
            <w:r w:rsidR="00B92107">
              <w:rPr>
                <w:rStyle w:val="Strong"/>
                <w:b/>
              </w:rPr>
              <w:t>,</w:t>
            </w:r>
            <w:r w:rsidRPr="00D318A0">
              <w:rPr>
                <w:rStyle w:val="Strong"/>
                <w:b/>
              </w:rPr>
              <w:t xml:space="preserve"> cabinets</w:t>
            </w:r>
            <w:r w:rsidR="00B92107">
              <w:rPr>
                <w:rStyle w:val="Strong"/>
                <w:b/>
              </w:rPr>
              <w:t xml:space="preserve"> and rooms</w:t>
            </w:r>
          </w:p>
        </w:tc>
        <w:tc>
          <w:tcPr>
            <w:tcW w:w="9038" w:type="dxa"/>
          </w:tcPr>
          <w:p w:rsidR="00A742F1" w:rsidRPr="0068552B" w:rsidRDefault="00D318A0" w:rsidP="00B92107">
            <w:pPr>
              <w:pStyle w:val="Tablebody"/>
              <w:cnfStyle w:val="000000000000" w:firstRow="0" w:lastRow="0" w:firstColumn="0" w:lastColumn="0" w:oddVBand="0" w:evenVBand="0" w:oddHBand="0" w:evenHBand="0" w:firstRowFirstColumn="0" w:firstRowLastColumn="0" w:lastRowFirstColumn="0" w:lastRowLastColumn="0"/>
            </w:pPr>
            <w:r w:rsidRPr="00D318A0">
              <w:t xml:space="preserve">Entities </w:t>
            </w:r>
            <w:r w:rsidRPr="00D318A0">
              <w:rPr>
                <w:b/>
              </w:rPr>
              <w:t>must</w:t>
            </w:r>
            <w:r w:rsidRPr="00D318A0">
              <w:t xml:space="preserve"> assess security risks and select the appropriate containers</w:t>
            </w:r>
            <w:r w:rsidR="00B92107">
              <w:t>,</w:t>
            </w:r>
            <w:r w:rsidRPr="00D318A0">
              <w:t xml:space="preserve"> cabinets</w:t>
            </w:r>
            <w:r w:rsidR="00B92107">
              <w:t xml:space="preserve">, secure rooms and strong rooms </w:t>
            </w:r>
            <w:r w:rsidRPr="00D318A0">
              <w:t>to protect entity information and assets.</w:t>
            </w:r>
          </w:p>
        </w:tc>
      </w:tr>
      <w:tr w:rsidR="00F60BF2" w:rsidTr="00D318A0">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44" w:type="dxa"/>
          </w:tcPr>
          <w:p w:rsidR="00F60BF2" w:rsidRPr="00D318A0" w:rsidRDefault="00F60BF2" w:rsidP="004E53E1">
            <w:pPr>
              <w:spacing w:after="0"/>
              <w:rPr>
                <w:rStyle w:val="Strong"/>
                <w:b/>
              </w:rPr>
            </w:pPr>
            <w:r w:rsidRPr="00D318A0">
              <w:rPr>
                <w:rStyle w:val="Strong"/>
                <w:b/>
              </w:rPr>
              <w:t xml:space="preserve">Requirement </w:t>
            </w:r>
            <w:r w:rsidRPr="00D318A0">
              <w:rPr>
                <w:rStyle w:val="Strong"/>
              </w:rPr>
              <w:fldChar w:fldCharType="begin"/>
            </w:r>
            <w:r w:rsidRPr="00D318A0">
              <w:rPr>
                <w:rStyle w:val="Strong"/>
                <w:b/>
              </w:rPr>
              <w:instrText xml:space="preserve"> AUTONUM  \* Arabic </w:instrText>
            </w:r>
            <w:r w:rsidRPr="00D318A0">
              <w:rPr>
                <w:rStyle w:val="Strong"/>
              </w:rPr>
              <w:fldChar w:fldCharType="end"/>
            </w:r>
          </w:p>
          <w:p w:rsidR="00F60BF2" w:rsidRPr="00D318A0" w:rsidRDefault="00D318A0" w:rsidP="00F60BF2">
            <w:pPr>
              <w:spacing w:after="0"/>
              <w:rPr>
                <w:rStyle w:val="Strong"/>
                <w:b/>
              </w:rPr>
            </w:pPr>
            <w:r w:rsidRPr="00D318A0">
              <w:rPr>
                <w:rStyle w:val="Strong"/>
                <w:b/>
              </w:rPr>
              <w:t>Disposal</w:t>
            </w:r>
          </w:p>
        </w:tc>
        <w:tc>
          <w:tcPr>
            <w:tcW w:w="9038" w:type="dxa"/>
          </w:tcPr>
          <w:p w:rsidR="00F60BF2" w:rsidRPr="0068552B" w:rsidRDefault="00D318A0" w:rsidP="00D318A0">
            <w:pPr>
              <w:pStyle w:val="Tablebody"/>
              <w:cnfStyle w:val="000000100000" w:firstRow="0" w:lastRow="0" w:firstColumn="0" w:lastColumn="0" w:oddVBand="0" w:evenVBand="0" w:oddHBand="1" w:evenHBand="0" w:firstRowFirstColumn="0" w:firstRowLastColumn="0" w:lastRowFirstColumn="0" w:lastRowLastColumn="0"/>
            </w:pPr>
            <w:r w:rsidRPr="00D318A0">
              <w:t xml:space="preserve">Entities </w:t>
            </w:r>
            <w:r w:rsidRPr="00D318A0">
              <w:rPr>
                <w:b/>
              </w:rPr>
              <w:t>must</w:t>
            </w:r>
            <w:r w:rsidRPr="00D318A0">
              <w:t xml:space="preserve"> dispose of physical assets securely.</w:t>
            </w:r>
          </w:p>
        </w:tc>
      </w:tr>
    </w:tbl>
    <w:p w:rsidR="000E2A27" w:rsidRDefault="000E2A27" w:rsidP="000E2A27">
      <w:pPr>
        <w:pStyle w:val="Tablenotes"/>
        <w:sectPr w:rsidR="000E2A27" w:rsidSect="00FE1482">
          <w:headerReference w:type="default" r:id="rId15"/>
          <w:footerReference w:type="default" r:id="rId16"/>
          <w:headerReference w:type="first" r:id="rId17"/>
          <w:footerReference w:type="first" r:id="rId18"/>
          <w:type w:val="continuous"/>
          <w:pgSz w:w="11906" w:h="16838"/>
          <w:pgMar w:top="822" w:right="720" w:bottom="720" w:left="720" w:header="0" w:footer="0" w:gutter="0"/>
          <w:cols w:space="708"/>
          <w:titlePg/>
          <w:docGrid w:linePitch="360"/>
        </w:sectPr>
      </w:pPr>
      <w:r>
        <w:t>Supporting requirements notes:</w:t>
      </w:r>
    </w:p>
    <w:p w:rsidR="00B95357" w:rsidRDefault="00E127AD" w:rsidP="00B95357">
      <w:pPr>
        <w:pStyle w:val="Heading2"/>
      </w:pPr>
      <w:r>
        <w:t>Guidance</w:t>
      </w:r>
    </w:p>
    <w:p w:rsidR="007D070A" w:rsidRPr="00116E26" w:rsidRDefault="00D318A0" w:rsidP="00116E26">
      <w:pPr>
        <w:pStyle w:val="Heading3"/>
      </w:pPr>
      <w:r>
        <w:t>Identifying resources</w:t>
      </w:r>
    </w:p>
    <w:p w:rsidR="00D318A0" w:rsidRPr="0026546C" w:rsidRDefault="00D318A0" w:rsidP="001D7DF5">
      <w:pPr>
        <w:pStyle w:val="Listbullet1"/>
      </w:pPr>
      <w:r>
        <w:t>‘Resources’ is the collective term for people, information and assets that entiti</w:t>
      </w:r>
      <w:r w:rsidR="006C0917">
        <w:t xml:space="preserve">es use in their operations. </w:t>
      </w:r>
      <w:r w:rsidRPr="00D318A0">
        <w:t>PSPF policy:</w:t>
      </w:r>
      <w:r w:rsidRPr="00D318A0" w:rsidDel="000742AF">
        <w:t xml:space="preserve"> </w:t>
      </w:r>
      <w:hyperlink r:id="rId19" w:history="1">
        <w:r w:rsidR="0095477F">
          <w:rPr>
            <w:rStyle w:val="Hyperlink"/>
          </w:rPr>
          <w:t>Security planning and risk management</w:t>
        </w:r>
      </w:hyperlink>
      <w:r>
        <w:rPr>
          <w:color w:val="1F497D"/>
        </w:rPr>
        <w:t xml:space="preserve"> </w:t>
      </w:r>
      <w:r>
        <w:rPr>
          <w:szCs w:val="18"/>
        </w:rPr>
        <w:t>requires</w:t>
      </w:r>
      <w:r w:rsidRPr="00DA0FAC">
        <w:rPr>
          <w:szCs w:val="18"/>
        </w:rPr>
        <w:t xml:space="preserve"> entities</w:t>
      </w:r>
      <w:r>
        <w:rPr>
          <w:szCs w:val="18"/>
        </w:rPr>
        <w:t xml:space="preserve"> to</w:t>
      </w:r>
      <w:r w:rsidRPr="00DA0FAC">
        <w:rPr>
          <w:szCs w:val="18"/>
        </w:rPr>
        <w:t xml:space="preserve"> identify the people, information and assets </w:t>
      </w:r>
      <w:r>
        <w:rPr>
          <w:szCs w:val="18"/>
        </w:rPr>
        <w:t xml:space="preserve">that are </w:t>
      </w:r>
      <w:r w:rsidRPr="00DA0FAC">
        <w:rPr>
          <w:szCs w:val="18"/>
        </w:rPr>
        <w:t>critical to the ongoing operation</w:t>
      </w:r>
      <w:r>
        <w:t xml:space="preserve"> of the entity and the national interest and apply appropriate protections to support </w:t>
      </w:r>
      <w:r w:rsidRPr="000742AF">
        <w:t xml:space="preserve">core </w:t>
      </w:r>
      <w:r>
        <w:t xml:space="preserve">government </w:t>
      </w:r>
      <w:r w:rsidRPr="000742AF">
        <w:t>busines</w:t>
      </w:r>
      <w:r>
        <w:t>s.</w:t>
      </w:r>
    </w:p>
    <w:p w:rsidR="00D318A0" w:rsidRPr="00AA73A5" w:rsidRDefault="00D318A0" w:rsidP="00D318A0">
      <w:pPr>
        <w:pStyle w:val="Heading4"/>
      </w:pPr>
      <w:r w:rsidRPr="009E08A9">
        <w:lastRenderedPageBreak/>
        <w:t>People</w:t>
      </w:r>
    </w:p>
    <w:p w:rsidR="00D318A0" w:rsidRDefault="00D318A0" w:rsidP="001D7DF5">
      <w:pPr>
        <w:pStyle w:val="Listbullet1"/>
      </w:pPr>
      <w:r w:rsidRPr="00E82968">
        <w:t xml:space="preserve">An </w:t>
      </w:r>
      <w:r w:rsidRPr="00561E99">
        <w:rPr>
          <w:rFonts w:cstheme="minorHAnsi"/>
          <w:szCs w:val="20"/>
        </w:rPr>
        <w:t>entity’s</w:t>
      </w:r>
      <w:r w:rsidRPr="00E82968">
        <w:t xml:space="preserve"> personnel, including contractors, are central to its </w:t>
      </w:r>
      <w:r>
        <w:t>operations,</w:t>
      </w:r>
      <w:r w:rsidRPr="00E82968">
        <w:t xml:space="preserve"> and require protection. The WHS Act</w:t>
      </w:r>
      <w:r>
        <w:t xml:space="preserve"> </w:t>
      </w:r>
      <w:r w:rsidRPr="00E82968">
        <w:t xml:space="preserve">provides </w:t>
      </w:r>
      <w:r>
        <w:t>the</w:t>
      </w:r>
      <w:r w:rsidRPr="00E82968">
        <w:t xml:space="preserve"> framework to </w:t>
      </w:r>
      <w:r>
        <w:t>safeguard</w:t>
      </w:r>
      <w:r w:rsidRPr="00E82968">
        <w:t xml:space="preserve"> the health and safety of workers and workplaces. </w:t>
      </w:r>
    </w:p>
    <w:p w:rsidR="00D318A0" w:rsidRDefault="00D318A0" w:rsidP="001D7DF5">
      <w:pPr>
        <w:pStyle w:val="Listbullet1"/>
      </w:pPr>
      <w:r w:rsidRPr="00561E99">
        <w:rPr>
          <w:rFonts w:cstheme="minorHAnsi"/>
          <w:szCs w:val="20"/>
        </w:rPr>
        <w:t>Protective</w:t>
      </w:r>
      <w:r w:rsidRPr="003F3F2C">
        <w:t xml:space="preserve"> security </w:t>
      </w:r>
      <w:r>
        <w:t xml:space="preserve">elements of the </w:t>
      </w:r>
      <w:hyperlink r:id="rId20" w:history="1">
        <w:r w:rsidRPr="00D318A0">
          <w:rPr>
            <w:rStyle w:val="Hyperlink"/>
          </w:rPr>
          <w:t>WHS Act</w:t>
        </w:r>
      </w:hyperlink>
      <w:r>
        <w:t xml:space="preserve"> framework and other appropriate legislative frameworks </w:t>
      </w:r>
      <w:r w:rsidRPr="003F3F2C">
        <w:t>include:</w:t>
      </w:r>
    </w:p>
    <w:p w:rsidR="00920EB6" w:rsidRDefault="00D318A0" w:rsidP="00521E37">
      <w:pPr>
        <w:pStyle w:val="ListBullet2"/>
        <w:numPr>
          <w:ilvl w:val="0"/>
          <w:numId w:val="15"/>
        </w:numPr>
      </w:pPr>
      <w:r w:rsidRPr="007D6C5D">
        <w:t>identifying, protecting and supporting employees under threat of violence, based on a threat and risk as</w:t>
      </w:r>
      <w:r w:rsidR="007D6C5D">
        <w:t>sessment of specific situations</w:t>
      </w:r>
    </w:p>
    <w:p w:rsidR="00920EB6" w:rsidRDefault="00D318A0" w:rsidP="00521E37">
      <w:pPr>
        <w:pStyle w:val="ListBullet2"/>
        <w:numPr>
          <w:ilvl w:val="0"/>
          <w:numId w:val="15"/>
        </w:numPr>
      </w:pPr>
      <w:r w:rsidRPr="007D6C5D">
        <w:t>reporting incidents to management, human resources, security and law enforcement authorities, is encouraged as appropriate</w:t>
      </w:r>
    </w:p>
    <w:p w:rsidR="00920EB6" w:rsidRDefault="00D318A0" w:rsidP="00521E37">
      <w:pPr>
        <w:pStyle w:val="ListBullet2"/>
        <w:numPr>
          <w:ilvl w:val="0"/>
          <w:numId w:val="15"/>
        </w:numPr>
      </w:pPr>
      <w:r w:rsidRPr="007D6C5D">
        <w:t>providing information, traini</w:t>
      </w:r>
      <w:r w:rsidR="00920EB6">
        <w:t>ng and counselling to employees</w:t>
      </w:r>
    </w:p>
    <w:p w:rsidR="00D318A0" w:rsidRPr="007D6C5D" w:rsidRDefault="00D318A0" w:rsidP="00521E37">
      <w:pPr>
        <w:pStyle w:val="ListBullet2"/>
        <w:numPr>
          <w:ilvl w:val="0"/>
          <w:numId w:val="15"/>
        </w:numPr>
      </w:pPr>
      <w:r w:rsidRPr="007D6C5D">
        <w:t>maintaining thorough records and statements on reported incidents.</w:t>
      </w:r>
    </w:p>
    <w:p w:rsidR="00D318A0" w:rsidRPr="003F3F2C" w:rsidRDefault="00D318A0" w:rsidP="001D7DF5">
      <w:pPr>
        <w:pStyle w:val="Listbullet1"/>
      </w:pPr>
      <w:r w:rsidRPr="003F3F2C">
        <w:t xml:space="preserve">To </w:t>
      </w:r>
      <w:r w:rsidRPr="00561E99">
        <w:rPr>
          <w:rFonts w:cstheme="minorHAnsi"/>
          <w:szCs w:val="20"/>
        </w:rPr>
        <w:t>support</w:t>
      </w:r>
      <w:r w:rsidRPr="003F3F2C">
        <w:t xml:space="preserve"> compliance with the </w:t>
      </w:r>
      <w:hyperlink r:id="rId21" w:history="1">
        <w:r w:rsidRPr="00D318A0">
          <w:rPr>
            <w:rStyle w:val="Hyperlink"/>
          </w:rPr>
          <w:t>WHS Act</w:t>
        </w:r>
      </w:hyperlink>
      <w:r>
        <w:t>,</w:t>
      </w:r>
      <w:r w:rsidRPr="003F3F2C">
        <w:t xml:space="preserve"> </w:t>
      </w:r>
      <w:r>
        <w:t>the Attorney-General’s Department recommends entities</w:t>
      </w:r>
      <w:r w:rsidRPr="003F3F2C">
        <w:t xml:space="preserve"> implement appropriate </w:t>
      </w:r>
      <w:r>
        <w:t xml:space="preserve">physical </w:t>
      </w:r>
      <w:r w:rsidRPr="003F3F2C">
        <w:t>security measures</w:t>
      </w:r>
      <w:r>
        <w:t xml:space="preserve"> </w:t>
      </w:r>
      <w:r w:rsidRPr="003F3F2C">
        <w:t xml:space="preserve">to ensure the personal security of </w:t>
      </w:r>
      <w:r>
        <w:t>their</w:t>
      </w:r>
      <w:r w:rsidRPr="003F3F2C">
        <w:t xml:space="preserve"> personnel</w:t>
      </w:r>
      <w:r>
        <w:t>,</w:t>
      </w:r>
      <w:r w:rsidRPr="003F3F2C">
        <w:t xml:space="preserve"> </w:t>
      </w:r>
      <w:r>
        <w:t>while</w:t>
      </w:r>
      <w:r w:rsidRPr="003F3F2C">
        <w:t xml:space="preserve"> </w:t>
      </w:r>
      <w:r>
        <w:t xml:space="preserve">working </w:t>
      </w:r>
      <w:r w:rsidRPr="003F3F2C">
        <w:t>in the office and away from the office.</w:t>
      </w:r>
      <w:r>
        <w:t xml:space="preserve"> Refer to PSPF policy: </w:t>
      </w:r>
      <w:hyperlink r:id="rId22" w:history="1">
        <w:r>
          <w:rPr>
            <w:rStyle w:val="Hyperlink"/>
          </w:rPr>
          <w:t>Entity facilities</w:t>
        </w:r>
      </w:hyperlink>
      <w:r>
        <w:t>.</w:t>
      </w:r>
    </w:p>
    <w:p w:rsidR="00D318A0" w:rsidRDefault="00D318A0" w:rsidP="00D318A0">
      <w:pPr>
        <w:pStyle w:val="Heading4"/>
      </w:pPr>
      <w:r>
        <w:t>Information</w:t>
      </w:r>
    </w:p>
    <w:p w:rsidR="00D318A0" w:rsidRPr="007E0237" w:rsidRDefault="00D318A0" w:rsidP="001D7DF5">
      <w:pPr>
        <w:pStyle w:val="Listbullet1"/>
      </w:pPr>
      <w:r w:rsidRPr="00561E99">
        <w:rPr>
          <w:rFonts w:cstheme="minorHAnsi"/>
          <w:szCs w:val="20"/>
        </w:rPr>
        <w:t>Information</w:t>
      </w:r>
      <w:r w:rsidRPr="009124E6">
        <w:t xml:space="preserve"> is a</w:t>
      </w:r>
      <w:r>
        <w:t xml:space="preserve"> valuable resource</w:t>
      </w:r>
      <w:r w:rsidRPr="009124E6">
        <w:t xml:space="preserve"> </w:t>
      </w:r>
      <w:r>
        <w:t>and</w:t>
      </w:r>
      <w:r w:rsidRPr="009124E6">
        <w:t xml:space="preserve"> requir</w:t>
      </w:r>
      <w:r w:rsidR="006C0917">
        <w:t xml:space="preserve">es protection. </w:t>
      </w:r>
      <w:r>
        <w:t xml:space="preserve">PSPF policy: </w:t>
      </w:r>
      <w:hyperlink r:id="rId23" w:history="1">
        <w:r w:rsidR="0095477F">
          <w:rPr>
            <w:rStyle w:val="Hyperlink"/>
          </w:rPr>
          <w:t>Sensitive and classified information</w:t>
        </w:r>
      </w:hyperlink>
      <w:r w:rsidRPr="009124E6">
        <w:t xml:space="preserve"> details policy and guidance </w:t>
      </w:r>
      <w:r>
        <w:t xml:space="preserve">on classification and handling arrangements </w:t>
      </w:r>
      <w:r w:rsidRPr="009124E6">
        <w:t>for protecting information</w:t>
      </w:r>
      <w:r>
        <w:t xml:space="preserve"> resources</w:t>
      </w:r>
      <w:r w:rsidRPr="009124E6">
        <w:t>.</w:t>
      </w:r>
    </w:p>
    <w:p w:rsidR="00D318A0" w:rsidRPr="006C321C" w:rsidRDefault="00D318A0" w:rsidP="00D318A0">
      <w:pPr>
        <w:pStyle w:val="Heading4"/>
      </w:pPr>
      <w:bookmarkStart w:id="4" w:name="_C.2.3_Physical_assets"/>
      <w:bookmarkStart w:id="5" w:name="_Physical_assets"/>
      <w:bookmarkEnd w:id="4"/>
      <w:bookmarkEnd w:id="5"/>
      <w:r w:rsidRPr="006C321C">
        <w:t>Physical assets</w:t>
      </w:r>
    </w:p>
    <w:p w:rsidR="00D318A0" w:rsidRDefault="00D318A0" w:rsidP="001D7DF5">
      <w:pPr>
        <w:pStyle w:val="Listbullet1"/>
      </w:pPr>
      <w:r w:rsidRPr="00693835">
        <w:t xml:space="preserve">Physical assets are tangible items </w:t>
      </w:r>
      <w:r>
        <w:t>that are valuable</w:t>
      </w:r>
      <w:r w:rsidRPr="00693835">
        <w:t xml:space="preserve"> to an entity and require protection.</w:t>
      </w:r>
      <w:r>
        <w:t xml:space="preserve"> This protection includes ensuring their continued operability and accessibility, as appropriate, and preventing any unauthorised access, use or removal.</w:t>
      </w:r>
      <w:r w:rsidRPr="00693835">
        <w:t xml:space="preserve"> </w:t>
      </w:r>
    </w:p>
    <w:p w:rsidR="00D318A0" w:rsidRDefault="00D318A0" w:rsidP="001D7DF5">
      <w:pPr>
        <w:pStyle w:val="Listbullet1"/>
      </w:pPr>
      <w:r>
        <w:t xml:space="preserve">Physical assets </w:t>
      </w:r>
      <w:r w:rsidRPr="00693835">
        <w:t xml:space="preserve">can be categorised </w:t>
      </w:r>
      <w:r>
        <w:t>as follows:</w:t>
      </w:r>
    </w:p>
    <w:p w:rsidR="00D318A0" w:rsidRPr="007D6C5D" w:rsidRDefault="00D318A0" w:rsidP="00521E37">
      <w:pPr>
        <w:pStyle w:val="ListBullet2"/>
        <w:numPr>
          <w:ilvl w:val="0"/>
          <w:numId w:val="21"/>
        </w:numPr>
      </w:pPr>
      <w:r w:rsidRPr="007D6C5D">
        <w:t>Valuable</w:t>
      </w:r>
      <w:r w:rsidR="007D6C5D">
        <w:t xml:space="preserve"> - </w:t>
      </w:r>
      <w:r w:rsidRPr="007D6C5D">
        <w:t>the asset’s monetary value</w:t>
      </w:r>
    </w:p>
    <w:p w:rsidR="00D318A0" w:rsidRPr="007D6C5D" w:rsidRDefault="00D318A0" w:rsidP="00521E37">
      <w:pPr>
        <w:pStyle w:val="ListBullet2"/>
        <w:numPr>
          <w:ilvl w:val="0"/>
          <w:numId w:val="21"/>
        </w:numPr>
      </w:pPr>
      <w:r w:rsidRPr="007D6C5D">
        <w:t>Classified</w:t>
      </w:r>
      <w:r w:rsidR="007D6C5D">
        <w:t xml:space="preserve"> - </w:t>
      </w:r>
      <w:r w:rsidRPr="007D6C5D">
        <w:t>the asset is classified in its own right or is classified due to the confidentiality requirements of the information held on the asset, for example ICT equipment</w:t>
      </w:r>
    </w:p>
    <w:p w:rsidR="00D318A0" w:rsidRPr="007D6C5D" w:rsidRDefault="00D318A0" w:rsidP="00521E37">
      <w:pPr>
        <w:pStyle w:val="ListBullet2"/>
        <w:numPr>
          <w:ilvl w:val="0"/>
          <w:numId w:val="21"/>
        </w:numPr>
      </w:pPr>
      <w:r w:rsidRPr="007D6C5D">
        <w:t>Important</w:t>
      </w:r>
      <w:r w:rsidR="007D6C5D">
        <w:t xml:space="preserve"> - </w:t>
      </w:r>
      <w:r w:rsidRPr="007D6C5D">
        <w:t>the significance of the asset’s integrity or availability for the entity’s operations</w:t>
      </w:r>
    </w:p>
    <w:p w:rsidR="00D318A0" w:rsidRPr="007D6C5D" w:rsidRDefault="00D318A0" w:rsidP="00521E37">
      <w:pPr>
        <w:pStyle w:val="ListBullet2"/>
        <w:numPr>
          <w:ilvl w:val="0"/>
          <w:numId w:val="21"/>
        </w:numPr>
      </w:pPr>
      <w:r w:rsidRPr="007D6C5D">
        <w:t>Attractive</w:t>
      </w:r>
      <w:r w:rsidR="007D6C5D">
        <w:t xml:space="preserve"> - </w:t>
      </w:r>
      <w:r w:rsidRPr="007D6C5D">
        <w:t xml:space="preserve">the asset is not necessarily valuable but is desired, for example an </w:t>
      </w:r>
      <w:r w:rsidR="00DE0F69" w:rsidRPr="007D6C5D">
        <w:t>i</w:t>
      </w:r>
      <w:r w:rsidRPr="007D6C5D">
        <w:t>Pad</w:t>
      </w:r>
    </w:p>
    <w:p w:rsidR="00D318A0" w:rsidRPr="007D6C5D" w:rsidRDefault="00D318A0" w:rsidP="00521E37">
      <w:pPr>
        <w:pStyle w:val="ListBullet2"/>
        <w:numPr>
          <w:ilvl w:val="0"/>
          <w:numId w:val="21"/>
        </w:numPr>
      </w:pPr>
      <w:r w:rsidRPr="007D6C5D">
        <w:t>Significant</w:t>
      </w:r>
      <w:r w:rsidR="007D6C5D">
        <w:t xml:space="preserve"> - </w:t>
      </w:r>
      <w:r w:rsidRPr="007D6C5D">
        <w:t>the asset has cultural or national significance, regardless of monetary value</w:t>
      </w:r>
    </w:p>
    <w:p w:rsidR="00D318A0" w:rsidRPr="007D6C5D" w:rsidRDefault="00D318A0" w:rsidP="00521E37">
      <w:pPr>
        <w:pStyle w:val="ListBullet2"/>
        <w:numPr>
          <w:ilvl w:val="0"/>
          <w:numId w:val="21"/>
        </w:numPr>
      </w:pPr>
      <w:r w:rsidRPr="007D6C5D">
        <w:t>Dangerous</w:t>
      </w:r>
      <w:r w:rsidR="007D6C5D">
        <w:t xml:space="preserve"> - </w:t>
      </w:r>
      <w:r w:rsidRPr="007D6C5D">
        <w:t>the asset’s likelihood to inflict harm, for example weapons or chemical, biological, radiological and nuclear hazards</w:t>
      </w:r>
      <w:r w:rsidR="007D6C5D">
        <w:t>.</w:t>
      </w:r>
    </w:p>
    <w:p w:rsidR="00D318A0" w:rsidRPr="00C727F4" w:rsidRDefault="00D318A0" w:rsidP="001D7DF5">
      <w:pPr>
        <w:pStyle w:val="Listbullet1"/>
      </w:pPr>
      <w:r>
        <w:t xml:space="preserve">The protections required for, and that can effectively be applied to, different physical assets will be affected by the category of asset and the </w:t>
      </w:r>
      <w:r w:rsidRPr="00372DDC">
        <w:t xml:space="preserve">business </w:t>
      </w:r>
      <w:r>
        <w:t>impact level of the</w:t>
      </w:r>
      <w:r w:rsidRPr="00CE04B6">
        <w:t xml:space="preserve"> compromise, loss</w:t>
      </w:r>
      <w:r>
        <w:t xml:space="preserve"> or damage of the asset, as described below.</w:t>
      </w:r>
    </w:p>
    <w:p w:rsidR="00A01E03" w:rsidRDefault="006A62AB" w:rsidP="008B268B">
      <w:pPr>
        <w:pStyle w:val="Heading5"/>
        <w:numPr>
          <w:ilvl w:val="3"/>
          <w:numId w:val="3"/>
        </w:numPr>
      </w:pPr>
      <w:bookmarkStart w:id="6" w:name="_Ref520106176"/>
      <w:r w:rsidRPr="00567EA2">
        <w:t>Asset control</w:t>
      </w:r>
      <w:r>
        <w:t xml:space="preserve"> for physical assets</w:t>
      </w:r>
      <w:bookmarkEnd w:id="6"/>
    </w:p>
    <w:p w:rsidR="00D318A0" w:rsidRPr="005D2E8A" w:rsidRDefault="00D318A0" w:rsidP="001D7DF5">
      <w:pPr>
        <w:pStyle w:val="Listbullet1"/>
      </w:pPr>
      <w:r w:rsidRPr="005D2E8A">
        <w:t xml:space="preserve">Asset control assists entities to identify their asset holdings and </w:t>
      </w:r>
      <w:r>
        <w:t>is</w:t>
      </w:r>
      <w:r w:rsidRPr="005D2E8A">
        <w:t xml:space="preserve"> an accountability mechanism </w:t>
      </w:r>
      <w:r>
        <w:t>that protects</w:t>
      </w:r>
      <w:r w:rsidRPr="005D2E8A">
        <w:t xml:space="preserve"> against theft</w:t>
      </w:r>
      <w:r>
        <w:t>, damage</w:t>
      </w:r>
      <w:r w:rsidRPr="005D2E8A">
        <w:t xml:space="preserve"> and loss. Asset control procedures may include:</w:t>
      </w:r>
    </w:p>
    <w:p w:rsidR="00D318A0" w:rsidRPr="007D6C5D" w:rsidRDefault="00D318A0" w:rsidP="00521E37">
      <w:pPr>
        <w:pStyle w:val="ListBullet2"/>
        <w:numPr>
          <w:ilvl w:val="0"/>
          <w:numId w:val="22"/>
        </w:numPr>
      </w:pPr>
      <w:r w:rsidRPr="007D6C5D">
        <w:t>recording the location and authorised custodian of assets</w:t>
      </w:r>
    </w:p>
    <w:p w:rsidR="00D318A0" w:rsidRPr="007D6C5D" w:rsidRDefault="00D318A0" w:rsidP="00521E37">
      <w:pPr>
        <w:pStyle w:val="ListBullet2"/>
        <w:numPr>
          <w:ilvl w:val="0"/>
          <w:numId w:val="22"/>
        </w:numPr>
      </w:pPr>
      <w:r w:rsidRPr="007D6C5D">
        <w:t>periodic auditing of assets</w:t>
      </w:r>
    </w:p>
    <w:p w:rsidR="00D318A0" w:rsidRPr="007D6C5D" w:rsidRDefault="00D318A0" w:rsidP="00521E37">
      <w:pPr>
        <w:pStyle w:val="ListBullet2"/>
        <w:numPr>
          <w:ilvl w:val="0"/>
          <w:numId w:val="22"/>
        </w:numPr>
      </w:pPr>
      <w:r w:rsidRPr="007D6C5D">
        <w:t>reporting requirements for the loss or damage of assets.</w:t>
      </w:r>
    </w:p>
    <w:p w:rsidR="00D318A0" w:rsidRDefault="00D318A0" w:rsidP="001D7DF5">
      <w:pPr>
        <w:pStyle w:val="Listbullet1"/>
      </w:pPr>
      <w:r>
        <w:t>Due to their intrinsic value, the Attorney-General’s Department recommends entities implement appropriate asset control for identified physical assets. E</w:t>
      </w:r>
      <w:r w:rsidRPr="002E6856">
        <w:t>ntities may</w:t>
      </w:r>
      <w:r>
        <w:t>, as a result of their risk assessment,</w:t>
      </w:r>
      <w:r w:rsidRPr="002E6856">
        <w:t xml:space="preserve"> </w:t>
      </w:r>
      <w:r>
        <w:t xml:space="preserve">consider that more frequent </w:t>
      </w:r>
      <w:r w:rsidRPr="009D52FF">
        <w:t>audits</w:t>
      </w:r>
      <w:r>
        <w:t xml:space="preserve"> are </w:t>
      </w:r>
      <w:r w:rsidRPr="002E6856">
        <w:t xml:space="preserve">appropriate </w:t>
      </w:r>
      <w:r>
        <w:t>for</w:t>
      </w:r>
      <w:r w:rsidRPr="002E6856">
        <w:t xml:space="preserve"> higher risk </w:t>
      </w:r>
      <w:r>
        <w:t>assets for example valuable assets, attractive assets and assets of cultural significance.</w:t>
      </w:r>
    </w:p>
    <w:p w:rsidR="00D318A0" w:rsidRPr="00372DDC" w:rsidRDefault="00D318A0" w:rsidP="00D318A0">
      <w:pPr>
        <w:pStyle w:val="Heading3"/>
      </w:pPr>
      <w:r>
        <w:lastRenderedPageBreak/>
        <w:t>Identifying the physical security measures required to protect entity resources</w:t>
      </w:r>
    </w:p>
    <w:p w:rsidR="00D318A0" w:rsidRPr="00C66AAC" w:rsidRDefault="00D318A0" w:rsidP="001D7DF5">
      <w:pPr>
        <w:pStyle w:val="Listbullet1"/>
      </w:pPr>
      <w:r>
        <w:t xml:space="preserve">The </w:t>
      </w:r>
      <w:hyperlink w:anchor="_Core_requirement" w:history="1">
        <w:r w:rsidRPr="00BC62A7">
          <w:t>core requirement</w:t>
        </w:r>
      </w:hyperlink>
      <w:r>
        <w:t xml:space="preserve"> mandates that entities implement physical security measures to minimise the risk of resources being made inoperable or inaccessible, or being accessed, used or removed without proper authorisation. The Attorney</w:t>
      </w:r>
      <w:r>
        <w:noBreakHyphen/>
        <w:t>General’s Department recommends that e</w:t>
      </w:r>
      <w:r w:rsidRPr="00C66AAC">
        <w:t>ntities p</w:t>
      </w:r>
      <w:r>
        <w:t>rotect</w:t>
      </w:r>
      <w:r w:rsidRPr="00C66AAC">
        <w:t xml:space="preserve"> their resources by using </w:t>
      </w:r>
      <w:r>
        <w:t>a combination of</w:t>
      </w:r>
      <w:r w:rsidRPr="00C66AAC">
        <w:t xml:space="preserve"> physical and procedural security measures to</w:t>
      </w:r>
      <w:r>
        <w:t xml:space="preserve"> achieve this outcome. These include </w:t>
      </w:r>
      <w:r w:rsidRPr="00C66AAC">
        <w:t>measures</w:t>
      </w:r>
      <w:r>
        <w:t xml:space="preserve"> to</w:t>
      </w:r>
      <w:r w:rsidRPr="00C66AAC">
        <w:t>:</w:t>
      </w:r>
    </w:p>
    <w:p w:rsidR="00D318A0" w:rsidRPr="00920EB6" w:rsidRDefault="00D318A0" w:rsidP="00521E37">
      <w:pPr>
        <w:pStyle w:val="ListBullet2"/>
        <w:numPr>
          <w:ilvl w:val="0"/>
          <w:numId w:val="23"/>
        </w:numPr>
      </w:pPr>
      <w:r w:rsidRPr="00920EB6">
        <w:t>Deter</w:t>
      </w:r>
      <w:r w:rsidR="007D6C5D" w:rsidRPr="00920EB6">
        <w:t xml:space="preserve"> -</w:t>
      </w:r>
      <w:r w:rsidRPr="007D6C5D">
        <w:t xml:space="preserve"> measures that cause significant difficulty or require specialist knowledge and tools for adversaries to</w:t>
      </w:r>
      <w:r w:rsidR="007D6C5D">
        <w:t xml:space="preserve"> defeat</w:t>
      </w:r>
    </w:p>
    <w:p w:rsidR="00D318A0" w:rsidRPr="007D6C5D" w:rsidRDefault="00D318A0" w:rsidP="00521E37">
      <w:pPr>
        <w:pStyle w:val="ListBullet2"/>
        <w:numPr>
          <w:ilvl w:val="0"/>
          <w:numId w:val="23"/>
        </w:numPr>
      </w:pPr>
      <w:r w:rsidRPr="007D6C5D">
        <w:t>Detect</w:t>
      </w:r>
      <w:r w:rsidR="007D6C5D">
        <w:t xml:space="preserve"> - </w:t>
      </w:r>
      <w:r w:rsidRPr="007D6C5D">
        <w:t>measures that identify unauthorised action is being taken or has already occurred</w:t>
      </w:r>
    </w:p>
    <w:p w:rsidR="00D318A0" w:rsidRPr="007D6C5D" w:rsidRDefault="00D318A0" w:rsidP="00521E37">
      <w:pPr>
        <w:pStyle w:val="ListBullet2"/>
        <w:numPr>
          <w:ilvl w:val="0"/>
          <w:numId w:val="23"/>
        </w:numPr>
      </w:pPr>
      <w:r w:rsidRPr="007D6C5D">
        <w:t>Delay</w:t>
      </w:r>
      <w:r w:rsidR="007D6C5D">
        <w:t xml:space="preserve"> - </w:t>
      </w:r>
      <w:r w:rsidRPr="007D6C5D">
        <w:t>measures to impede an adversary during attempted entry or attack, or slow the progress of a detrimental event to allow a response</w:t>
      </w:r>
    </w:p>
    <w:p w:rsidR="00D318A0" w:rsidRPr="007D6C5D" w:rsidRDefault="00D318A0" w:rsidP="00521E37">
      <w:pPr>
        <w:pStyle w:val="ListBullet2"/>
        <w:numPr>
          <w:ilvl w:val="0"/>
          <w:numId w:val="23"/>
        </w:numPr>
      </w:pPr>
      <w:r w:rsidRPr="007D6C5D">
        <w:t>Respond</w:t>
      </w:r>
      <w:r w:rsidR="007D6C5D">
        <w:t xml:space="preserve"> - </w:t>
      </w:r>
      <w:r w:rsidRPr="007D6C5D">
        <w:t>measures that prevent, resist or mitigate an attack or event when it is detected</w:t>
      </w:r>
    </w:p>
    <w:p w:rsidR="00D318A0" w:rsidRPr="007D6C5D" w:rsidRDefault="00D318A0" w:rsidP="00521E37">
      <w:pPr>
        <w:pStyle w:val="ListBullet2"/>
        <w:numPr>
          <w:ilvl w:val="0"/>
          <w:numId w:val="23"/>
        </w:numPr>
      </w:pPr>
      <w:r w:rsidRPr="007D6C5D">
        <w:t>Recover</w:t>
      </w:r>
      <w:r w:rsidR="007D6C5D">
        <w:t xml:space="preserve"> - </w:t>
      </w:r>
      <w:r w:rsidRPr="007D6C5D">
        <w:t>measures to restore operations to normal levels (as soon as possible) following an event.</w:t>
      </w:r>
    </w:p>
    <w:p w:rsidR="00D318A0" w:rsidRDefault="00D318A0" w:rsidP="001D7DF5">
      <w:pPr>
        <w:pStyle w:val="Listbullet1"/>
      </w:pPr>
      <w:r>
        <w:t xml:space="preserve">In accordance with </w:t>
      </w:r>
      <w:hyperlink w:anchor="_Supporting_requirements" w:history="1">
        <w:r w:rsidRPr="007D6C5D">
          <w:rPr>
            <w:b/>
          </w:rPr>
          <w:t>Requirement 1</w:t>
        </w:r>
      </w:hyperlink>
      <w:r w:rsidRPr="003A65CF">
        <w:t>,</w:t>
      </w:r>
      <w:r>
        <w:t xml:space="preserve"> </w:t>
      </w:r>
      <w:r w:rsidRPr="00372DDC">
        <w:t xml:space="preserve">entities </w:t>
      </w:r>
      <w:r>
        <w:t xml:space="preserve">must </w:t>
      </w:r>
      <w:r w:rsidRPr="00372DDC">
        <w:t>put in place appropriate physical security measures to protect entity resources</w:t>
      </w:r>
      <w:r>
        <w:t xml:space="preserve">, </w:t>
      </w:r>
      <w:r w:rsidRPr="00372DDC">
        <w:t xml:space="preserve">commensurate with the assessed business </w:t>
      </w:r>
      <w:r>
        <w:t xml:space="preserve">impact </w:t>
      </w:r>
      <w:r w:rsidRPr="001A3955">
        <w:t>level</w:t>
      </w:r>
      <w:r>
        <w:t xml:space="preserve"> </w:t>
      </w:r>
      <w:r w:rsidRPr="001A3955">
        <w:t xml:space="preserve">of their compromise, loss or damage. </w:t>
      </w:r>
    </w:p>
    <w:p w:rsidR="00D318A0" w:rsidRPr="00FD28F0" w:rsidRDefault="00D318A0" w:rsidP="001D7DF5">
      <w:pPr>
        <w:pStyle w:val="Listbullet1"/>
      </w:pPr>
      <w:r w:rsidRPr="001A3955">
        <w:t>Entities determine the business impact</w:t>
      </w:r>
      <w:r>
        <w:t xml:space="preserve"> level as part of the security risk assessment process for managing the risks associated with protecting entity resources (refer </w:t>
      </w:r>
      <w:hyperlink r:id="rId24" w:history="1">
        <w:r w:rsidRPr="001A3955">
          <w:t>PSPF policy: Security planning and risk management)</w:t>
        </w:r>
      </w:hyperlink>
      <w:r w:rsidRPr="001A3955">
        <w:t xml:space="preserve">. </w:t>
      </w:r>
      <w:r w:rsidRPr="007D6C5D">
        <w:rPr>
          <w:b/>
        </w:rPr>
        <w:fldChar w:fldCharType="begin"/>
      </w:r>
      <w:r w:rsidRPr="007D6C5D">
        <w:rPr>
          <w:b/>
        </w:rPr>
        <w:instrText xml:space="preserve"> REF _Ref518396881 \h </w:instrText>
      </w:r>
      <w:r w:rsidR="00BC62A7" w:rsidRPr="007D6C5D">
        <w:rPr>
          <w:b/>
        </w:rPr>
        <w:instrText xml:space="preserve"> \* MERGEFORMAT </w:instrText>
      </w:r>
      <w:r w:rsidRPr="007D6C5D">
        <w:rPr>
          <w:b/>
        </w:rPr>
      </w:r>
      <w:r w:rsidRPr="007D6C5D">
        <w:rPr>
          <w:b/>
        </w:rPr>
        <w:fldChar w:fldCharType="separate"/>
      </w:r>
      <w:r w:rsidR="004B478D" w:rsidRPr="007D6C5D">
        <w:rPr>
          <w:b/>
        </w:rPr>
        <w:t xml:space="preserve">Table </w:t>
      </w:r>
      <w:r w:rsidR="004B478D" w:rsidRPr="007D6C5D">
        <w:rPr>
          <w:b/>
          <w:noProof/>
        </w:rPr>
        <w:t>1</w:t>
      </w:r>
      <w:r w:rsidRPr="007D6C5D">
        <w:rPr>
          <w:b/>
        </w:rPr>
        <w:fldChar w:fldCharType="end"/>
      </w:r>
      <w:r>
        <w:t xml:space="preserve"> Business impact levels for physical assets describes, the level of damage or impact on business operations that could result from any </w:t>
      </w:r>
      <w:r w:rsidRPr="00185368">
        <w:t>compromise, loss or damage of physical assets</w:t>
      </w:r>
      <w:r>
        <w:t>.</w:t>
      </w:r>
      <w:r w:rsidRPr="00CE04B6">
        <w:t xml:space="preserve"> </w:t>
      </w:r>
      <w:r>
        <w:t xml:space="preserve">The PSPF policy: </w:t>
      </w:r>
      <w:hyperlink r:id="rId25" w:history="1">
        <w:r w:rsidR="0095477F">
          <w:rPr>
            <w:rStyle w:val="Hyperlink"/>
          </w:rPr>
          <w:t>Sensitive and classified information</w:t>
        </w:r>
      </w:hyperlink>
      <w:r>
        <w:t xml:space="preserve"> </w:t>
      </w:r>
      <w:r w:rsidRPr="00A3006A">
        <w:rPr>
          <w:b/>
        </w:rPr>
        <w:t xml:space="preserve">Table </w:t>
      </w:r>
      <w:r w:rsidR="006C0917">
        <w:rPr>
          <w:b/>
        </w:rPr>
        <w:t>1</w:t>
      </w:r>
      <w:r>
        <w:t xml:space="preserve"> details the business impact levels relating to compromise of the </w:t>
      </w:r>
      <w:r w:rsidRPr="00D64F96">
        <w:t>confidentiality</w:t>
      </w:r>
      <w:r>
        <w:t xml:space="preserve"> of information.</w:t>
      </w:r>
    </w:p>
    <w:p w:rsidR="00D318A0" w:rsidRDefault="00D318A0" w:rsidP="00D318A0">
      <w:pPr>
        <w:pStyle w:val="Caption"/>
        <w:spacing w:after="60"/>
      </w:pPr>
      <w:bookmarkStart w:id="7" w:name="_Ref518396881"/>
      <w:r>
        <w:t xml:space="preserve">Table </w:t>
      </w:r>
      <w:r w:rsidR="005C252B">
        <w:rPr>
          <w:noProof/>
        </w:rPr>
        <w:fldChar w:fldCharType="begin"/>
      </w:r>
      <w:r w:rsidR="005C252B">
        <w:rPr>
          <w:noProof/>
        </w:rPr>
        <w:instrText xml:space="preserve"> SEQ Table \* ARABIC </w:instrText>
      </w:r>
      <w:r w:rsidR="005C252B">
        <w:rPr>
          <w:noProof/>
        </w:rPr>
        <w:fldChar w:fldCharType="separate"/>
      </w:r>
      <w:r w:rsidR="004B478D">
        <w:rPr>
          <w:noProof/>
        </w:rPr>
        <w:t>1</w:t>
      </w:r>
      <w:r w:rsidR="005C252B">
        <w:rPr>
          <w:noProof/>
        </w:rPr>
        <w:fldChar w:fldCharType="end"/>
      </w:r>
      <w:bookmarkEnd w:id="7"/>
      <w:r>
        <w:t xml:space="preserve"> </w:t>
      </w:r>
      <w:r w:rsidRPr="00185368">
        <w:t>Business Impact Levels—compromise, loss or damage of physical assets</w:t>
      </w:r>
      <w:r>
        <w:rPr>
          <w:rStyle w:val="FootnoteReference"/>
        </w:rPr>
        <w:footnoteReference w:id="1"/>
      </w:r>
    </w:p>
    <w:tbl>
      <w:tblPr>
        <w:tblStyle w:val="LightShading-Accent4"/>
        <w:tblW w:w="10598" w:type="dxa"/>
        <w:tblBorders>
          <w:insideH w:val="single" w:sz="8" w:space="0" w:color="8064A2" w:themeColor="accent4"/>
        </w:tblBorders>
        <w:tblLayout w:type="fixed"/>
        <w:tblLook w:val="04A0" w:firstRow="1" w:lastRow="0" w:firstColumn="1" w:lastColumn="0" w:noHBand="0" w:noVBand="1"/>
        <w:tblCaption w:val="Business Impact Levels - compromise, loss or damage of physical assets"/>
        <w:tblDescription w:val="This table describes the business impact levels as they apply to physical assets. &#10;&#10;The table has two rows. Row one identifies the business impact level number and name, there are five business impact levels. Row two describes the associated level of compromise, loss or damage of physical assets.&#10;&#10;1 Low business impact&#10;Compromise, loss or damage of assets could be expected to cause insignificant damage to an individual, organisation or government.&#10;&#10;2 Low to medium business impact&#10;Compromise, loss or damage of assets could be expected to cause limited damage to an individual, organisation or government.&#10;&#10;3 High business impact&#10;Loss or damage of assets would be expected to cause damage to the national interest, organisations or individuals.&#10;&#10;4 Extreme business impact&#10;Compromise, loss or damage of assets would be expected to cause serious damage to the national interest, organisations or individuals.&#10;&#10;5 Catastrophic business impact&#10;Compromise, loss or damage of assets would be expected to cause exceptionally grave damage to the national interest, organisations or individuals."/>
      </w:tblPr>
      <w:tblGrid>
        <w:gridCol w:w="1668"/>
        <w:gridCol w:w="1786"/>
        <w:gridCol w:w="1786"/>
        <w:gridCol w:w="1786"/>
        <w:gridCol w:w="1786"/>
        <w:gridCol w:w="1786"/>
      </w:tblGrid>
      <w:tr w:rsidR="00DE0F69" w:rsidRPr="0068552B" w:rsidTr="004E53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68" w:type="dxa"/>
            <w:tcBorders>
              <w:top w:val="none" w:sz="0" w:space="0" w:color="auto"/>
              <w:left w:val="none" w:sz="0" w:space="0" w:color="auto"/>
              <w:bottom w:val="none" w:sz="0" w:space="0" w:color="auto"/>
              <w:right w:val="none" w:sz="0" w:space="0" w:color="auto"/>
            </w:tcBorders>
          </w:tcPr>
          <w:p w:rsidR="00DE0F69" w:rsidRPr="00DE0F69" w:rsidRDefault="00DE0F69" w:rsidP="004E53E1">
            <w:pPr>
              <w:pStyle w:val="Tablebody"/>
              <w:rPr>
                <w:rStyle w:val="Strong"/>
                <w:b/>
              </w:rPr>
            </w:pPr>
            <w:r w:rsidRPr="00DE0F69">
              <w:rPr>
                <w:rStyle w:val="Strong"/>
                <w:b/>
              </w:rPr>
              <w:t>Business impact level</w:t>
            </w:r>
          </w:p>
        </w:tc>
        <w:tc>
          <w:tcPr>
            <w:tcW w:w="1786" w:type="dxa"/>
            <w:tcBorders>
              <w:top w:val="none" w:sz="0" w:space="0" w:color="auto"/>
              <w:left w:val="none" w:sz="0" w:space="0" w:color="auto"/>
              <w:bottom w:val="none" w:sz="0" w:space="0" w:color="auto"/>
              <w:right w:val="none" w:sz="0" w:space="0" w:color="auto"/>
            </w:tcBorders>
          </w:tcPr>
          <w:p w:rsidR="00DE0F69" w:rsidRPr="00DE0F69" w:rsidRDefault="00DE0F69" w:rsidP="004E53E1">
            <w:pPr>
              <w:pStyle w:val="Tablebody"/>
              <w:cnfStyle w:val="100000000000" w:firstRow="1" w:lastRow="0" w:firstColumn="0" w:lastColumn="0" w:oddVBand="0" w:evenVBand="0" w:oddHBand="0" w:evenHBand="0" w:firstRowFirstColumn="0" w:firstRowLastColumn="0" w:lastRowFirstColumn="0" w:lastRowLastColumn="0"/>
              <w:rPr>
                <w:rStyle w:val="Strong"/>
                <w:b/>
              </w:rPr>
            </w:pPr>
            <w:r w:rsidRPr="00DE0F69">
              <w:rPr>
                <w:rStyle w:val="Strong"/>
                <w:b/>
              </w:rPr>
              <w:t>1 Low business impact</w:t>
            </w:r>
          </w:p>
        </w:tc>
        <w:tc>
          <w:tcPr>
            <w:tcW w:w="1786" w:type="dxa"/>
            <w:tcBorders>
              <w:top w:val="none" w:sz="0" w:space="0" w:color="auto"/>
              <w:left w:val="none" w:sz="0" w:space="0" w:color="auto"/>
              <w:bottom w:val="none" w:sz="0" w:space="0" w:color="auto"/>
              <w:right w:val="none" w:sz="0" w:space="0" w:color="auto"/>
            </w:tcBorders>
          </w:tcPr>
          <w:p w:rsidR="00DE0F69" w:rsidRPr="00DE0F69" w:rsidRDefault="00DE0F69" w:rsidP="004E53E1">
            <w:pPr>
              <w:pStyle w:val="Tablebody"/>
              <w:cnfStyle w:val="100000000000" w:firstRow="1" w:lastRow="0" w:firstColumn="0" w:lastColumn="0" w:oddVBand="0" w:evenVBand="0" w:oddHBand="0" w:evenHBand="0" w:firstRowFirstColumn="0" w:firstRowLastColumn="0" w:lastRowFirstColumn="0" w:lastRowLastColumn="0"/>
              <w:rPr>
                <w:rStyle w:val="Strong"/>
                <w:b/>
              </w:rPr>
            </w:pPr>
            <w:r w:rsidRPr="00DE0F69">
              <w:rPr>
                <w:rStyle w:val="Strong"/>
                <w:b/>
              </w:rPr>
              <w:t>2 Low to medium business impact</w:t>
            </w:r>
          </w:p>
        </w:tc>
        <w:tc>
          <w:tcPr>
            <w:tcW w:w="1786" w:type="dxa"/>
            <w:tcBorders>
              <w:top w:val="none" w:sz="0" w:space="0" w:color="auto"/>
              <w:left w:val="none" w:sz="0" w:space="0" w:color="auto"/>
              <w:bottom w:val="none" w:sz="0" w:space="0" w:color="auto"/>
              <w:right w:val="none" w:sz="0" w:space="0" w:color="auto"/>
            </w:tcBorders>
            <w:shd w:val="clear" w:color="auto" w:fill="4F81BD" w:themeFill="accent1"/>
          </w:tcPr>
          <w:p w:rsidR="00DE0F69" w:rsidRPr="00DE0F69" w:rsidRDefault="00DE0F69" w:rsidP="004E53E1">
            <w:pPr>
              <w:pStyle w:val="Tablebody"/>
              <w:cnfStyle w:val="100000000000" w:firstRow="1" w:lastRow="0" w:firstColumn="0" w:lastColumn="0" w:oddVBand="0" w:evenVBand="0" w:oddHBand="0" w:evenHBand="0" w:firstRowFirstColumn="0" w:firstRowLastColumn="0" w:lastRowFirstColumn="0" w:lastRowLastColumn="0"/>
              <w:rPr>
                <w:rStyle w:val="Strong"/>
                <w:b/>
                <w:color w:val="FFFFFF" w:themeColor="background1"/>
              </w:rPr>
            </w:pPr>
            <w:r w:rsidRPr="00DE0F69">
              <w:rPr>
                <w:rStyle w:val="Strong"/>
                <w:b/>
                <w:color w:val="FFFFFF" w:themeColor="background1"/>
              </w:rPr>
              <w:t>3 High business impact</w:t>
            </w:r>
          </w:p>
        </w:tc>
        <w:tc>
          <w:tcPr>
            <w:tcW w:w="1786"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DE0F69" w:rsidRPr="002B3B16" w:rsidRDefault="00DE0F69" w:rsidP="004E53E1">
            <w:pPr>
              <w:pStyle w:val="Tablebody"/>
              <w:cnfStyle w:val="100000000000" w:firstRow="1" w:lastRow="0" w:firstColumn="0" w:lastColumn="0" w:oddVBand="0" w:evenVBand="0" w:oddHBand="0" w:evenHBand="0" w:firstRowFirstColumn="0" w:firstRowLastColumn="0" w:lastRowFirstColumn="0" w:lastRowLastColumn="0"/>
              <w:rPr>
                <w:rStyle w:val="Strong"/>
                <w:b/>
                <w:caps/>
              </w:rPr>
            </w:pPr>
            <w:r w:rsidRPr="00DE0F69">
              <w:rPr>
                <w:rStyle w:val="Strong"/>
                <w:b/>
              </w:rPr>
              <w:t>4 Extreme business impact</w:t>
            </w:r>
          </w:p>
        </w:tc>
        <w:tc>
          <w:tcPr>
            <w:tcW w:w="1786" w:type="dxa"/>
            <w:tcBorders>
              <w:top w:val="none" w:sz="0" w:space="0" w:color="auto"/>
              <w:left w:val="none" w:sz="0" w:space="0" w:color="auto"/>
              <w:bottom w:val="none" w:sz="0" w:space="0" w:color="auto"/>
              <w:right w:val="none" w:sz="0" w:space="0" w:color="auto"/>
            </w:tcBorders>
            <w:shd w:val="clear" w:color="auto" w:fill="FF0000"/>
          </w:tcPr>
          <w:p w:rsidR="00DE0F69" w:rsidRPr="004E53E1" w:rsidRDefault="00DE0F69" w:rsidP="004E53E1">
            <w:pPr>
              <w:pStyle w:val="Tablebody"/>
              <w:cnfStyle w:val="100000000000" w:firstRow="1" w:lastRow="0" w:firstColumn="0" w:lastColumn="0" w:oddVBand="0" w:evenVBand="0" w:oddHBand="0" w:evenHBand="0" w:firstRowFirstColumn="0" w:firstRowLastColumn="0" w:lastRowFirstColumn="0" w:lastRowLastColumn="0"/>
              <w:rPr>
                <w:rStyle w:val="Strong"/>
                <w:b/>
                <w:caps/>
                <w:color w:val="FFFFFF" w:themeColor="background1"/>
              </w:rPr>
            </w:pPr>
            <w:r w:rsidRPr="004E53E1">
              <w:rPr>
                <w:rStyle w:val="Strong"/>
                <w:b/>
                <w:color w:val="FFFFFF" w:themeColor="background1"/>
              </w:rPr>
              <w:t>5 Catastrophic business impact</w:t>
            </w:r>
          </w:p>
        </w:tc>
      </w:tr>
      <w:tr w:rsidR="00DE0F69" w:rsidRPr="0068552B" w:rsidTr="004E53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left w:val="none" w:sz="0" w:space="0" w:color="auto"/>
              <w:right w:val="none" w:sz="0" w:space="0" w:color="auto"/>
            </w:tcBorders>
          </w:tcPr>
          <w:p w:rsidR="00DE0F69" w:rsidRPr="00AF5BE8" w:rsidRDefault="00DE0F69" w:rsidP="004E53E1">
            <w:pPr>
              <w:pStyle w:val="Tablebody"/>
              <w:rPr>
                <w:rStyle w:val="Strong"/>
                <w:b/>
              </w:rPr>
            </w:pPr>
            <w:r>
              <w:rPr>
                <w:rStyle w:val="Strong"/>
                <w:b/>
              </w:rPr>
              <w:t>Compromise, loss or damage of physical assets</w:t>
            </w:r>
          </w:p>
        </w:tc>
        <w:tc>
          <w:tcPr>
            <w:tcW w:w="1786" w:type="dxa"/>
            <w:tcBorders>
              <w:left w:val="none" w:sz="0" w:space="0" w:color="auto"/>
              <w:right w:val="none" w:sz="0" w:space="0" w:color="auto"/>
            </w:tcBorders>
          </w:tcPr>
          <w:p w:rsidR="00DE0F69" w:rsidRPr="00DE0F69" w:rsidRDefault="00DE0F69" w:rsidP="009736A7">
            <w:pPr>
              <w:pStyle w:val="Tablebody"/>
              <w:cnfStyle w:val="000000100000" w:firstRow="0" w:lastRow="0" w:firstColumn="0" w:lastColumn="0" w:oddVBand="0" w:evenVBand="0" w:oddHBand="1" w:evenHBand="0" w:firstRowFirstColumn="0" w:firstRowLastColumn="0" w:lastRowFirstColumn="0" w:lastRowLastColumn="0"/>
            </w:pPr>
            <w:r w:rsidRPr="00DE0F69">
              <w:t xml:space="preserve">Compromise, loss or damage of assets could be expected to cause </w:t>
            </w:r>
            <w:r w:rsidR="009736A7">
              <w:rPr>
                <w:b/>
              </w:rPr>
              <w:t>insignificant</w:t>
            </w:r>
            <w:r w:rsidR="009736A7" w:rsidRPr="00DE0F69">
              <w:rPr>
                <w:b/>
              </w:rPr>
              <w:t xml:space="preserve"> </w:t>
            </w:r>
            <w:r w:rsidRPr="00DE0F69">
              <w:rPr>
                <w:b/>
              </w:rPr>
              <w:t>damage</w:t>
            </w:r>
            <w:r w:rsidRPr="00DE0F69">
              <w:t xml:space="preserve"> to an individ</w:t>
            </w:r>
            <w:r w:rsidR="00AF38FE">
              <w:t>ual, organisation or government.</w:t>
            </w:r>
          </w:p>
        </w:tc>
        <w:tc>
          <w:tcPr>
            <w:tcW w:w="1786" w:type="dxa"/>
            <w:tcBorders>
              <w:left w:val="none" w:sz="0" w:space="0" w:color="auto"/>
              <w:right w:val="none" w:sz="0" w:space="0" w:color="auto"/>
            </w:tcBorders>
          </w:tcPr>
          <w:p w:rsidR="00DE0F69" w:rsidRPr="00DE0F69" w:rsidRDefault="00DE0F69" w:rsidP="00DE0F69">
            <w:pPr>
              <w:pStyle w:val="Tablebody"/>
              <w:cnfStyle w:val="000000100000" w:firstRow="0" w:lastRow="0" w:firstColumn="0" w:lastColumn="0" w:oddVBand="0" w:evenVBand="0" w:oddHBand="1" w:evenHBand="0" w:firstRowFirstColumn="0" w:firstRowLastColumn="0" w:lastRowFirstColumn="0" w:lastRowLastColumn="0"/>
            </w:pPr>
            <w:r w:rsidRPr="00DE0F69">
              <w:t xml:space="preserve">Compromise, loss or damage of assets could be expected to cause </w:t>
            </w:r>
            <w:r w:rsidRPr="00DE0F69">
              <w:rPr>
                <w:b/>
              </w:rPr>
              <w:t>limited damage</w:t>
            </w:r>
            <w:r w:rsidRPr="00DE0F69">
              <w:t xml:space="preserve"> to an individ</w:t>
            </w:r>
            <w:r w:rsidR="00AF38FE">
              <w:t>ual, organisation or government.</w:t>
            </w:r>
          </w:p>
        </w:tc>
        <w:tc>
          <w:tcPr>
            <w:tcW w:w="1786" w:type="dxa"/>
            <w:tcBorders>
              <w:left w:val="none" w:sz="0" w:space="0" w:color="auto"/>
              <w:right w:val="none" w:sz="0" w:space="0" w:color="auto"/>
            </w:tcBorders>
          </w:tcPr>
          <w:p w:rsidR="00DE0F69" w:rsidRPr="00DE0F69" w:rsidRDefault="00DE0F69" w:rsidP="00DE0F69">
            <w:pPr>
              <w:pStyle w:val="Tablebody"/>
              <w:cnfStyle w:val="000000100000" w:firstRow="0" w:lastRow="0" w:firstColumn="0" w:lastColumn="0" w:oddVBand="0" w:evenVBand="0" w:oddHBand="1" w:evenHBand="0" w:firstRowFirstColumn="0" w:firstRowLastColumn="0" w:lastRowFirstColumn="0" w:lastRowLastColumn="0"/>
            </w:pPr>
            <w:r w:rsidRPr="00DE0F69">
              <w:t xml:space="preserve">Loss or damage of assets would be expected to cause </w:t>
            </w:r>
            <w:r w:rsidRPr="00DE0F69">
              <w:rPr>
                <w:b/>
              </w:rPr>
              <w:t>damage</w:t>
            </w:r>
            <w:r w:rsidRPr="00DE0F69">
              <w:t xml:space="preserve"> to the national interest, organisations or individuals</w:t>
            </w:r>
            <w:r w:rsidR="00AF38FE">
              <w:t>.</w:t>
            </w:r>
          </w:p>
        </w:tc>
        <w:tc>
          <w:tcPr>
            <w:tcW w:w="1786" w:type="dxa"/>
            <w:tcBorders>
              <w:left w:val="none" w:sz="0" w:space="0" w:color="auto"/>
              <w:right w:val="none" w:sz="0" w:space="0" w:color="auto"/>
            </w:tcBorders>
          </w:tcPr>
          <w:p w:rsidR="00DE0F69" w:rsidRPr="00DE0F69" w:rsidRDefault="00DE0F69" w:rsidP="00DE0F69">
            <w:pPr>
              <w:pStyle w:val="Tablebody"/>
              <w:cnfStyle w:val="000000100000" w:firstRow="0" w:lastRow="0" w:firstColumn="0" w:lastColumn="0" w:oddVBand="0" w:evenVBand="0" w:oddHBand="1" w:evenHBand="0" w:firstRowFirstColumn="0" w:firstRowLastColumn="0" w:lastRowFirstColumn="0" w:lastRowLastColumn="0"/>
            </w:pPr>
            <w:r w:rsidRPr="00DE0F69">
              <w:t xml:space="preserve">Compromise, loss or damage of assets would be expected to cause </w:t>
            </w:r>
            <w:r w:rsidRPr="00DE0F69">
              <w:rPr>
                <w:b/>
              </w:rPr>
              <w:t>serious damage</w:t>
            </w:r>
            <w:r w:rsidRPr="00DE0F69">
              <w:t xml:space="preserve"> to the national interest, organisations or individuals</w:t>
            </w:r>
            <w:r w:rsidR="00AF38FE">
              <w:t>.</w:t>
            </w:r>
          </w:p>
        </w:tc>
        <w:tc>
          <w:tcPr>
            <w:tcW w:w="1786" w:type="dxa"/>
            <w:tcBorders>
              <w:left w:val="none" w:sz="0" w:space="0" w:color="auto"/>
              <w:right w:val="none" w:sz="0" w:space="0" w:color="auto"/>
            </w:tcBorders>
          </w:tcPr>
          <w:p w:rsidR="00DE0F69" w:rsidRPr="00DE0F69" w:rsidRDefault="00DE0F69" w:rsidP="00DE0F69">
            <w:pPr>
              <w:pStyle w:val="Tablebody"/>
              <w:cnfStyle w:val="000000100000" w:firstRow="0" w:lastRow="0" w:firstColumn="0" w:lastColumn="0" w:oddVBand="0" w:evenVBand="0" w:oddHBand="1" w:evenHBand="0" w:firstRowFirstColumn="0" w:firstRowLastColumn="0" w:lastRowFirstColumn="0" w:lastRowLastColumn="0"/>
            </w:pPr>
            <w:r w:rsidRPr="00DE0F69">
              <w:t xml:space="preserve">Compromise, loss or damage of assets would be expected to cause </w:t>
            </w:r>
            <w:r w:rsidRPr="00DE0F69">
              <w:rPr>
                <w:b/>
              </w:rPr>
              <w:t>exceptionally grave damage</w:t>
            </w:r>
            <w:r w:rsidRPr="00DE0F69">
              <w:t xml:space="preserve"> to the national interest, organisations or individuals</w:t>
            </w:r>
            <w:r w:rsidR="00AF38FE">
              <w:t>.</w:t>
            </w:r>
          </w:p>
        </w:tc>
      </w:tr>
    </w:tbl>
    <w:p w:rsidR="00D318A0" w:rsidRDefault="00D318A0" w:rsidP="001D7DF5">
      <w:pPr>
        <w:pStyle w:val="Listbullet1"/>
        <w:numPr>
          <w:ilvl w:val="0"/>
          <w:numId w:val="0"/>
        </w:numPr>
        <w:ind w:left="360"/>
      </w:pPr>
    </w:p>
    <w:p w:rsidR="00DE0F69" w:rsidRPr="0086492A" w:rsidRDefault="00DE0F69" w:rsidP="001D7DF5">
      <w:pPr>
        <w:pStyle w:val="Listbullet1"/>
      </w:pPr>
      <w:r>
        <w:t>Once the entity has assessed the business impact level of the</w:t>
      </w:r>
      <w:r w:rsidRPr="001A3955">
        <w:t xml:space="preserve"> compromise, loss or damage</w:t>
      </w:r>
      <w:r>
        <w:t xml:space="preserve"> of identified resources, entities establish the commensurate security measures required to achieve effective protection by considering the type, quantity and size of the resources to be protected. </w:t>
      </w:r>
      <w:r w:rsidRPr="0086492A">
        <w:t xml:space="preserve">When determining the physical security measures </w:t>
      </w:r>
      <w:r>
        <w:t xml:space="preserve">required </w:t>
      </w:r>
      <w:r w:rsidRPr="0086492A">
        <w:t xml:space="preserve">to protect entity resources, </w:t>
      </w:r>
      <w:r>
        <w:t>the Attorney</w:t>
      </w:r>
      <w:r>
        <w:noBreakHyphen/>
      </w:r>
      <w:r w:rsidRPr="0086492A">
        <w:t xml:space="preserve">General’s Department recommends that entities also consider </w:t>
      </w:r>
      <w:r>
        <w:t xml:space="preserve">that </w:t>
      </w:r>
      <w:r w:rsidRPr="0086492A">
        <w:t xml:space="preserve">the cost of the security measures </w:t>
      </w:r>
      <w:r w:rsidR="006A13FF">
        <w:t xml:space="preserve">is </w:t>
      </w:r>
      <w:r>
        <w:t xml:space="preserve">proportionate to the </w:t>
      </w:r>
      <w:r w:rsidRPr="0086492A">
        <w:t>mitigati</w:t>
      </w:r>
      <w:r>
        <w:t>on of the</w:t>
      </w:r>
      <w:r w:rsidRPr="0086492A">
        <w:t xml:space="preserve"> identified risks within the entity’s agreed risk tolerance.</w:t>
      </w:r>
    </w:p>
    <w:p w:rsidR="007D070A" w:rsidRDefault="00AF38FE" w:rsidP="00116E26">
      <w:pPr>
        <w:pStyle w:val="Heading4"/>
      </w:pPr>
      <w:r>
        <w:t>Determining the level of physical security measures for the protection of physical assets</w:t>
      </w:r>
    </w:p>
    <w:p w:rsidR="00AF38FE" w:rsidRDefault="00AF38FE" w:rsidP="001D7DF5">
      <w:pPr>
        <w:pStyle w:val="Listbullet1"/>
      </w:pPr>
      <w:r>
        <w:t>Categorising physical assets can support entities to identify</w:t>
      </w:r>
      <w:r w:rsidRPr="000244BC">
        <w:t xml:space="preserve"> </w:t>
      </w:r>
      <w:r>
        <w:t xml:space="preserve">and consider </w:t>
      </w:r>
      <w:r w:rsidRPr="000244BC">
        <w:t xml:space="preserve">factors </w:t>
      </w:r>
      <w:r>
        <w:t>that are relevant to</w:t>
      </w:r>
      <w:r w:rsidRPr="000244BC">
        <w:t xml:space="preserve"> assess</w:t>
      </w:r>
      <w:r>
        <w:t>ing</w:t>
      </w:r>
      <w:r w:rsidRPr="000244BC">
        <w:t xml:space="preserve"> the business impact level of the compromise, loss or damage of </w:t>
      </w:r>
      <w:r>
        <w:t>the</w:t>
      </w:r>
      <w:r w:rsidRPr="000244BC">
        <w:t xml:space="preserve"> asset</w:t>
      </w:r>
      <w:r>
        <w:t xml:space="preserve">—factors that could </w:t>
      </w:r>
      <w:r>
        <w:lastRenderedPageBreak/>
        <w:t xml:space="preserve">influence that assessment might include, for example, the </w:t>
      </w:r>
      <w:r w:rsidRPr="000244BC">
        <w:t>desirability</w:t>
      </w:r>
      <w:r>
        <w:t xml:space="preserve"> of the asset or its</w:t>
      </w:r>
      <w:r w:rsidRPr="000244BC">
        <w:t xml:space="preserve"> level of classification</w:t>
      </w:r>
      <w:r>
        <w:t>. In turn, this will assist in determining</w:t>
      </w:r>
      <w:r w:rsidRPr="000244BC">
        <w:t xml:space="preserve"> the level and types of protection to apply. </w:t>
      </w:r>
    </w:p>
    <w:p w:rsidR="00AF38FE" w:rsidRPr="00B6654B" w:rsidRDefault="00AF38FE" w:rsidP="001D7DF5">
      <w:pPr>
        <w:pStyle w:val="Listbullet1"/>
      </w:pPr>
      <w:r>
        <w:fldChar w:fldCharType="begin"/>
      </w:r>
      <w:r>
        <w:rPr>
          <w:rFonts w:cstheme="minorHAnsi"/>
          <w:szCs w:val="20"/>
        </w:rPr>
        <w:instrText xml:space="preserve"> REF _Ref519867569 \h </w:instrText>
      </w:r>
      <w:r>
        <w:instrText xml:space="preserve"> \* MERGEFORMAT </w:instrText>
      </w:r>
      <w:r>
        <w:fldChar w:fldCharType="separate"/>
      </w:r>
      <w:r w:rsidR="004B478D">
        <w:t xml:space="preserve">Table </w:t>
      </w:r>
      <w:r w:rsidR="004B478D">
        <w:rPr>
          <w:noProof/>
        </w:rPr>
        <w:t>2</w:t>
      </w:r>
      <w:r>
        <w:fldChar w:fldCharType="end"/>
      </w:r>
      <w:r>
        <w:t xml:space="preserve"> </w:t>
      </w:r>
      <w:r w:rsidRPr="00561E99">
        <w:rPr>
          <w:rFonts w:cstheme="minorHAnsi"/>
          <w:szCs w:val="20"/>
        </w:rPr>
        <w:t>describes</w:t>
      </w:r>
      <w:r>
        <w:t xml:space="preserve"> the categories of assets and provides a number of factors to consider when assessing and determining the business impact level of the</w:t>
      </w:r>
      <w:r w:rsidRPr="001A3955">
        <w:t xml:space="preserve"> compromise, loss or damage</w:t>
      </w:r>
      <w:r>
        <w:t xml:space="preserve"> of those types of asset.</w:t>
      </w:r>
    </w:p>
    <w:p w:rsidR="00AF38FE" w:rsidRDefault="00AF38FE" w:rsidP="00AF38FE">
      <w:pPr>
        <w:pStyle w:val="Caption"/>
      </w:pPr>
      <w:bookmarkStart w:id="8" w:name="_Ref519867569"/>
      <w:r>
        <w:t xml:space="preserve">Table </w:t>
      </w:r>
      <w:r w:rsidR="005C252B">
        <w:rPr>
          <w:noProof/>
        </w:rPr>
        <w:fldChar w:fldCharType="begin"/>
      </w:r>
      <w:r w:rsidR="005C252B">
        <w:rPr>
          <w:noProof/>
        </w:rPr>
        <w:instrText xml:space="preserve"> SEQ Table \* ARABIC </w:instrText>
      </w:r>
      <w:r w:rsidR="005C252B">
        <w:rPr>
          <w:noProof/>
        </w:rPr>
        <w:fldChar w:fldCharType="separate"/>
      </w:r>
      <w:r w:rsidR="004B478D">
        <w:rPr>
          <w:noProof/>
        </w:rPr>
        <w:t>2</w:t>
      </w:r>
      <w:r w:rsidR="005C252B">
        <w:rPr>
          <w:noProof/>
        </w:rPr>
        <w:fldChar w:fldCharType="end"/>
      </w:r>
      <w:bookmarkEnd w:id="8"/>
      <w:r>
        <w:t xml:space="preserve"> Categories of assets and factors to consider when assessing and determining business impact levels</w:t>
      </w:r>
      <w:r w:rsidRPr="00185368">
        <w:t xml:space="preserve"> </w:t>
      </w:r>
    </w:p>
    <w:tbl>
      <w:tblPr>
        <w:tblStyle w:val="LightShading-Accent4"/>
        <w:tblW w:w="10707" w:type="dxa"/>
        <w:jc w:val="center"/>
        <w:tblLook w:val="04A0" w:firstRow="1" w:lastRow="0" w:firstColumn="1" w:lastColumn="0" w:noHBand="0" w:noVBand="1"/>
        <w:tblCaption w:val="Categories of assets and factors to consider when assessing and determining business impact levels"/>
        <w:tblDescription w:val="The table has two columns. Column one identifies the asset category and column two describes factors to consider when assessing and determining busines impact levels for that asset category. &#10;&#10;The table identifies six asset categories:&#10;1. valuable assets&#10;2. classified assets&#10;3. important assets&#10;4. attractive assets&#10;5. significant assets&#10;6. dangerous assets&#10;&#10;Valuable assets&#10;Factors to consider when assessing and determining busines impact levels for valuable assets include:&#10;a. The financial viability and lead-time to replace or repair the asset.&#10;b. The capability of the entity to operate without the asset or with partial functionality of the asset.&#10;c. The percentage of overall capability to which the asset contributes. &#10;&#10;Classified assets&#10;Factors to consider when assessing and determining busines impact levels for classified assets include:&#10;a. The level of classification of the asset.&#10;b. The mobility and accessibility of the classified asset, for example, heavy military equipment.&#10;c. For assets classified due to the confidentiality requirements of information they hold, see the PSPF policy: Sensitive and classified information, business impact level tool that provides examples of potential damage due to compromise of information. &#10;&#10;Important assets&#10;Factors to consider when assessing and determining busines impact levels for important assets include:&#10;a. The integrity of the asset, for example, data with no classification such as human resources data or geographical data for aviation.&#10;b. The availability of the asset for example a ground transport fleet or firefighting equipment.&#10;&#10;Attractive assets&#10;Factors to consider when assessing and determining busines impact levels for attractive assets include&#10;a. The desirability of the asset related to its function, for example a physical asset holding information that may be attractive to a foreign adversary.&#10;b. Portable assets that are desirable, regardless of the information stored on them, for example an iPad. &#10;&#10;Significant assets&#10;Factors to consider when assessing and determining busines impact levels for significant assets include&#10;a. The intrinsic value to the national identity.&#10;b. The negative reputational effect of the loss or damage of the asset.&#10;&#10;Dangerous assets&#10;Factors to consider when assessing and determining busines impact levels for dangerous assets include&#10;a. The bulk stores of weapons, such as firearms, explosives, and ammunition.&#10;b. The quantities of hazardous materials that could be weaponised or used to cause harm."/>
      </w:tblPr>
      <w:tblGrid>
        <w:gridCol w:w="1577"/>
        <w:gridCol w:w="9130"/>
      </w:tblGrid>
      <w:tr w:rsidR="006A207B" w:rsidTr="00A3006A">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577" w:type="dxa"/>
          </w:tcPr>
          <w:p w:rsidR="006A207B" w:rsidRPr="006A207B" w:rsidRDefault="006A207B" w:rsidP="004E53E1">
            <w:pPr>
              <w:widowControl w:val="0"/>
              <w:rPr>
                <w:rStyle w:val="Strong"/>
                <w:b/>
              </w:rPr>
            </w:pPr>
            <w:r w:rsidRPr="006A207B">
              <w:rPr>
                <w:rStyle w:val="Strong"/>
                <w:b/>
              </w:rPr>
              <w:t>Asset category</w:t>
            </w:r>
          </w:p>
        </w:tc>
        <w:tc>
          <w:tcPr>
            <w:tcW w:w="9130" w:type="dxa"/>
          </w:tcPr>
          <w:p w:rsidR="006A207B" w:rsidRPr="006A207B" w:rsidRDefault="006A207B" w:rsidP="004E53E1">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207B">
              <w:rPr>
                <w:rStyle w:val="Strong"/>
                <w:b/>
              </w:rPr>
              <w:t>Factors to consider when assessing and determining business impact levels</w:t>
            </w:r>
          </w:p>
        </w:tc>
      </w:tr>
      <w:tr w:rsidR="006A207B" w:rsidTr="00A3006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577" w:type="dxa"/>
          </w:tcPr>
          <w:p w:rsidR="006A207B" w:rsidRPr="006A207B" w:rsidRDefault="006A207B" w:rsidP="004E53E1">
            <w:pPr>
              <w:widowControl w:val="0"/>
              <w:tabs>
                <w:tab w:val="left" w:pos="601"/>
              </w:tabs>
              <w:rPr>
                <w:rStyle w:val="Strong"/>
                <w:b/>
              </w:rPr>
            </w:pPr>
            <w:r w:rsidRPr="006A207B">
              <w:rPr>
                <w:rStyle w:val="Strong"/>
                <w:b/>
              </w:rPr>
              <w:t>Valuable assets</w:t>
            </w:r>
          </w:p>
        </w:tc>
        <w:tc>
          <w:tcPr>
            <w:tcW w:w="9130" w:type="dxa"/>
          </w:tcPr>
          <w:p w:rsidR="006A207B" w:rsidRPr="001B7E62" w:rsidRDefault="006A207B" w:rsidP="00920EB6">
            <w:pPr>
              <w:pStyle w:val="Tablebodybullet1"/>
              <w:numPr>
                <w:ilvl w:val="0"/>
                <w:numId w:val="4"/>
              </w:numPr>
              <w:ind w:left="495"/>
              <w:cnfStyle w:val="000000100000" w:firstRow="0" w:lastRow="0" w:firstColumn="0" w:lastColumn="0" w:oddVBand="0" w:evenVBand="0" w:oddHBand="1" w:evenHBand="0" w:firstRowFirstColumn="0" w:firstRowLastColumn="0" w:lastRowFirstColumn="0" w:lastRowLastColumn="0"/>
            </w:pPr>
            <w:r>
              <w:t>T</w:t>
            </w:r>
            <w:r w:rsidRPr="001B7E62">
              <w:t>he financial viability and lead</w:t>
            </w:r>
            <w:r>
              <w:t>-</w:t>
            </w:r>
            <w:r w:rsidRPr="001B7E62">
              <w:t xml:space="preserve">time </w:t>
            </w:r>
            <w:r>
              <w:t>to</w:t>
            </w:r>
            <w:r w:rsidRPr="001B7E62">
              <w:t xml:space="preserve"> replac</w:t>
            </w:r>
            <w:r>
              <w:t>e</w:t>
            </w:r>
            <w:r w:rsidRPr="001B7E62">
              <w:t xml:space="preserve"> or repair the asset</w:t>
            </w:r>
            <w:r>
              <w:t>.</w:t>
            </w:r>
          </w:p>
          <w:p w:rsidR="006A207B" w:rsidRPr="001B7E62" w:rsidRDefault="006A207B" w:rsidP="00920EB6">
            <w:pPr>
              <w:pStyle w:val="Tablebodybullet1"/>
              <w:numPr>
                <w:ilvl w:val="0"/>
                <w:numId w:val="4"/>
              </w:numPr>
              <w:ind w:left="495"/>
              <w:cnfStyle w:val="000000100000" w:firstRow="0" w:lastRow="0" w:firstColumn="0" w:lastColumn="0" w:oddVBand="0" w:evenVBand="0" w:oddHBand="1" w:evenHBand="0" w:firstRowFirstColumn="0" w:firstRowLastColumn="0" w:lastRowFirstColumn="0" w:lastRowLastColumn="0"/>
            </w:pPr>
            <w:r>
              <w:t>T</w:t>
            </w:r>
            <w:r w:rsidRPr="001B7E62">
              <w:t xml:space="preserve">he </w:t>
            </w:r>
            <w:r>
              <w:t>capability</w:t>
            </w:r>
            <w:r w:rsidRPr="001B7E62">
              <w:t xml:space="preserve"> of the entity to operate without the asset or with partial functionality of the asset</w:t>
            </w:r>
            <w:r>
              <w:t>.</w:t>
            </w:r>
          </w:p>
          <w:p w:rsidR="006A207B" w:rsidRPr="001B7E62" w:rsidRDefault="006A207B" w:rsidP="00920EB6">
            <w:pPr>
              <w:pStyle w:val="Tablebodybullet1"/>
              <w:numPr>
                <w:ilvl w:val="0"/>
                <w:numId w:val="4"/>
              </w:numPr>
              <w:ind w:left="495"/>
              <w:cnfStyle w:val="000000100000" w:firstRow="0" w:lastRow="0" w:firstColumn="0" w:lastColumn="0" w:oddVBand="0" w:evenVBand="0" w:oddHBand="1" w:evenHBand="0" w:firstRowFirstColumn="0" w:firstRowLastColumn="0" w:lastRowFirstColumn="0" w:lastRowLastColumn="0"/>
            </w:pPr>
            <w:r>
              <w:t>T</w:t>
            </w:r>
            <w:r w:rsidRPr="001B7E62">
              <w:t>he percentage of overall capability to which the asset contribut</w:t>
            </w:r>
            <w:r w:rsidR="002313EA">
              <w:t>es.</w:t>
            </w:r>
          </w:p>
        </w:tc>
      </w:tr>
      <w:tr w:rsidR="006A207B" w:rsidTr="00A3006A">
        <w:trPr>
          <w:cantSplit/>
          <w:jc w:val="center"/>
        </w:trPr>
        <w:tc>
          <w:tcPr>
            <w:cnfStyle w:val="001000000000" w:firstRow="0" w:lastRow="0" w:firstColumn="1" w:lastColumn="0" w:oddVBand="0" w:evenVBand="0" w:oddHBand="0" w:evenHBand="0" w:firstRowFirstColumn="0" w:firstRowLastColumn="0" w:lastRowFirstColumn="0" w:lastRowLastColumn="0"/>
            <w:tcW w:w="1577" w:type="dxa"/>
          </w:tcPr>
          <w:p w:rsidR="006A207B" w:rsidRPr="006A207B" w:rsidRDefault="006A207B" w:rsidP="004E53E1">
            <w:pPr>
              <w:widowControl w:val="0"/>
              <w:tabs>
                <w:tab w:val="left" w:pos="601"/>
              </w:tabs>
              <w:rPr>
                <w:rStyle w:val="Strong"/>
                <w:b/>
              </w:rPr>
            </w:pPr>
            <w:r w:rsidRPr="006A207B">
              <w:rPr>
                <w:rStyle w:val="Strong"/>
                <w:b/>
              </w:rPr>
              <w:t>Classified assets</w:t>
            </w:r>
          </w:p>
        </w:tc>
        <w:tc>
          <w:tcPr>
            <w:tcW w:w="9130" w:type="dxa"/>
          </w:tcPr>
          <w:p w:rsidR="006A207B" w:rsidRPr="001B7E62" w:rsidRDefault="006A207B" w:rsidP="006E5650">
            <w:pPr>
              <w:pStyle w:val="Tablebodybullet1"/>
              <w:numPr>
                <w:ilvl w:val="0"/>
                <w:numId w:val="16"/>
              </w:numPr>
              <w:ind w:left="495"/>
              <w:cnfStyle w:val="000000000000" w:firstRow="0" w:lastRow="0" w:firstColumn="0" w:lastColumn="0" w:oddVBand="0" w:evenVBand="0" w:oddHBand="0" w:evenHBand="0" w:firstRowFirstColumn="0" w:firstRowLastColumn="0" w:lastRowFirstColumn="0" w:lastRowLastColumn="0"/>
            </w:pPr>
            <w:r>
              <w:t xml:space="preserve">The </w:t>
            </w:r>
            <w:r w:rsidRPr="001B7E62">
              <w:t>level of classification of the asset</w:t>
            </w:r>
            <w:r>
              <w:t>.</w:t>
            </w:r>
          </w:p>
          <w:p w:rsidR="006A207B" w:rsidRPr="001B7E62" w:rsidRDefault="006A207B" w:rsidP="006E5650">
            <w:pPr>
              <w:pStyle w:val="Tablebodybullet1"/>
              <w:numPr>
                <w:ilvl w:val="0"/>
                <w:numId w:val="16"/>
              </w:numPr>
              <w:ind w:left="495"/>
              <w:cnfStyle w:val="000000000000" w:firstRow="0" w:lastRow="0" w:firstColumn="0" w:lastColumn="0" w:oddVBand="0" w:evenVBand="0" w:oddHBand="0" w:evenHBand="0" w:firstRowFirstColumn="0" w:firstRowLastColumn="0" w:lastRowFirstColumn="0" w:lastRowLastColumn="0"/>
            </w:pPr>
            <w:r>
              <w:t xml:space="preserve">The </w:t>
            </w:r>
            <w:r w:rsidRPr="001B7E62">
              <w:t>mobility and accessibility of the classified asset, for example, heavy military equipment</w:t>
            </w:r>
            <w:r>
              <w:t>.</w:t>
            </w:r>
          </w:p>
          <w:p w:rsidR="006A207B" w:rsidRPr="001B7E62" w:rsidRDefault="006A207B" w:rsidP="006E5650">
            <w:pPr>
              <w:pStyle w:val="Tablebodybullet1"/>
              <w:numPr>
                <w:ilvl w:val="0"/>
                <w:numId w:val="16"/>
              </w:numPr>
              <w:ind w:left="495"/>
              <w:cnfStyle w:val="000000000000" w:firstRow="0" w:lastRow="0" w:firstColumn="0" w:lastColumn="0" w:oddVBand="0" w:evenVBand="0" w:oddHBand="0" w:evenHBand="0" w:firstRowFirstColumn="0" w:firstRowLastColumn="0" w:lastRowFirstColumn="0" w:lastRowLastColumn="0"/>
            </w:pPr>
            <w:r>
              <w:t>F</w:t>
            </w:r>
            <w:r w:rsidRPr="001B7E62">
              <w:t xml:space="preserve">or assets classified due to the </w:t>
            </w:r>
            <w:r>
              <w:t xml:space="preserve">confidentiality requirements of </w:t>
            </w:r>
            <w:r w:rsidRPr="001B7E62">
              <w:t xml:space="preserve">information </w:t>
            </w:r>
            <w:r>
              <w:t xml:space="preserve">they hold, </w:t>
            </w:r>
            <w:r w:rsidRPr="001B7E62">
              <w:t xml:space="preserve">see the PSPF policy: </w:t>
            </w:r>
            <w:hyperlink r:id="rId26" w:history="1">
              <w:r w:rsidR="0095477F">
                <w:rPr>
                  <w:rStyle w:val="Hyperlink"/>
                </w:rPr>
                <w:t>Sensitive and classified information</w:t>
              </w:r>
            </w:hyperlink>
            <w:r w:rsidRPr="001B7E62">
              <w:t xml:space="preserve">, business </w:t>
            </w:r>
            <w:r>
              <w:t>i</w:t>
            </w:r>
            <w:r w:rsidRPr="001B7E62">
              <w:t xml:space="preserve">mpact level tool </w:t>
            </w:r>
            <w:r>
              <w:t xml:space="preserve">that provides </w:t>
            </w:r>
            <w:r w:rsidRPr="001B7E62">
              <w:t xml:space="preserve">examples of potential damage </w:t>
            </w:r>
            <w:r>
              <w:t>due to</w:t>
            </w:r>
            <w:r w:rsidRPr="001B7E62">
              <w:t xml:space="preserve"> compromise of </w:t>
            </w:r>
            <w:r>
              <w:t>information.</w:t>
            </w:r>
          </w:p>
        </w:tc>
      </w:tr>
      <w:tr w:rsidR="006A207B" w:rsidTr="00A3006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577" w:type="dxa"/>
          </w:tcPr>
          <w:p w:rsidR="006A207B" w:rsidRPr="006A207B" w:rsidRDefault="006A207B" w:rsidP="006A207B">
            <w:pPr>
              <w:widowControl w:val="0"/>
              <w:tabs>
                <w:tab w:val="left" w:pos="601"/>
              </w:tabs>
              <w:rPr>
                <w:rStyle w:val="Strong"/>
                <w:b/>
              </w:rPr>
            </w:pPr>
            <w:r w:rsidRPr="006A207B">
              <w:rPr>
                <w:rStyle w:val="Strong"/>
                <w:b/>
              </w:rPr>
              <w:t>Important assets</w:t>
            </w:r>
          </w:p>
        </w:tc>
        <w:tc>
          <w:tcPr>
            <w:tcW w:w="9130" w:type="dxa"/>
          </w:tcPr>
          <w:p w:rsidR="006A207B" w:rsidRPr="001B7E62" w:rsidRDefault="006A207B" w:rsidP="006E5650">
            <w:pPr>
              <w:pStyle w:val="Tablebodybullet1"/>
              <w:numPr>
                <w:ilvl w:val="0"/>
                <w:numId w:val="17"/>
              </w:numPr>
              <w:ind w:left="495"/>
              <w:cnfStyle w:val="000000100000" w:firstRow="0" w:lastRow="0" w:firstColumn="0" w:lastColumn="0" w:oddVBand="0" w:evenVBand="0" w:oddHBand="1" w:evenHBand="0" w:firstRowFirstColumn="0" w:firstRowLastColumn="0" w:lastRowFirstColumn="0" w:lastRowLastColumn="0"/>
            </w:pPr>
            <w:r>
              <w:t xml:space="preserve">The </w:t>
            </w:r>
            <w:r w:rsidRPr="001B7E62">
              <w:t xml:space="preserve">integrity of the asset, for example, data </w:t>
            </w:r>
            <w:r>
              <w:t>with no classification such as human resources</w:t>
            </w:r>
            <w:r w:rsidRPr="001B7E62">
              <w:t xml:space="preserve"> data or geographical data for aviation</w:t>
            </w:r>
            <w:r>
              <w:t>.</w:t>
            </w:r>
          </w:p>
          <w:p w:rsidR="006A207B" w:rsidRPr="001B7E62" w:rsidRDefault="006A207B" w:rsidP="006E5650">
            <w:pPr>
              <w:pStyle w:val="Tablebodybullet1"/>
              <w:numPr>
                <w:ilvl w:val="0"/>
                <w:numId w:val="17"/>
              </w:numPr>
              <w:ind w:left="495"/>
              <w:cnfStyle w:val="000000100000" w:firstRow="0" w:lastRow="0" w:firstColumn="0" w:lastColumn="0" w:oddVBand="0" w:evenVBand="0" w:oddHBand="1" w:evenHBand="0" w:firstRowFirstColumn="0" w:firstRowLastColumn="0" w:lastRowFirstColumn="0" w:lastRowLastColumn="0"/>
            </w:pPr>
            <w:r>
              <w:t xml:space="preserve">The </w:t>
            </w:r>
            <w:r w:rsidRPr="001B7E62">
              <w:t>availability of the asset for example a ground transport fleet or firefighting equipment</w:t>
            </w:r>
            <w:r w:rsidR="00A01E03">
              <w:t>.</w:t>
            </w:r>
          </w:p>
        </w:tc>
      </w:tr>
      <w:tr w:rsidR="006A207B" w:rsidTr="00A3006A">
        <w:trPr>
          <w:cantSplit/>
          <w:jc w:val="center"/>
        </w:trPr>
        <w:tc>
          <w:tcPr>
            <w:cnfStyle w:val="001000000000" w:firstRow="0" w:lastRow="0" w:firstColumn="1" w:lastColumn="0" w:oddVBand="0" w:evenVBand="0" w:oddHBand="0" w:evenHBand="0" w:firstRowFirstColumn="0" w:firstRowLastColumn="0" w:lastRowFirstColumn="0" w:lastRowLastColumn="0"/>
            <w:tcW w:w="1577" w:type="dxa"/>
          </w:tcPr>
          <w:p w:rsidR="006A207B" w:rsidRPr="006A207B" w:rsidRDefault="006A207B" w:rsidP="004E53E1">
            <w:pPr>
              <w:widowControl w:val="0"/>
              <w:tabs>
                <w:tab w:val="left" w:pos="601"/>
              </w:tabs>
              <w:rPr>
                <w:rStyle w:val="Strong"/>
                <w:b/>
              </w:rPr>
            </w:pPr>
            <w:r w:rsidRPr="006A207B">
              <w:rPr>
                <w:rStyle w:val="Strong"/>
                <w:b/>
              </w:rPr>
              <w:t>Attractive assets</w:t>
            </w:r>
          </w:p>
        </w:tc>
        <w:tc>
          <w:tcPr>
            <w:tcW w:w="9130" w:type="dxa"/>
          </w:tcPr>
          <w:p w:rsidR="006A207B" w:rsidRDefault="006A207B" w:rsidP="006E5650">
            <w:pPr>
              <w:pStyle w:val="Tablebodybullet1"/>
              <w:numPr>
                <w:ilvl w:val="0"/>
                <w:numId w:val="19"/>
              </w:numPr>
              <w:ind w:left="495"/>
              <w:cnfStyle w:val="000000000000" w:firstRow="0" w:lastRow="0" w:firstColumn="0" w:lastColumn="0" w:oddVBand="0" w:evenVBand="0" w:oddHBand="0" w:evenHBand="0" w:firstRowFirstColumn="0" w:firstRowLastColumn="0" w:lastRowFirstColumn="0" w:lastRowLastColumn="0"/>
            </w:pPr>
            <w:r>
              <w:t xml:space="preserve">The </w:t>
            </w:r>
            <w:r w:rsidRPr="001B7E62">
              <w:t xml:space="preserve">desirability of the asset </w:t>
            </w:r>
            <w:r>
              <w:t>related to its function</w:t>
            </w:r>
            <w:r w:rsidRPr="001B7E62">
              <w:t xml:space="preserve">, for example a physical asset holding information </w:t>
            </w:r>
            <w:r>
              <w:t xml:space="preserve">that </w:t>
            </w:r>
            <w:r w:rsidRPr="001B7E62">
              <w:t>may be att</w:t>
            </w:r>
            <w:r>
              <w:t>ractive to a foreign adversary.</w:t>
            </w:r>
          </w:p>
          <w:p w:rsidR="006A207B" w:rsidRPr="008F5C02" w:rsidRDefault="006A207B" w:rsidP="006E5650">
            <w:pPr>
              <w:pStyle w:val="Tablebodybullet1"/>
              <w:numPr>
                <w:ilvl w:val="0"/>
                <w:numId w:val="19"/>
              </w:numPr>
              <w:ind w:left="495"/>
              <w:cnfStyle w:val="000000000000" w:firstRow="0" w:lastRow="0" w:firstColumn="0" w:lastColumn="0" w:oddVBand="0" w:evenVBand="0" w:oddHBand="0" w:evenHBand="0" w:firstRowFirstColumn="0" w:firstRowLastColumn="0" w:lastRowFirstColumn="0" w:lastRowLastColumn="0"/>
            </w:pPr>
            <w:r>
              <w:t xml:space="preserve">Portable assets that are desirable, regardless of the information stored on them, for example an </w:t>
            </w:r>
            <w:r w:rsidRPr="008F5C02">
              <w:t>iPad</w:t>
            </w:r>
            <w:r>
              <w:t>.</w:t>
            </w:r>
          </w:p>
        </w:tc>
      </w:tr>
      <w:tr w:rsidR="006A207B" w:rsidTr="00A3006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577" w:type="dxa"/>
          </w:tcPr>
          <w:p w:rsidR="006A207B" w:rsidRPr="006A207B" w:rsidRDefault="006A207B" w:rsidP="004E53E1">
            <w:pPr>
              <w:widowControl w:val="0"/>
              <w:tabs>
                <w:tab w:val="left" w:pos="601"/>
              </w:tabs>
              <w:rPr>
                <w:rStyle w:val="Strong"/>
                <w:b/>
              </w:rPr>
            </w:pPr>
            <w:r w:rsidRPr="006A207B">
              <w:rPr>
                <w:rStyle w:val="Strong"/>
                <w:b/>
              </w:rPr>
              <w:t>Significant assets</w:t>
            </w:r>
          </w:p>
        </w:tc>
        <w:tc>
          <w:tcPr>
            <w:tcW w:w="9130" w:type="dxa"/>
          </w:tcPr>
          <w:p w:rsidR="006A207B" w:rsidRPr="001B7E62" w:rsidRDefault="006A207B" w:rsidP="006E5650">
            <w:pPr>
              <w:pStyle w:val="Tablebodybullet1"/>
              <w:numPr>
                <w:ilvl w:val="0"/>
                <w:numId w:val="18"/>
              </w:numPr>
              <w:ind w:left="495"/>
              <w:cnfStyle w:val="000000100000" w:firstRow="0" w:lastRow="0" w:firstColumn="0" w:lastColumn="0" w:oddVBand="0" w:evenVBand="0" w:oddHBand="1" w:evenHBand="0" w:firstRowFirstColumn="0" w:firstRowLastColumn="0" w:lastRowFirstColumn="0" w:lastRowLastColumn="0"/>
            </w:pPr>
            <w:r>
              <w:t xml:space="preserve">The </w:t>
            </w:r>
            <w:r w:rsidRPr="001B7E62">
              <w:t xml:space="preserve">intrinsic value </w:t>
            </w:r>
            <w:r>
              <w:t>to the national identity.</w:t>
            </w:r>
          </w:p>
          <w:p w:rsidR="006A207B" w:rsidRPr="001B7E62" w:rsidRDefault="006A207B" w:rsidP="006E5650">
            <w:pPr>
              <w:pStyle w:val="Tablebodybullet1"/>
              <w:numPr>
                <w:ilvl w:val="0"/>
                <w:numId w:val="18"/>
              </w:numPr>
              <w:ind w:left="495"/>
              <w:cnfStyle w:val="000000100000" w:firstRow="0" w:lastRow="0" w:firstColumn="0" w:lastColumn="0" w:oddVBand="0" w:evenVBand="0" w:oddHBand="1" w:evenHBand="0" w:firstRowFirstColumn="0" w:firstRowLastColumn="0" w:lastRowFirstColumn="0" w:lastRowLastColumn="0"/>
            </w:pPr>
            <w:r>
              <w:t xml:space="preserve">The negative </w:t>
            </w:r>
            <w:r w:rsidRPr="001B7E62">
              <w:t>reputationa</w:t>
            </w:r>
            <w:r>
              <w:t>l effect of the loss or damage of the asset.</w:t>
            </w:r>
          </w:p>
        </w:tc>
      </w:tr>
      <w:tr w:rsidR="006A207B" w:rsidTr="00A3006A">
        <w:trPr>
          <w:cantSplit/>
          <w:jc w:val="center"/>
        </w:trPr>
        <w:tc>
          <w:tcPr>
            <w:cnfStyle w:val="001000000000" w:firstRow="0" w:lastRow="0" w:firstColumn="1" w:lastColumn="0" w:oddVBand="0" w:evenVBand="0" w:oddHBand="0" w:evenHBand="0" w:firstRowFirstColumn="0" w:firstRowLastColumn="0" w:lastRowFirstColumn="0" w:lastRowLastColumn="0"/>
            <w:tcW w:w="1577" w:type="dxa"/>
          </w:tcPr>
          <w:p w:rsidR="006A207B" w:rsidRPr="006A207B" w:rsidRDefault="006A207B" w:rsidP="004E53E1">
            <w:pPr>
              <w:widowControl w:val="0"/>
              <w:tabs>
                <w:tab w:val="left" w:pos="601"/>
              </w:tabs>
              <w:rPr>
                <w:rStyle w:val="Strong"/>
                <w:b/>
              </w:rPr>
            </w:pPr>
            <w:r w:rsidRPr="006A207B">
              <w:rPr>
                <w:rStyle w:val="Strong"/>
                <w:b/>
              </w:rPr>
              <w:t>Dangerous assets</w:t>
            </w:r>
          </w:p>
        </w:tc>
        <w:tc>
          <w:tcPr>
            <w:tcW w:w="9130" w:type="dxa"/>
          </w:tcPr>
          <w:p w:rsidR="006A207B" w:rsidRPr="001B7E62" w:rsidRDefault="006A207B" w:rsidP="006E5650">
            <w:pPr>
              <w:pStyle w:val="Tablebodybullet1"/>
              <w:numPr>
                <w:ilvl w:val="0"/>
                <w:numId w:val="20"/>
              </w:numPr>
              <w:ind w:left="495"/>
              <w:cnfStyle w:val="000000000000" w:firstRow="0" w:lastRow="0" w:firstColumn="0" w:lastColumn="0" w:oddVBand="0" w:evenVBand="0" w:oddHBand="0" w:evenHBand="0" w:firstRowFirstColumn="0" w:firstRowLastColumn="0" w:lastRowFirstColumn="0" w:lastRowLastColumn="0"/>
            </w:pPr>
            <w:r>
              <w:t xml:space="preserve">The </w:t>
            </w:r>
            <w:r w:rsidRPr="001B7E62">
              <w:t>bulk stores of weapons, such as firearms,</w:t>
            </w:r>
            <w:r>
              <w:t xml:space="preserve"> explosives and ammunition.</w:t>
            </w:r>
          </w:p>
          <w:p w:rsidR="006A207B" w:rsidRPr="001B7E62" w:rsidRDefault="006A207B" w:rsidP="006E5650">
            <w:pPr>
              <w:pStyle w:val="Tablebodybullet1"/>
              <w:numPr>
                <w:ilvl w:val="0"/>
                <w:numId w:val="20"/>
              </w:numPr>
              <w:ind w:left="495"/>
              <w:cnfStyle w:val="000000000000" w:firstRow="0" w:lastRow="0" w:firstColumn="0" w:lastColumn="0" w:oddVBand="0" w:evenVBand="0" w:oddHBand="0" w:evenHBand="0" w:firstRowFirstColumn="0" w:firstRowLastColumn="0" w:lastRowFirstColumn="0" w:lastRowLastColumn="0"/>
            </w:pPr>
            <w:r>
              <w:t xml:space="preserve">The </w:t>
            </w:r>
            <w:r w:rsidRPr="001B7E62">
              <w:t xml:space="preserve">quantities of </w:t>
            </w:r>
            <w:r>
              <w:t>hazardous</w:t>
            </w:r>
            <w:r w:rsidRPr="001B7E62">
              <w:t xml:space="preserve"> materials that could be weaponised or used</w:t>
            </w:r>
            <w:r>
              <w:t xml:space="preserve"> to cause harm. </w:t>
            </w:r>
          </w:p>
        </w:tc>
      </w:tr>
    </w:tbl>
    <w:p w:rsidR="006A207B" w:rsidRDefault="006A207B" w:rsidP="001D7DF5">
      <w:pPr>
        <w:pStyle w:val="Listbullet1"/>
        <w:numPr>
          <w:ilvl w:val="0"/>
          <w:numId w:val="0"/>
        </w:numPr>
        <w:ind w:left="360"/>
      </w:pPr>
    </w:p>
    <w:p w:rsidR="006A207B" w:rsidRPr="00AA25DA" w:rsidRDefault="006A207B" w:rsidP="001D7DF5">
      <w:pPr>
        <w:pStyle w:val="Listbullet1"/>
      </w:pPr>
      <w:r w:rsidRPr="00AA25DA">
        <w:t xml:space="preserve">The Attorney-General’s Department recommends that entities determine the business impact level of the compromise, loss or damage of the asset in accordance with </w:t>
      </w:r>
      <w:r w:rsidR="00A3006A" w:rsidRPr="00A3006A">
        <w:rPr>
          <w:b/>
        </w:rPr>
        <w:fldChar w:fldCharType="begin"/>
      </w:r>
      <w:r w:rsidR="00A3006A" w:rsidRPr="00A3006A">
        <w:rPr>
          <w:b/>
        </w:rPr>
        <w:instrText xml:space="preserve"> REF _Ref519867569 \h </w:instrText>
      </w:r>
      <w:r w:rsidR="00A3006A">
        <w:rPr>
          <w:b/>
        </w:rPr>
        <w:instrText xml:space="preserve"> \* MERGEFORMAT </w:instrText>
      </w:r>
      <w:r w:rsidR="00A3006A" w:rsidRPr="00A3006A">
        <w:rPr>
          <w:b/>
        </w:rPr>
      </w:r>
      <w:r w:rsidR="00A3006A" w:rsidRPr="00A3006A">
        <w:rPr>
          <w:b/>
        </w:rPr>
        <w:fldChar w:fldCharType="separate"/>
      </w:r>
      <w:r w:rsidR="00A3006A" w:rsidRPr="00A3006A">
        <w:rPr>
          <w:b/>
        </w:rPr>
        <w:t xml:space="preserve">Table </w:t>
      </w:r>
      <w:r w:rsidR="00A3006A" w:rsidRPr="00A3006A">
        <w:rPr>
          <w:b/>
          <w:noProof/>
        </w:rPr>
        <w:t>2</w:t>
      </w:r>
      <w:r w:rsidR="00A3006A" w:rsidRPr="00A3006A">
        <w:rPr>
          <w:b/>
        </w:rPr>
        <w:fldChar w:fldCharType="end"/>
      </w:r>
      <w:r w:rsidRPr="00AA25DA">
        <w:t xml:space="preserve"> and adopts the necessary security measures to protect the asset for the highest assessed business impact level</w:t>
      </w:r>
      <w:r w:rsidR="00B92107">
        <w:t xml:space="preserve"> noting that any Busines</w:t>
      </w:r>
      <w:r w:rsidR="00BE0C77">
        <w:t>s</w:t>
      </w:r>
      <w:r w:rsidR="00B92107">
        <w:t xml:space="preserve"> Impact Level for confidentiality will require application of a security classification</w:t>
      </w:r>
      <w:r w:rsidRPr="00AA25DA">
        <w:t xml:space="preserve">. </w:t>
      </w:r>
    </w:p>
    <w:p w:rsidR="006A207B" w:rsidRPr="00AA25DA" w:rsidRDefault="006A207B" w:rsidP="00C80ED8">
      <w:pPr>
        <w:pStyle w:val="Listbullet1"/>
      </w:pPr>
      <w:r w:rsidRPr="006A207B">
        <w:t xml:space="preserve"> </w:t>
      </w:r>
      <w:r w:rsidRPr="00AA25DA">
        <w:t xml:space="preserve">By way of an example, in considering a human resources database, an entity may determine that the information it holds does not warrant classification as the business impact level of the compromise of its confidentiality </w:t>
      </w:r>
      <w:r>
        <w:t>is assessed as</w:t>
      </w:r>
      <w:r w:rsidRPr="00AA25DA">
        <w:t xml:space="preserve"> medium. However, the information the database holds is essential to the business operations of the entity which indicates that the most relevant categorisation of the database may be as an important asset. By considering the factors relevant to important assets and the integrity and availability of the asset, the entity may determine that the business impact level in relation to</w:t>
      </w:r>
      <w:r w:rsidRPr="00AA25DA" w:rsidDel="00170491">
        <w:t xml:space="preserve"> </w:t>
      </w:r>
      <w:r w:rsidRPr="00AA25DA">
        <w:t>compromise of its integrity and availability would be extreme. In this instance the information within the database would be marked and handled as Official: Sensitive</w:t>
      </w:r>
      <w:r w:rsidR="00A3006A">
        <w:t>. H</w:t>
      </w:r>
      <w:r w:rsidRPr="00AA25DA">
        <w:t>owever</w:t>
      </w:r>
      <w:r w:rsidR="00A3006A">
        <w:t>,</w:t>
      </w:r>
      <w:r w:rsidRPr="00AA25DA">
        <w:t xml:space="preserve"> due to the higher business impact level of the database</w:t>
      </w:r>
      <w:r w:rsidR="00A3006A">
        <w:t>,</w:t>
      </w:r>
      <w:r w:rsidRPr="00AA25DA">
        <w:t xml:space="preserve"> it would have greater protections applied to ensure integrity of the information and availability of the database.</w:t>
      </w:r>
    </w:p>
    <w:p w:rsidR="006A207B" w:rsidRPr="00CF6A04" w:rsidRDefault="006A207B" w:rsidP="006A207B">
      <w:pPr>
        <w:pStyle w:val="Heading3"/>
      </w:pPr>
      <w:bookmarkStart w:id="9" w:name="_C.2.3.1_Asset_control"/>
      <w:bookmarkEnd w:id="9"/>
      <w:r>
        <w:t>M</w:t>
      </w:r>
      <w:r w:rsidRPr="00CF6A04">
        <w:t xml:space="preserve">easures </w:t>
      </w:r>
      <w:r>
        <w:t>to</w:t>
      </w:r>
      <w:r w:rsidRPr="00CF6A04">
        <w:t xml:space="preserve"> protect </w:t>
      </w:r>
      <w:r>
        <w:t>entity</w:t>
      </w:r>
      <w:r w:rsidRPr="00CF6A04">
        <w:t xml:space="preserve"> </w:t>
      </w:r>
      <w:r w:rsidR="009736A7">
        <w:t>information and assets</w:t>
      </w:r>
    </w:p>
    <w:p w:rsidR="006A207B" w:rsidRPr="002369EE" w:rsidRDefault="006A207B" w:rsidP="001D7DF5">
      <w:pPr>
        <w:pStyle w:val="Listbullet1"/>
      </w:pPr>
      <w:r>
        <w:t>There are a range of p</w:t>
      </w:r>
      <w:r w:rsidRPr="002369EE">
        <w:t>hysical security measures</w:t>
      </w:r>
      <w:r>
        <w:t xml:space="preserve"> entities can implement to protect entity resources from being made inoperable or inaccessible, or being accessed, used or removed without proper authorisation.</w:t>
      </w:r>
      <w:r w:rsidRPr="002369EE">
        <w:t xml:space="preserve"> </w:t>
      </w:r>
      <w:r>
        <w:t>Entities enhance the protection of their physical resources by using successive layers or combinations of procedural and physical security measures, including</w:t>
      </w:r>
      <w:r w:rsidRPr="002369EE">
        <w:t>:</w:t>
      </w:r>
    </w:p>
    <w:p w:rsidR="006A207B" w:rsidRPr="00A3006A" w:rsidRDefault="006A207B" w:rsidP="00521E37">
      <w:pPr>
        <w:pStyle w:val="ListBullet2"/>
        <w:numPr>
          <w:ilvl w:val="0"/>
          <w:numId w:val="24"/>
        </w:numPr>
        <w:rPr>
          <w:rStyle w:val="Hyperlink"/>
          <w:rFonts w:cstheme="minorHAnsi"/>
          <w:color w:val="auto"/>
          <w:szCs w:val="20"/>
        </w:rPr>
      </w:pPr>
      <w:r w:rsidRPr="00A3006A">
        <w:rPr>
          <w:rFonts w:cstheme="minorHAnsi"/>
          <w:szCs w:val="20"/>
        </w:rPr>
        <w:t xml:space="preserve">security zones—refer to the PSPF policy: </w:t>
      </w:r>
      <w:hyperlink r:id="rId27" w:history="1">
        <w:r w:rsidR="00A01E03" w:rsidRPr="00A3006A">
          <w:rPr>
            <w:rStyle w:val="Hyperlink"/>
          </w:rPr>
          <w:t>Entity facilities</w:t>
        </w:r>
      </w:hyperlink>
    </w:p>
    <w:p w:rsidR="006A207B" w:rsidRPr="00A3006A" w:rsidRDefault="006A207B" w:rsidP="00521E37">
      <w:pPr>
        <w:pStyle w:val="ListBullet2"/>
        <w:numPr>
          <w:ilvl w:val="0"/>
          <w:numId w:val="24"/>
        </w:numPr>
      </w:pPr>
      <w:r w:rsidRPr="00A3006A">
        <w:t>security containers and cabinets</w:t>
      </w:r>
    </w:p>
    <w:p w:rsidR="006A207B" w:rsidRPr="00A3006A" w:rsidRDefault="006A207B" w:rsidP="00521E37">
      <w:pPr>
        <w:pStyle w:val="ListBullet2"/>
        <w:numPr>
          <w:ilvl w:val="0"/>
          <w:numId w:val="24"/>
        </w:numPr>
      </w:pPr>
      <w:r w:rsidRPr="00A3006A">
        <w:t>commercial safes and vaults</w:t>
      </w:r>
    </w:p>
    <w:p w:rsidR="006A207B" w:rsidRPr="00A3006A" w:rsidRDefault="006A207B" w:rsidP="00521E37">
      <w:pPr>
        <w:pStyle w:val="ListBullet2"/>
        <w:numPr>
          <w:ilvl w:val="0"/>
          <w:numId w:val="24"/>
        </w:numPr>
      </w:pPr>
      <w:r w:rsidRPr="00A3006A">
        <w:t>secure rooms, strongrooms</w:t>
      </w:r>
    </w:p>
    <w:p w:rsidR="006A207B" w:rsidRPr="00A3006A" w:rsidRDefault="006A207B" w:rsidP="00521E37">
      <w:pPr>
        <w:pStyle w:val="ListBullet2"/>
        <w:numPr>
          <w:ilvl w:val="0"/>
          <w:numId w:val="24"/>
        </w:numPr>
      </w:pPr>
      <w:r w:rsidRPr="00A3006A">
        <w:t xml:space="preserve">armouries and magazines </w:t>
      </w:r>
    </w:p>
    <w:p w:rsidR="006A207B" w:rsidRPr="00A3006A" w:rsidRDefault="006A207B" w:rsidP="00521E37">
      <w:pPr>
        <w:pStyle w:val="ListBullet2"/>
        <w:numPr>
          <w:ilvl w:val="0"/>
          <w:numId w:val="24"/>
        </w:numPr>
      </w:pPr>
      <w:r w:rsidRPr="00A3006A">
        <w:t>ICT facilities.</w:t>
      </w:r>
    </w:p>
    <w:p w:rsidR="006A207B" w:rsidRPr="002369EE" w:rsidRDefault="001340C3" w:rsidP="001D7DF5">
      <w:pPr>
        <w:pStyle w:val="Listbullet1"/>
      </w:pPr>
      <w:hyperlink w:anchor="_Supporting_requirements" w:history="1">
        <w:r w:rsidR="006A207B" w:rsidRPr="00A3006A">
          <w:rPr>
            <w:b/>
          </w:rPr>
          <w:t>Requirement 2</w:t>
        </w:r>
      </w:hyperlink>
      <w:r w:rsidR="006A207B">
        <w:t xml:space="preserve"> mandates that entities assess</w:t>
      </w:r>
      <w:r w:rsidR="006A207B" w:rsidRPr="00476C0C">
        <w:t xml:space="preserve"> </w:t>
      </w:r>
      <w:r w:rsidR="006A207B">
        <w:t>security risks</w:t>
      </w:r>
      <w:r w:rsidR="006A207B" w:rsidRPr="00476C0C">
        <w:t xml:space="preserve"> </w:t>
      </w:r>
      <w:r w:rsidR="006A207B">
        <w:t>and</w:t>
      </w:r>
      <w:r w:rsidR="006A207B" w:rsidRPr="00476C0C">
        <w:t xml:space="preserve"> select the appropriate </w:t>
      </w:r>
      <w:r w:rsidR="006A207B">
        <w:t>secure</w:t>
      </w:r>
      <w:r w:rsidR="006A207B" w:rsidRPr="00476C0C">
        <w:t xml:space="preserve"> room, container </w:t>
      </w:r>
      <w:r w:rsidR="006A207B">
        <w:t>or</w:t>
      </w:r>
      <w:r w:rsidR="006A207B" w:rsidRPr="00476C0C">
        <w:t xml:space="preserve"> cabinet</w:t>
      </w:r>
      <w:r w:rsidR="006A207B">
        <w:t xml:space="preserve"> to protect entity information and assets</w:t>
      </w:r>
      <w:r w:rsidR="006A207B" w:rsidRPr="00476C0C">
        <w:t>.</w:t>
      </w:r>
      <w:r w:rsidR="006A207B">
        <w:t xml:space="preserve"> I</w:t>
      </w:r>
      <w:r w:rsidR="006A207B" w:rsidRPr="002369EE">
        <w:t xml:space="preserve">nternal and external security risk factors </w:t>
      </w:r>
      <w:r w:rsidR="006A207B">
        <w:t xml:space="preserve">may be relevant to </w:t>
      </w:r>
      <w:r w:rsidR="006A207B" w:rsidRPr="002369EE">
        <w:t>selecting the appropriate secure room, container or cabinet</w:t>
      </w:r>
      <w:r w:rsidR="006A207B">
        <w:t xml:space="preserve">—these </w:t>
      </w:r>
      <w:r w:rsidR="006A207B" w:rsidRPr="002369EE">
        <w:t>include:</w:t>
      </w:r>
    </w:p>
    <w:p w:rsidR="006A207B" w:rsidRPr="00920EB6" w:rsidRDefault="006A207B" w:rsidP="00521E37">
      <w:pPr>
        <w:pStyle w:val="ListBullet2"/>
        <w:numPr>
          <w:ilvl w:val="0"/>
          <w:numId w:val="25"/>
        </w:numPr>
      </w:pPr>
      <w:r w:rsidRPr="00920EB6">
        <w:t>levels of public access</w:t>
      </w:r>
    </w:p>
    <w:p w:rsidR="006A207B" w:rsidRPr="00920EB6" w:rsidRDefault="006A207B" w:rsidP="00521E37">
      <w:pPr>
        <w:pStyle w:val="ListBullet2"/>
        <w:numPr>
          <w:ilvl w:val="0"/>
          <w:numId w:val="25"/>
        </w:numPr>
      </w:pPr>
      <w:r w:rsidRPr="00920EB6">
        <w:t>shared facilities with other tenants</w:t>
      </w:r>
    </w:p>
    <w:p w:rsidR="006A207B" w:rsidRPr="00920EB6" w:rsidRDefault="006A207B" w:rsidP="00521E37">
      <w:pPr>
        <w:pStyle w:val="ListBullet2"/>
        <w:numPr>
          <w:ilvl w:val="0"/>
          <w:numId w:val="25"/>
        </w:numPr>
      </w:pPr>
      <w:r w:rsidRPr="00920EB6">
        <w:t>work areas with diverse programs and personnel with different levels of security clearances</w:t>
      </w:r>
    </w:p>
    <w:p w:rsidR="006A207B" w:rsidRPr="00920EB6" w:rsidRDefault="006A207B" w:rsidP="00521E37">
      <w:pPr>
        <w:pStyle w:val="ListBullet2"/>
        <w:numPr>
          <w:ilvl w:val="0"/>
          <w:numId w:val="25"/>
        </w:numPr>
      </w:pPr>
      <w:r w:rsidRPr="00920EB6">
        <w:t>levels of neighbourhood crime.</w:t>
      </w:r>
    </w:p>
    <w:p w:rsidR="006A207B" w:rsidRDefault="006A207B" w:rsidP="00A01E03">
      <w:pPr>
        <w:pStyle w:val="Heading4"/>
      </w:pPr>
      <w:r>
        <w:t>Use of Security Construction and Equipment Committee approved products</w:t>
      </w:r>
    </w:p>
    <w:p w:rsidR="006A207B" w:rsidRPr="00DE4BBB" w:rsidRDefault="006A207B" w:rsidP="001D7DF5">
      <w:pPr>
        <w:pStyle w:val="Listbullet1"/>
      </w:pPr>
      <w:r w:rsidRPr="00DE4BBB">
        <w:t>The</w:t>
      </w:r>
      <w:r w:rsidRPr="00377708">
        <w:t xml:space="preserve"> </w:t>
      </w:r>
      <w:hyperlink r:id="rId28" w:history="1">
        <w:r w:rsidRPr="00AA25DA">
          <w:rPr>
            <w:color w:val="0000FF"/>
            <w:u w:val="single"/>
          </w:rPr>
          <w:t>Security Construction and Equipment Committee (SCEC)</w:t>
        </w:r>
      </w:hyperlink>
      <w:r w:rsidRPr="00AA25DA">
        <w:t xml:space="preserve"> </w:t>
      </w:r>
      <w:r w:rsidRPr="00377708">
        <w:t xml:space="preserve">is responsible for evaluating security equipment </w:t>
      </w:r>
      <w:r>
        <w:t xml:space="preserve">for their suitability </w:t>
      </w:r>
      <w:r w:rsidRPr="00377708">
        <w:t>for use by the Australian Government</w:t>
      </w:r>
      <w:r>
        <w:t xml:space="preserve">. The SCEC determines which products will be evaluated and the priority of evaluation. Evaluated security products protect classified information of which the compromise would result in a </w:t>
      </w:r>
      <w:r w:rsidR="009D5C37">
        <w:t xml:space="preserve">business </w:t>
      </w:r>
      <w:r>
        <w:t>impact level of high or above.</w:t>
      </w:r>
    </w:p>
    <w:p w:rsidR="006A207B" w:rsidRDefault="006A207B" w:rsidP="001D7DF5">
      <w:pPr>
        <w:pStyle w:val="Listbullet1"/>
      </w:pPr>
      <w:r>
        <w:t>Evaluated products are assigned a security level (SL) rating numbered 1 to 4. SL4 products offer high level security, while SL1 products offer the lowest acceptable level of security for government use. A</w:t>
      </w:r>
      <w:r w:rsidRPr="00496B74">
        <w:t>pproved items are listed in the SCEC Security Equipment Evaluated Product List</w:t>
      </w:r>
      <w:r>
        <w:t>, which is only available to Australian</w:t>
      </w:r>
      <w:r w:rsidR="006A62AB">
        <w:t> </w:t>
      </w:r>
      <w:r>
        <w:t xml:space="preserve">Government security personnel and can be obtained from the </w:t>
      </w:r>
      <w:r w:rsidR="00E70E9D">
        <w:t>p</w:t>
      </w:r>
      <w:r>
        <w:t xml:space="preserve">rotective </w:t>
      </w:r>
      <w:r w:rsidR="00E70E9D">
        <w:t>s</w:t>
      </w:r>
      <w:r>
        <w:t xml:space="preserve">ecurity </w:t>
      </w:r>
      <w:r w:rsidR="00E70E9D">
        <w:t>p</w:t>
      </w:r>
      <w:r>
        <w:t xml:space="preserve">olicy community on </w:t>
      </w:r>
      <w:r w:rsidR="00F95CD6">
        <w:t>GovTEAMS</w:t>
      </w:r>
      <w:r w:rsidRPr="00496B74">
        <w:t>.</w:t>
      </w:r>
      <w:r>
        <w:t xml:space="preserve"> </w:t>
      </w:r>
    </w:p>
    <w:p w:rsidR="006A207B" w:rsidRPr="00496B74" w:rsidRDefault="006A207B" w:rsidP="00C80ED8">
      <w:pPr>
        <w:pStyle w:val="Listbullet1"/>
      </w:pPr>
      <w:r w:rsidRPr="00AA25DA">
        <w:t>Entities may use SCEC-approved security equipment even where it is not mandated. Alternatively, entities can use suitable commercial equipment that complies with identified security related Australian and International Standards for the protection of people</w:t>
      </w:r>
      <w:r w:rsidR="00B92107">
        <w:t xml:space="preserve"> and</w:t>
      </w:r>
      <w:r w:rsidRPr="00AA25DA">
        <w:t xml:space="preserve"> information and physical assets</w:t>
      </w:r>
      <w:r w:rsidR="00B92107">
        <w:t xml:space="preserve"> that do not have a confidentiality BIL of medium or above</w:t>
      </w:r>
      <w:r w:rsidRPr="00AA25DA">
        <w:t>.</w:t>
      </w:r>
      <w:r>
        <w:t xml:space="preserve"> </w:t>
      </w:r>
      <w:r w:rsidRPr="00496B74">
        <w:t xml:space="preserve">ASIO-T4 has developed the Security Equipment Guides to assist entities </w:t>
      </w:r>
      <w:r>
        <w:t xml:space="preserve">to </w:t>
      </w:r>
      <w:r w:rsidRPr="00496B74">
        <w:t xml:space="preserve">select security equipment not tested by SCEC. See </w:t>
      </w:r>
      <w:r w:rsidR="00A3006A">
        <w:t xml:space="preserve">the </w:t>
      </w:r>
      <w:r>
        <w:t xml:space="preserve">PSPF </w:t>
      </w:r>
      <w:r w:rsidR="007A64ED">
        <w:t>p</w:t>
      </w:r>
      <w:r>
        <w:t xml:space="preserve">olicy: </w:t>
      </w:r>
      <w:hyperlink r:id="rId29" w:history="1">
        <w:r w:rsidR="00A01E03">
          <w:rPr>
            <w:rStyle w:val="Hyperlink"/>
          </w:rPr>
          <w:t>Entity facilities</w:t>
        </w:r>
      </w:hyperlink>
      <w:r w:rsidRPr="00A01E03">
        <w:t xml:space="preserve"> </w:t>
      </w:r>
      <w:r w:rsidRPr="00A3006A">
        <w:rPr>
          <w:b/>
        </w:rPr>
        <w:t>Annex A</w:t>
      </w:r>
      <w:r w:rsidRPr="00496B74">
        <w:t>.</w:t>
      </w:r>
    </w:p>
    <w:p w:rsidR="006A207B" w:rsidRPr="006C1BD6" w:rsidRDefault="006A207B" w:rsidP="005939F8">
      <w:pPr>
        <w:pStyle w:val="Listbullet1"/>
      </w:pPr>
      <w:r>
        <w:t xml:space="preserve">SCEC only considers the security aspects of products when evaluating suitability for use in government. </w:t>
      </w:r>
      <w:r w:rsidR="0082515F">
        <w:t>Other aspects like the products or</w:t>
      </w:r>
      <w:r>
        <w:t xml:space="preserve"> safety features, are not considered by SCEC. The Attorney-General’s Department recommends that entities consider safety requirements prior to product selection. </w:t>
      </w:r>
    </w:p>
    <w:p w:rsidR="006A207B" w:rsidRPr="00B5353A" w:rsidRDefault="006A207B" w:rsidP="00A01E03">
      <w:pPr>
        <w:pStyle w:val="Heading4"/>
      </w:pPr>
      <w:r>
        <w:t>Security containers and cabinets</w:t>
      </w:r>
    </w:p>
    <w:p w:rsidR="006A207B" w:rsidRPr="00145D27" w:rsidRDefault="006A207B" w:rsidP="001D7DF5">
      <w:pPr>
        <w:pStyle w:val="Listbullet1"/>
      </w:pPr>
      <w:r w:rsidRPr="00F57F75">
        <w:t>Suitably assessed security containers and cabinets are used to secure information, portable</w:t>
      </w:r>
      <w:r>
        <w:t xml:space="preserve"> and valuable</w:t>
      </w:r>
      <w:r w:rsidRPr="00F57F75">
        <w:t xml:space="preserve"> assets and money. </w:t>
      </w:r>
      <w:r w:rsidRPr="00145D27">
        <w:t xml:space="preserve">When </w:t>
      </w:r>
      <w:r>
        <w:t>choosing</w:t>
      </w:r>
      <w:r w:rsidRPr="00145D27">
        <w:t xml:space="preserve"> the most appropriate security container or cabinet the Attorney-General’s Department recommends entities consider:</w:t>
      </w:r>
    </w:p>
    <w:p w:rsidR="006A207B" w:rsidRPr="00920EB6" w:rsidRDefault="006A207B" w:rsidP="00521E37">
      <w:pPr>
        <w:pStyle w:val="ListBullet2"/>
        <w:numPr>
          <w:ilvl w:val="0"/>
          <w:numId w:val="26"/>
        </w:numPr>
      </w:pPr>
      <w:r w:rsidRPr="00920EB6">
        <w:t xml:space="preserve">the type of asset, see </w:t>
      </w:r>
      <w:r w:rsidR="00A01E03" w:rsidRPr="00920EB6">
        <w:fldChar w:fldCharType="begin"/>
      </w:r>
      <w:r w:rsidR="00A01E03" w:rsidRPr="00920EB6">
        <w:instrText xml:space="preserve"> REF _Ref519867569 \h </w:instrText>
      </w:r>
      <w:r w:rsidR="006A62AB" w:rsidRPr="00920EB6">
        <w:instrText xml:space="preserve"> \* MERGEFORMAT </w:instrText>
      </w:r>
      <w:r w:rsidR="00A01E03" w:rsidRPr="00920EB6">
        <w:fldChar w:fldCharType="separate"/>
      </w:r>
      <w:r w:rsidR="004B478D" w:rsidRPr="00920EB6">
        <w:t>Table 2</w:t>
      </w:r>
      <w:r w:rsidR="00A01E03" w:rsidRPr="00920EB6">
        <w:fldChar w:fldCharType="end"/>
      </w:r>
    </w:p>
    <w:p w:rsidR="006A207B" w:rsidRPr="00920EB6" w:rsidRDefault="006A207B" w:rsidP="00521E37">
      <w:pPr>
        <w:pStyle w:val="ListBullet2"/>
        <w:numPr>
          <w:ilvl w:val="0"/>
          <w:numId w:val="26"/>
        </w:numPr>
      </w:pPr>
      <w:r w:rsidRPr="00920EB6">
        <w:t>the quantity or size of information and assets</w:t>
      </w:r>
    </w:p>
    <w:p w:rsidR="006A207B" w:rsidRPr="00920EB6" w:rsidRDefault="006A207B" w:rsidP="00521E37">
      <w:pPr>
        <w:pStyle w:val="ListBullet2"/>
        <w:numPr>
          <w:ilvl w:val="0"/>
          <w:numId w:val="26"/>
        </w:numPr>
      </w:pPr>
      <w:r w:rsidRPr="00920EB6">
        <w:t>the location of the information or physical assets within the facility</w:t>
      </w:r>
    </w:p>
    <w:p w:rsidR="006A207B" w:rsidRPr="00920EB6" w:rsidRDefault="006A207B" w:rsidP="00521E37">
      <w:pPr>
        <w:pStyle w:val="ListBullet2"/>
        <w:numPr>
          <w:ilvl w:val="0"/>
          <w:numId w:val="26"/>
        </w:numPr>
      </w:pPr>
      <w:r w:rsidRPr="00920EB6">
        <w:t>the structure and location of the facility</w:t>
      </w:r>
    </w:p>
    <w:p w:rsidR="006A207B" w:rsidRPr="00920EB6" w:rsidRDefault="006A207B" w:rsidP="00521E37">
      <w:pPr>
        <w:pStyle w:val="ListBullet2"/>
        <w:numPr>
          <w:ilvl w:val="0"/>
          <w:numId w:val="26"/>
        </w:numPr>
      </w:pPr>
      <w:r w:rsidRPr="00920EB6">
        <w:t>the access control systems</w:t>
      </w:r>
    </w:p>
    <w:p w:rsidR="006A207B" w:rsidRPr="00920EB6" w:rsidRDefault="006A207B" w:rsidP="00521E37">
      <w:pPr>
        <w:pStyle w:val="ListBullet2"/>
        <w:numPr>
          <w:ilvl w:val="0"/>
          <w:numId w:val="26"/>
        </w:numPr>
      </w:pPr>
      <w:r w:rsidRPr="00920EB6">
        <w:t>other physical protection systems—for example locks and alarms.</w:t>
      </w:r>
    </w:p>
    <w:p w:rsidR="006A207B" w:rsidRPr="004F6742" w:rsidRDefault="006A207B" w:rsidP="001D7DF5">
      <w:pPr>
        <w:pStyle w:val="Listbullet1"/>
      </w:pPr>
      <w:r w:rsidRPr="00A3006A">
        <w:t xml:space="preserve">The Attorney-General’s Department recommends that </w:t>
      </w:r>
      <w:r w:rsidR="00AD6609" w:rsidRPr="00A3006A">
        <w:t xml:space="preserve">sensitive and </w:t>
      </w:r>
      <w:r w:rsidRPr="00A3006A">
        <w:t>security classified information</w:t>
      </w:r>
      <w:r w:rsidR="009736A7" w:rsidRPr="00A3006A">
        <w:t xml:space="preserve"> and assets</w:t>
      </w:r>
      <w:r w:rsidRPr="00A3006A">
        <w:t xml:space="preserve"> </w:t>
      </w:r>
      <w:r w:rsidR="009736A7" w:rsidRPr="00A3006A">
        <w:t xml:space="preserve">are </w:t>
      </w:r>
      <w:r w:rsidRPr="00A3006A">
        <w:t xml:space="preserve">stored in security containers and cabinets separately from physical assets. This can lower the risk of compromise of information if </w:t>
      </w:r>
      <w:r w:rsidR="009736A7" w:rsidRPr="00A3006A">
        <w:t xml:space="preserve">valuable and attractive </w:t>
      </w:r>
      <w:r w:rsidRPr="00A3006A">
        <w:t>physical assets are stolen and can assist investigators to determine the reason for the incidents involving unauthorised access.</w:t>
      </w:r>
    </w:p>
    <w:p w:rsidR="006A207B" w:rsidRDefault="00A3006A" w:rsidP="008B268B">
      <w:pPr>
        <w:pStyle w:val="Heading5"/>
        <w:numPr>
          <w:ilvl w:val="3"/>
          <w:numId w:val="3"/>
        </w:numPr>
      </w:pPr>
      <w:r>
        <w:t>SCEC-</w:t>
      </w:r>
      <w:r w:rsidR="006A207B">
        <w:t xml:space="preserve">approved security containers </w:t>
      </w:r>
    </w:p>
    <w:p w:rsidR="006A207B" w:rsidRPr="004F6742" w:rsidRDefault="006A207B" w:rsidP="001D7DF5">
      <w:pPr>
        <w:pStyle w:val="Listbullet1"/>
      </w:pPr>
      <w:r w:rsidRPr="00BE0C77">
        <w:t xml:space="preserve">SCEC approved security containers are for storage of </w:t>
      </w:r>
      <w:r w:rsidR="00AD6609" w:rsidRPr="004F6742">
        <w:t xml:space="preserve">sensitive and </w:t>
      </w:r>
      <w:r w:rsidRPr="004F6742">
        <w:t>security classified information</w:t>
      </w:r>
      <w:r w:rsidR="009736A7" w:rsidRPr="004F6742">
        <w:t xml:space="preserve"> and assets</w:t>
      </w:r>
      <w:r w:rsidRPr="004F6742">
        <w:t xml:space="preserve"> and are not for the storage of valuable</w:t>
      </w:r>
      <w:r w:rsidR="00AD6609" w:rsidRPr="004F6742">
        <w:t>, important,</w:t>
      </w:r>
      <w:r w:rsidR="009736A7" w:rsidRPr="004F6742">
        <w:t xml:space="preserve"> attractive</w:t>
      </w:r>
      <w:r w:rsidR="00AD6609" w:rsidRPr="004F6742">
        <w:t>, significant or dangerous</w:t>
      </w:r>
      <w:r w:rsidRPr="004F6742">
        <w:t xml:space="preserve"> assets. The designs of these containers provide a high level of tamper evidence of covert attack and significant delay from surreptitious attack, but provide limited protection from a forcible attack. </w:t>
      </w:r>
    </w:p>
    <w:p w:rsidR="006A207B" w:rsidRDefault="006A207B" w:rsidP="001D7DF5">
      <w:pPr>
        <w:pStyle w:val="Listbullet1"/>
      </w:pPr>
      <w:r>
        <w:t>There are three levels of SCEC-approved containers:</w:t>
      </w:r>
    </w:p>
    <w:p w:rsidR="006A207B" w:rsidRPr="00920EB6" w:rsidRDefault="006A207B" w:rsidP="00521E37">
      <w:pPr>
        <w:pStyle w:val="ListBullet2"/>
        <w:numPr>
          <w:ilvl w:val="0"/>
          <w:numId w:val="27"/>
        </w:numPr>
      </w:pPr>
      <w:r w:rsidRPr="00920EB6">
        <w:lastRenderedPageBreak/>
        <w:t xml:space="preserve">Class A—protects information that has an extreme or catastrophic business impact level in situations assessed as high risk. These containers can be extremely heavy and may not be suitable in some facilities with limited floor loadings. </w:t>
      </w:r>
    </w:p>
    <w:p w:rsidR="006A207B" w:rsidRPr="00920EB6" w:rsidRDefault="006A207B" w:rsidP="00521E37">
      <w:pPr>
        <w:pStyle w:val="ListBullet2"/>
        <w:numPr>
          <w:ilvl w:val="0"/>
          <w:numId w:val="27"/>
        </w:numPr>
      </w:pPr>
      <w:r w:rsidRPr="00920EB6">
        <w:t>Class B—protects information that has an extreme or catastrophic business impact level in situations assessed as low risk. They are also used for information that has a high or extreme business impact level in situations assessed as higher risk. These containers are robust filing cabinets or compactuses fitted with combination locks. Class B containers size and weight needs to be considered when selecting a location. There are broadly two types of Class B containers:</w:t>
      </w:r>
    </w:p>
    <w:p w:rsidR="006A207B" w:rsidRDefault="006A207B" w:rsidP="006A62AB">
      <w:pPr>
        <w:pStyle w:val="ListBullet3"/>
      </w:pPr>
      <w:r>
        <w:t>heavy constructed models that are suitable for use where there are minimal other physical controls</w:t>
      </w:r>
    </w:p>
    <w:p w:rsidR="006A207B" w:rsidRDefault="006A207B" w:rsidP="006A62AB">
      <w:pPr>
        <w:pStyle w:val="ListBullet3"/>
      </w:pPr>
      <w:r>
        <w:t>lighter constructed models that are used in conjunction with other physical security measures.</w:t>
      </w:r>
    </w:p>
    <w:p w:rsidR="006A207B" w:rsidRPr="00920EB6" w:rsidRDefault="006A207B" w:rsidP="00521E37">
      <w:pPr>
        <w:pStyle w:val="ListBullet2"/>
        <w:numPr>
          <w:ilvl w:val="0"/>
          <w:numId w:val="27"/>
        </w:numPr>
      </w:pPr>
      <w:r w:rsidRPr="00920EB6">
        <w:t>Class C—protects information up to an extreme business impact level in situations assessed as low risk. They are also used for information that has a medium business impact level in situations assessed as higher risk by the entity. These containers are fitted with a SCEC-approved restricted keyed lock and are of similar construction to the lighter Class B containers.</w:t>
      </w:r>
    </w:p>
    <w:p w:rsidR="006A207B" w:rsidRPr="0018687E" w:rsidRDefault="006A207B" w:rsidP="001D7DF5">
      <w:pPr>
        <w:pStyle w:val="Listbullet1"/>
        <w:rPr>
          <w:rFonts w:cstheme="minorHAnsi"/>
          <w:szCs w:val="20"/>
        </w:rPr>
      </w:pPr>
      <w:r>
        <w:rPr>
          <w:rFonts w:cstheme="minorHAnsi"/>
          <w:szCs w:val="20"/>
        </w:rPr>
        <w:t xml:space="preserve">For information on selecting security containers to store official information, see </w:t>
      </w:r>
      <w:r w:rsidR="0095477F">
        <w:rPr>
          <w:rFonts w:cstheme="minorHAnsi"/>
          <w:szCs w:val="20"/>
        </w:rPr>
        <w:t>PSPF policy:</w:t>
      </w:r>
      <w:r w:rsidR="0095477F" w:rsidRPr="0095477F">
        <w:t xml:space="preserve"> </w:t>
      </w:r>
      <w:hyperlink r:id="rId30" w:history="1">
        <w:r w:rsidR="00A3006A">
          <w:rPr>
            <w:rStyle w:val="Hyperlink"/>
          </w:rPr>
          <w:t>Sensitive and classified information</w:t>
        </w:r>
      </w:hyperlink>
      <w:r w:rsidRPr="0095477F">
        <w:t>,</w:t>
      </w:r>
      <w:r w:rsidR="006C0917">
        <w:t xml:space="preserve"> </w:t>
      </w:r>
      <w:r w:rsidR="006C0917">
        <w:rPr>
          <w:b/>
        </w:rPr>
        <w:t>Annexes A to E</w:t>
      </w:r>
      <w:r>
        <w:rPr>
          <w:rFonts w:cstheme="minorHAnsi"/>
          <w:szCs w:val="20"/>
        </w:rPr>
        <w:t xml:space="preserve">. </w:t>
      </w:r>
      <w:r w:rsidRPr="0018687E">
        <w:rPr>
          <w:rFonts w:cstheme="minorHAnsi"/>
          <w:szCs w:val="20"/>
        </w:rPr>
        <w:t>See the ASIO-T4 Security Equipment Evaluated Products List for SCEC approved secure containers.</w:t>
      </w:r>
    </w:p>
    <w:p w:rsidR="006A207B" w:rsidRDefault="006A207B" w:rsidP="008B268B">
      <w:pPr>
        <w:pStyle w:val="Heading5"/>
        <w:numPr>
          <w:ilvl w:val="3"/>
          <w:numId w:val="3"/>
        </w:numPr>
      </w:pPr>
      <w:r>
        <w:t>Commercial safes and vaults</w:t>
      </w:r>
    </w:p>
    <w:p w:rsidR="006A207B" w:rsidRPr="00343248" w:rsidRDefault="006A207B" w:rsidP="001D7DF5">
      <w:pPr>
        <w:pStyle w:val="Listbullet1"/>
        <w:rPr>
          <w:rFonts w:cstheme="minorHAnsi"/>
          <w:szCs w:val="20"/>
        </w:rPr>
      </w:pPr>
      <w:r>
        <w:rPr>
          <w:rFonts w:cstheme="minorHAnsi"/>
          <w:szCs w:val="20"/>
        </w:rPr>
        <w:t xml:space="preserve">Commercial safes and vaults provide a level of protection against forced entry. </w:t>
      </w:r>
      <w:r>
        <w:t xml:space="preserve">A vault is a secure space that is generally built in place and is normally larger than a safe. A safe is normally smaller than a vault and may be moveable. </w:t>
      </w:r>
      <w:r>
        <w:rPr>
          <w:rFonts w:cstheme="minorHAnsi"/>
          <w:szCs w:val="20"/>
        </w:rPr>
        <w:t xml:space="preserve">Safes and vaults provide </w:t>
      </w:r>
      <w:r w:rsidRPr="005C2D4F">
        <w:rPr>
          <w:rFonts w:cstheme="minorHAnsi"/>
          <w:szCs w:val="20"/>
        </w:rPr>
        <w:t>varying degrees of protection</w:t>
      </w:r>
      <w:r>
        <w:rPr>
          <w:rFonts w:cstheme="minorHAnsi"/>
          <w:szCs w:val="20"/>
        </w:rPr>
        <w:t xml:space="preserve"> depending on the construction and</w:t>
      </w:r>
      <w:r w:rsidRPr="00343248">
        <w:rPr>
          <w:rFonts w:cstheme="minorHAnsi"/>
          <w:szCs w:val="20"/>
        </w:rPr>
        <w:t xml:space="preserve"> may be used to store valuable physical assets</w:t>
      </w:r>
      <w:r w:rsidR="0082515F">
        <w:rPr>
          <w:rFonts w:cstheme="minorHAnsi"/>
          <w:szCs w:val="20"/>
        </w:rPr>
        <w:t>.</w:t>
      </w:r>
    </w:p>
    <w:p w:rsidR="006A207B" w:rsidRPr="00145D27" w:rsidRDefault="006A207B" w:rsidP="001D7DF5">
      <w:pPr>
        <w:pStyle w:val="Listbullet1"/>
      </w:pPr>
      <w:r w:rsidRPr="00145D27">
        <w:t>Safes and vaults can be</w:t>
      </w:r>
      <w:r>
        <w:t xml:space="preserve"> fire resistant (to protect documents or data), </w:t>
      </w:r>
      <w:r w:rsidRPr="00AD7289">
        <w:t>burglar resistant or</w:t>
      </w:r>
      <w:r>
        <w:t xml:space="preserve"> </w:t>
      </w:r>
      <w:r w:rsidRPr="00AD7289">
        <w:t xml:space="preserve">a combination of the two. </w:t>
      </w:r>
      <w:r>
        <w:t xml:space="preserve">The Attorney-General’s Department recommends entities </w:t>
      </w:r>
      <w:r w:rsidRPr="00F8298B">
        <w:t xml:space="preserve">seek advice from qualified locksmiths or manufacturers when </w:t>
      </w:r>
      <w:r>
        <w:t>deciding</w:t>
      </w:r>
      <w:r w:rsidRPr="00F8298B">
        <w:t xml:space="preserve"> the criteria to apply </w:t>
      </w:r>
      <w:r>
        <w:t xml:space="preserve">to </w:t>
      </w:r>
      <w:r w:rsidRPr="00F8298B">
        <w:t xml:space="preserve">select commercial safes and vaults. </w:t>
      </w:r>
      <w:r>
        <w:t xml:space="preserve">Guidance is also available in </w:t>
      </w:r>
      <w:hyperlink r:id="rId31" w:history="1">
        <w:r w:rsidRPr="006A62AB">
          <w:rPr>
            <w:rStyle w:val="Hyperlink"/>
            <w:szCs w:val="16"/>
          </w:rPr>
          <w:t>Australian Standard 3809 Safes and strongrooms</w:t>
        </w:r>
      </w:hyperlink>
      <w:r w:rsidRPr="00885CCA">
        <w:t xml:space="preserve"> </w:t>
      </w:r>
      <w:r>
        <w:t xml:space="preserve">and </w:t>
      </w:r>
      <w:r w:rsidRPr="00885CCA">
        <w:t xml:space="preserve">ASIO-T4 Security Equipment Guide </w:t>
      </w:r>
      <w:r w:rsidRPr="00E46E8C">
        <w:t>SEG-022 Safes</w:t>
      </w:r>
      <w:r>
        <w:t>—</w:t>
      </w:r>
      <w:r w:rsidRPr="00E46E8C">
        <w:t>Protection of Assets</w:t>
      </w:r>
      <w:r w:rsidRPr="00885CCA">
        <w:t xml:space="preserve"> </w:t>
      </w:r>
      <w:r>
        <w:t xml:space="preserve">from the </w:t>
      </w:r>
      <w:r w:rsidR="00E70E9D">
        <w:t>p</w:t>
      </w:r>
      <w:r>
        <w:t xml:space="preserve">rotective </w:t>
      </w:r>
      <w:r w:rsidR="00E70E9D">
        <w:t>s</w:t>
      </w:r>
      <w:r>
        <w:t xml:space="preserve">ecurity </w:t>
      </w:r>
      <w:r w:rsidR="00E70E9D">
        <w:t>p</w:t>
      </w:r>
      <w:r>
        <w:t xml:space="preserve">olicy community on </w:t>
      </w:r>
      <w:r w:rsidR="00F95CD6">
        <w:t>GovTEAMS</w:t>
      </w:r>
      <w:r>
        <w:t xml:space="preserve"> (for Australian Government security personnel only).</w:t>
      </w:r>
    </w:p>
    <w:p w:rsidR="00AE420A" w:rsidRDefault="006A62AB" w:rsidP="001D7DF5">
      <w:pPr>
        <w:pStyle w:val="Listbullet1"/>
      </w:pPr>
      <w:r w:rsidRPr="00A3006A">
        <w:rPr>
          <w:b/>
          <w:i/>
        </w:rPr>
        <w:fldChar w:fldCharType="begin"/>
      </w:r>
      <w:r w:rsidRPr="00A3006A">
        <w:rPr>
          <w:b/>
        </w:rPr>
        <w:instrText xml:space="preserve"> REF _Ref513633287 \h </w:instrText>
      </w:r>
      <w:r w:rsidR="00A3006A" w:rsidRPr="00A3006A">
        <w:rPr>
          <w:b/>
          <w:i/>
        </w:rPr>
        <w:instrText xml:space="preserve"> \* MERGEFORMAT </w:instrText>
      </w:r>
      <w:r w:rsidRPr="00A3006A">
        <w:rPr>
          <w:b/>
          <w:i/>
        </w:rPr>
      </w:r>
      <w:r w:rsidRPr="00A3006A">
        <w:rPr>
          <w:b/>
          <w:i/>
        </w:rPr>
        <w:fldChar w:fldCharType="separate"/>
      </w:r>
      <w:r w:rsidR="004B478D" w:rsidRPr="00A3006A">
        <w:rPr>
          <w:b/>
        </w:rPr>
        <w:t xml:space="preserve">Table </w:t>
      </w:r>
      <w:r w:rsidR="004B478D" w:rsidRPr="00A3006A">
        <w:rPr>
          <w:b/>
          <w:noProof/>
        </w:rPr>
        <w:t>3</w:t>
      </w:r>
      <w:r w:rsidRPr="00A3006A">
        <w:rPr>
          <w:b/>
          <w:i/>
        </w:rPr>
        <w:fldChar w:fldCharType="end"/>
      </w:r>
      <w:r w:rsidR="006A207B">
        <w:t xml:space="preserve"> sets out the minimum commercial safe and vault </w:t>
      </w:r>
      <w:r w:rsidR="003353F1">
        <w:t xml:space="preserve">requirements in the applicable </w:t>
      </w:r>
      <w:r w:rsidR="00A3006A">
        <w:t>z</w:t>
      </w:r>
      <w:r w:rsidR="00B965B1">
        <w:t xml:space="preserve">ones </w:t>
      </w:r>
      <w:r w:rsidR="006A207B">
        <w:t xml:space="preserve">based on the </w:t>
      </w:r>
      <w:r w:rsidR="006A207B" w:rsidRPr="00F57F75">
        <w:t xml:space="preserve">business impact </w:t>
      </w:r>
      <w:r w:rsidR="006A207B">
        <w:t xml:space="preserve">level </w:t>
      </w:r>
      <w:r w:rsidR="006A207B" w:rsidRPr="00F57F75">
        <w:t xml:space="preserve">of </w:t>
      </w:r>
      <w:r w:rsidR="006A207B">
        <w:t>the compromise, loss or damage</w:t>
      </w:r>
      <w:r w:rsidR="006A207B" w:rsidRPr="00F57F75">
        <w:t xml:space="preserve"> </w:t>
      </w:r>
      <w:r w:rsidR="006A207B">
        <w:t>to</w:t>
      </w:r>
      <w:r w:rsidR="006A207B" w:rsidRPr="00F57F75">
        <w:t xml:space="preserve"> </w:t>
      </w:r>
      <w:r w:rsidR="006A207B">
        <w:t xml:space="preserve">physical </w:t>
      </w:r>
      <w:r w:rsidR="006A207B" w:rsidRPr="00F57F75">
        <w:t>assets</w:t>
      </w:r>
      <w:r w:rsidR="009736A7">
        <w:t xml:space="preserve"> that are not classified or </w:t>
      </w:r>
      <w:r w:rsidR="002C6FE3">
        <w:t>do not</w:t>
      </w:r>
      <w:r w:rsidR="009736A7">
        <w:t xml:space="preserve"> hold any classified information</w:t>
      </w:r>
      <w:r w:rsidR="006A207B">
        <w:t>.</w:t>
      </w:r>
      <w:r w:rsidR="00B965B1">
        <w:t xml:space="preserve"> </w:t>
      </w:r>
    </w:p>
    <w:p w:rsidR="00A05362" w:rsidRDefault="00A3006A" w:rsidP="001D7DF5">
      <w:pPr>
        <w:pStyle w:val="Caption"/>
      </w:pPr>
      <w:r w:rsidRPr="00521E37">
        <w:fldChar w:fldCharType="begin"/>
      </w:r>
      <w:r w:rsidRPr="00A3006A">
        <w:instrText xml:space="preserve"> REF _Ref513633287 \h </w:instrText>
      </w:r>
      <w:r w:rsidRPr="00521E37">
        <w:instrText xml:space="preserve"> \* MERGEFORMAT </w:instrText>
      </w:r>
      <w:r w:rsidRPr="00521E37">
        <w:fldChar w:fldCharType="separate"/>
      </w:r>
      <w:r w:rsidRPr="00A3006A">
        <w:t>Table 3</w:t>
      </w:r>
      <w:r w:rsidRPr="00521E37">
        <w:fldChar w:fldCharType="end"/>
      </w:r>
      <w:r w:rsidR="00032AA3">
        <w:t xml:space="preserve"> </w:t>
      </w:r>
      <w:r w:rsidR="006A62AB">
        <w:t>Selecting commercial safes and vaults to protect physical assets</w:t>
      </w:r>
      <w:r w:rsidR="004D75F6">
        <w:t xml:space="preserve">, </w:t>
      </w:r>
      <w:r w:rsidR="00AD6609">
        <w:t>other than classified assets</w:t>
      </w:r>
      <w:r w:rsidR="00FD4A3C">
        <w:t xml:space="preserve"> </w:t>
      </w:r>
    </w:p>
    <w:tbl>
      <w:tblPr>
        <w:tblStyle w:val="LightShading-Accent4"/>
        <w:tblW w:w="10598" w:type="dxa"/>
        <w:tblBorders>
          <w:insideH w:val="single" w:sz="8" w:space="0" w:color="8064A2" w:themeColor="accent4"/>
        </w:tblBorders>
        <w:tblLayout w:type="fixed"/>
        <w:tblLook w:val="04A0" w:firstRow="1" w:lastRow="0" w:firstColumn="1" w:lastColumn="0" w:noHBand="0" w:noVBand="1"/>
        <w:tblCaption w:val="Selecting commercial safes and vaults to protect valuable physical assets"/>
        <w:tblDescription w:val="This table describes commercial safes and vaults to protect valuable physical assets based on the business impact level of the asset and the physical security zone that asset is to be stored in. There are five physical security zones.&#10;&#10;Zone One&#10;To protect assets with a low business impact (business impact level 1) in Zone One, safe or vault selection is determined by an entity risk assessment (locked commercial container recommended).&#10;To protect assets with a low to medium business impact (business impact level 2) in Zone One, safe or vault selection is determined by an entity risk assessment (commercial safe or vault recommended).&#10;To protect assets with a high business impact (business impact level 3) in Zone One select an AS 3809 commercial safe or vault.&#10;To protect assets with an extreme business impact (business impact level 4) in Zone One select an AS 3809 high security safe or vault.&#10;To protect assets with an catastrophic business impact (business impact level 5), these assest are not held in Zone One unless unavoidable.&#10;&#10;Zone Two&#10;To protect assets with a low business impact (business impact level 1) in Zone Two, safe or vault selection is determined by an entity risk assessment (locked commercial container recommended).&#10;To protect assets with a low to medium business impact (business impact level 2) in Zone Two, safe or vault selection is determined by an entity risk assessment.&#10;To protect assets with a high business impact (business impact level 3) in Zone Two select a commercial safe or vault.&#10;To protect assets with an extreme business impact (business impact level 4) in Zone Two an AS 3809 medium security safe or vault is recommended.&#10;To protect assets with an catastrophic business impact (business impact level 5), these assest are not held in Zone Two unless unavoidable.&#10;&#10;Zone Three&#10;To protect assets with a low business impact (business impact level 1) in Zone Three, safe or vault selection is determined by an entity risk assessment.&#10;To protect assets with a low to medium business impact (business impact level 2) in Zone Three, safe or vault selection is determined by an entity risk assessment.&#10;To protect assets with a high business impact (business impact level 3) in Zone Three, safe or vault selection is determined by an entity risk assessment (a commercial safe or vault is recommended).&#10;To protect assets with an extreme business impact (business impact level 4) in Zone Three an AS 3809 commercial safe or vault is recommended.&#10;To protect assets with an catastrophic business impact (business impact level 5), an AS 3809 high or very high security safe or vault is recommended.&#10;&#10;Zone Four&#10;To protect assets with a low business impact (business impact level 1) in Zone Four, safe or vault selection is determined by an entity risk assessment.&#10;To protect assets with a low to medium business impact (business impact level 2) in Zone Four, safe or vault selection is determined by an entity risk assessment.&#10;To protect assets with a high business impact (business impact level 3) in Zone Four, safe or vault selection is determined by an entity risk assessment.&#10;To protect assets with an extreme business impact (business impact level 4) in Zone Four a commercial safe or vault is recommended.&#10;To protect assets with an catastrophic business impact (business impact level 5), an AS 3809 medium or highsecurity safe or vault is recommended.&#10;&#10;Zone Five&#10;To protect assets with a low business impact (business impact level 1) in Zone Five, safe or vault selection is determined by an entity risk assessment.&#10;To protect assets with a low to medium business impact (business impact level 2) in Zone Five, safe or vault selection is determined by an entity risk assessment.&#10;To protect assets with a high business impact (business impact level 3) in Zone Five, safe or vault selection is determined by an entity risk assessment.&#10;To protect assets with an extreme business impact (business impact level 4) in Zone Five a commercial safe or vault is recommended.&#10;To protect assets with an catastrophic business impact (business impact level 5), an AS 3809 medium or highsecurity safe or vault is recommended.&#10;"/>
      </w:tblPr>
      <w:tblGrid>
        <w:gridCol w:w="1668"/>
        <w:gridCol w:w="1786"/>
        <w:gridCol w:w="1786"/>
        <w:gridCol w:w="1786"/>
        <w:gridCol w:w="1786"/>
        <w:gridCol w:w="1786"/>
      </w:tblGrid>
      <w:tr w:rsidR="004E53E1" w:rsidRPr="0068552B" w:rsidTr="004E53E1">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668" w:type="dxa"/>
            <w:tcBorders>
              <w:top w:val="none" w:sz="0" w:space="0" w:color="auto"/>
              <w:left w:val="none" w:sz="0" w:space="0" w:color="auto"/>
              <w:bottom w:val="none" w:sz="0" w:space="0" w:color="auto"/>
              <w:right w:val="none" w:sz="0" w:space="0" w:color="auto"/>
            </w:tcBorders>
          </w:tcPr>
          <w:p w:rsidR="004E53E1" w:rsidRPr="00DE0F69" w:rsidRDefault="004E53E1" w:rsidP="004E53E1">
            <w:pPr>
              <w:pStyle w:val="Tablebody"/>
              <w:rPr>
                <w:rStyle w:val="Strong"/>
                <w:b/>
              </w:rPr>
            </w:pPr>
            <w:r w:rsidRPr="00DE0F69">
              <w:rPr>
                <w:rStyle w:val="Strong"/>
                <w:b/>
              </w:rPr>
              <w:t>Business impact level</w:t>
            </w:r>
          </w:p>
        </w:tc>
        <w:tc>
          <w:tcPr>
            <w:tcW w:w="1786" w:type="dxa"/>
            <w:tcBorders>
              <w:top w:val="none" w:sz="0" w:space="0" w:color="auto"/>
              <w:left w:val="none" w:sz="0" w:space="0" w:color="auto"/>
              <w:bottom w:val="none" w:sz="0" w:space="0" w:color="auto"/>
              <w:right w:val="none" w:sz="0" w:space="0" w:color="auto"/>
            </w:tcBorders>
          </w:tcPr>
          <w:p w:rsidR="004E53E1" w:rsidRPr="00DE0F69" w:rsidRDefault="004E53E1" w:rsidP="004E53E1">
            <w:pPr>
              <w:pStyle w:val="Tablebody"/>
              <w:cnfStyle w:val="100000000000" w:firstRow="1" w:lastRow="0" w:firstColumn="0" w:lastColumn="0" w:oddVBand="0" w:evenVBand="0" w:oddHBand="0" w:evenHBand="0" w:firstRowFirstColumn="0" w:firstRowLastColumn="0" w:lastRowFirstColumn="0" w:lastRowLastColumn="0"/>
              <w:rPr>
                <w:rStyle w:val="Strong"/>
                <w:b/>
              </w:rPr>
            </w:pPr>
            <w:r w:rsidRPr="00DE0F69">
              <w:rPr>
                <w:rStyle w:val="Strong"/>
                <w:b/>
              </w:rPr>
              <w:t>1 Low business impact</w:t>
            </w:r>
          </w:p>
        </w:tc>
        <w:tc>
          <w:tcPr>
            <w:tcW w:w="1786" w:type="dxa"/>
            <w:tcBorders>
              <w:top w:val="none" w:sz="0" w:space="0" w:color="auto"/>
              <w:left w:val="none" w:sz="0" w:space="0" w:color="auto"/>
              <w:bottom w:val="none" w:sz="0" w:space="0" w:color="auto"/>
              <w:right w:val="none" w:sz="0" w:space="0" w:color="auto"/>
            </w:tcBorders>
          </w:tcPr>
          <w:p w:rsidR="004E53E1" w:rsidRPr="00DE0F69" w:rsidRDefault="004E53E1" w:rsidP="004E53E1">
            <w:pPr>
              <w:pStyle w:val="Tablebody"/>
              <w:cnfStyle w:val="100000000000" w:firstRow="1" w:lastRow="0" w:firstColumn="0" w:lastColumn="0" w:oddVBand="0" w:evenVBand="0" w:oddHBand="0" w:evenHBand="0" w:firstRowFirstColumn="0" w:firstRowLastColumn="0" w:lastRowFirstColumn="0" w:lastRowLastColumn="0"/>
              <w:rPr>
                <w:rStyle w:val="Strong"/>
                <w:b/>
              </w:rPr>
            </w:pPr>
            <w:r w:rsidRPr="00DE0F69">
              <w:rPr>
                <w:rStyle w:val="Strong"/>
                <w:b/>
              </w:rPr>
              <w:t>2 Low to medium business impact</w:t>
            </w:r>
          </w:p>
        </w:tc>
        <w:tc>
          <w:tcPr>
            <w:tcW w:w="1786" w:type="dxa"/>
            <w:tcBorders>
              <w:top w:val="none" w:sz="0" w:space="0" w:color="auto"/>
              <w:left w:val="none" w:sz="0" w:space="0" w:color="auto"/>
              <w:bottom w:val="none" w:sz="0" w:space="0" w:color="auto"/>
              <w:right w:val="none" w:sz="0" w:space="0" w:color="auto"/>
            </w:tcBorders>
            <w:shd w:val="clear" w:color="auto" w:fill="4F81BD" w:themeFill="accent1"/>
          </w:tcPr>
          <w:p w:rsidR="004E53E1" w:rsidRPr="00DE0F69" w:rsidRDefault="004E53E1" w:rsidP="004E53E1">
            <w:pPr>
              <w:pStyle w:val="Tablebody"/>
              <w:cnfStyle w:val="100000000000" w:firstRow="1" w:lastRow="0" w:firstColumn="0" w:lastColumn="0" w:oddVBand="0" w:evenVBand="0" w:oddHBand="0" w:evenHBand="0" w:firstRowFirstColumn="0" w:firstRowLastColumn="0" w:lastRowFirstColumn="0" w:lastRowLastColumn="0"/>
              <w:rPr>
                <w:rStyle w:val="Strong"/>
                <w:b/>
                <w:color w:val="FFFFFF" w:themeColor="background1"/>
              </w:rPr>
            </w:pPr>
            <w:r w:rsidRPr="00DE0F69">
              <w:rPr>
                <w:rStyle w:val="Strong"/>
                <w:b/>
                <w:color w:val="FFFFFF" w:themeColor="background1"/>
              </w:rPr>
              <w:t>3 High business impact</w:t>
            </w:r>
          </w:p>
        </w:tc>
        <w:tc>
          <w:tcPr>
            <w:tcW w:w="1786"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4E53E1" w:rsidRPr="002B3B16" w:rsidRDefault="004E53E1" w:rsidP="004E53E1">
            <w:pPr>
              <w:pStyle w:val="Tablebody"/>
              <w:cnfStyle w:val="100000000000" w:firstRow="1" w:lastRow="0" w:firstColumn="0" w:lastColumn="0" w:oddVBand="0" w:evenVBand="0" w:oddHBand="0" w:evenHBand="0" w:firstRowFirstColumn="0" w:firstRowLastColumn="0" w:lastRowFirstColumn="0" w:lastRowLastColumn="0"/>
              <w:rPr>
                <w:rStyle w:val="Strong"/>
                <w:b/>
                <w:caps/>
              </w:rPr>
            </w:pPr>
            <w:r w:rsidRPr="00DE0F69">
              <w:rPr>
                <w:rStyle w:val="Strong"/>
                <w:b/>
              </w:rPr>
              <w:t>4 Extreme business impact</w:t>
            </w:r>
          </w:p>
        </w:tc>
        <w:tc>
          <w:tcPr>
            <w:tcW w:w="1786" w:type="dxa"/>
            <w:tcBorders>
              <w:top w:val="none" w:sz="0" w:space="0" w:color="auto"/>
              <w:left w:val="none" w:sz="0" w:space="0" w:color="auto"/>
              <w:bottom w:val="none" w:sz="0" w:space="0" w:color="auto"/>
              <w:right w:val="none" w:sz="0" w:space="0" w:color="auto"/>
            </w:tcBorders>
            <w:shd w:val="clear" w:color="auto" w:fill="FF0000"/>
          </w:tcPr>
          <w:p w:rsidR="004E53E1" w:rsidRPr="002B3B16" w:rsidRDefault="004E53E1" w:rsidP="004E53E1">
            <w:pPr>
              <w:pStyle w:val="Tablebody"/>
              <w:cnfStyle w:val="100000000000" w:firstRow="1" w:lastRow="0" w:firstColumn="0" w:lastColumn="0" w:oddVBand="0" w:evenVBand="0" w:oddHBand="0" w:evenHBand="0" w:firstRowFirstColumn="0" w:firstRowLastColumn="0" w:lastRowFirstColumn="0" w:lastRowLastColumn="0"/>
              <w:rPr>
                <w:rStyle w:val="Strong"/>
                <w:b/>
                <w:caps/>
                <w:color w:val="FFFFFF" w:themeColor="background1"/>
              </w:rPr>
            </w:pPr>
            <w:r w:rsidRPr="00DE0F69">
              <w:rPr>
                <w:rStyle w:val="Strong"/>
                <w:b/>
                <w:color w:val="FFFFFF" w:themeColor="background1"/>
              </w:rPr>
              <w:t>5 Catastrophic business impact</w:t>
            </w:r>
          </w:p>
        </w:tc>
      </w:tr>
      <w:tr w:rsidR="004E53E1" w:rsidRPr="0068552B" w:rsidTr="004E53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68" w:type="dxa"/>
            <w:tcBorders>
              <w:left w:val="none" w:sz="0" w:space="0" w:color="auto"/>
              <w:right w:val="none" w:sz="0" w:space="0" w:color="auto"/>
            </w:tcBorders>
          </w:tcPr>
          <w:p w:rsidR="004E53E1" w:rsidRPr="00AF5BE8" w:rsidRDefault="004E53E1" w:rsidP="004E53E1">
            <w:pPr>
              <w:pStyle w:val="Tablebody"/>
              <w:rPr>
                <w:rStyle w:val="Strong"/>
                <w:b/>
              </w:rPr>
            </w:pPr>
            <w:r>
              <w:rPr>
                <w:rStyle w:val="Strong"/>
                <w:b/>
              </w:rPr>
              <w:t>Zone One</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Determined by an entity risk assessment, locked commercial container recommended</w:t>
            </w:r>
            <w:r>
              <w:t>.</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Determined by an entity risk assessment, commercial safe or vault recommended</w:t>
            </w:r>
            <w:r>
              <w:t>.</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AS 3809 commercial safe or vault</w:t>
            </w:r>
            <w:r>
              <w:t>.</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AS 3809 high security safe or vault</w:t>
            </w:r>
            <w:r>
              <w:t>.</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Not to be held unless unavoidable</w:t>
            </w:r>
            <w:r>
              <w:t>.</w:t>
            </w:r>
          </w:p>
        </w:tc>
      </w:tr>
      <w:tr w:rsidR="004E53E1" w:rsidRPr="0068552B" w:rsidTr="004E53E1">
        <w:trPr>
          <w:cantSplit/>
        </w:trPr>
        <w:tc>
          <w:tcPr>
            <w:cnfStyle w:val="001000000000" w:firstRow="0" w:lastRow="0" w:firstColumn="1" w:lastColumn="0" w:oddVBand="0" w:evenVBand="0" w:oddHBand="0" w:evenHBand="0" w:firstRowFirstColumn="0" w:firstRowLastColumn="0" w:lastRowFirstColumn="0" w:lastRowLastColumn="0"/>
            <w:tcW w:w="1668" w:type="dxa"/>
          </w:tcPr>
          <w:p w:rsidR="004E53E1" w:rsidRDefault="004E53E1" w:rsidP="004E53E1">
            <w:pPr>
              <w:pStyle w:val="Tablebody"/>
              <w:rPr>
                <w:rStyle w:val="Strong"/>
                <w:b/>
              </w:rPr>
            </w:pPr>
            <w:r>
              <w:rPr>
                <w:rStyle w:val="Strong"/>
                <w:b/>
              </w:rPr>
              <w:t>Zone Two</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Determined by an entity risk assessment, locked commercial container recommended</w:t>
            </w:r>
            <w:r>
              <w:t>.</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Determined by an entity risk assessment</w:t>
            </w:r>
            <w:r>
              <w:t>.</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Commercial safe or vault</w:t>
            </w:r>
            <w:r>
              <w:t>.</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AS 3809 medium security safe or vault recommended</w:t>
            </w:r>
            <w:r>
              <w:t>.</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Not to be held unless unavoidable</w:t>
            </w:r>
            <w:r>
              <w:t>.</w:t>
            </w:r>
          </w:p>
        </w:tc>
      </w:tr>
      <w:tr w:rsidR="004E53E1" w:rsidRPr="0068552B" w:rsidTr="004E53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68" w:type="dxa"/>
            <w:tcBorders>
              <w:left w:val="none" w:sz="0" w:space="0" w:color="auto"/>
              <w:right w:val="none" w:sz="0" w:space="0" w:color="auto"/>
            </w:tcBorders>
          </w:tcPr>
          <w:p w:rsidR="004E53E1" w:rsidRDefault="004E53E1" w:rsidP="004E53E1">
            <w:pPr>
              <w:pStyle w:val="Tablebody"/>
              <w:rPr>
                <w:rStyle w:val="Strong"/>
                <w:b/>
              </w:rPr>
            </w:pPr>
            <w:r>
              <w:rPr>
                <w:rStyle w:val="Strong"/>
                <w:b/>
              </w:rPr>
              <w:lastRenderedPageBreak/>
              <w:t>Zone Three</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Determined by an entity risk assessment</w:t>
            </w:r>
            <w:r>
              <w:t>.</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Determined by an entity risk assessment</w:t>
            </w:r>
            <w:r>
              <w:t>.</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Determined by an entity risk assessment, commercial safe or vault recommended</w:t>
            </w:r>
            <w:r>
              <w:t>.</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AS 3809 commercial safe or vault recommended</w:t>
            </w:r>
            <w:r>
              <w:t>.</w:t>
            </w:r>
          </w:p>
        </w:tc>
        <w:tc>
          <w:tcPr>
            <w:tcW w:w="1786" w:type="dxa"/>
            <w:tcBorders>
              <w:left w:val="none" w:sz="0" w:space="0" w:color="auto"/>
              <w:right w:val="none" w:sz="0" w:space="0" w:color="auto"/>
            </w:tcBorders>
          </w:tcPr>
          <w:p w:rsidR="004E53E1" w:rsidRPr="00DE0F69" w:rsidRDefault="004E53E1" w:rsidP="004E53E1">
            <w:pPr>
              <w:pStyle w:val="Tablebody"/>
              <w:cnfStyle w:val="000000100000" w:firstRow="0" w:lastRow="0" w:firstColumn="0" w:lastColumn="0" w:oddVBand="0" w:evenVBand="0" w:oddHBand="1" w:evenHBand="0" w:firstRowFirstColumn="0" w:firstRowLastColumn="0" w:lastRowFirstColumn="0" w:lastRowLastColumn="0"/>
            </w:pPr>
            <w:r w:rsidRPr="004E53E1">
              <w:t>AS 3809 high or very high security safe or vault recommended</w:t>
            </w:r>
            <w:r>
              <w:t>.</w:t>
            </w:r>
          </w:p>
        </w:tc>
      </w:tr>
      <w:tr w:rsidR="004E53E1" w:rsidRPr="0068552B" w:rsidTr="004E53E1">
        <w:trPr>
          <w:cantSplit/>
        </w:trPr>
        <w:tc>
          <w:tcPr>
            <w:cnfStyle w:val="001000000000" w:firstRow="0" w:lastRow="0" w:firstColumn="1" w:lastColumn="0" w:oddVBand="0" w:evenVBand="0" w:oddHBand="0" w:evenHBand="0" w:firstRowFirstColumn="0" w:firstRowLastColumn="0" w:lastRowFirstColumn="0" w:lastRowLastColumn="0"/>
            <w:tcW w:w="1668" w:type="dxa"/>
          </w:tcPr>
          <w:p w:rsidR="004E53E1" w:rsidRDefault="004E53E1" w:rsidP="004E53E1">
            <w:pPr>
              <w:pStyle w:val="Tablebody"/>
              <w:rPr>
                <w:rStyle w:val="Strong"/>
                <w:b/>
              </w:rPr>
            </w:pPr>
            <w:r>
              <w:rPr>
                <w:rStyle w:val="Strong"/>
                <w:b/>
              </w:rPr>
              <w:t>Zone Four</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Determined by an entity risk assessment</w:t>
            </w:r>
            <w:r>
              <w:t>.</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Determined by an entity risk assessment</w:t>
            </w:r>
            <w:r>
              <w:t>.</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Determined by an entity risk assessment</w:t>
            </w:r>
            <w:r>
              <w:t>.</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Commercial safe or vault recommended</w:t>
            </w:r>
            <w:r>
              <w:t>.</w:t>
            </w:r>
          </w:p>
        </w:tc>
        <w:tc>
          <w:tcPr>
            <w:tcW w:w="1786" w:type="dxa"/>
          </w:tcPr>
          <w:p w:rsidR="004E53E1" w:rsidRPr="00DE0F69" w:rsidRDefault="004E53E1" w:rsidP="004E53E1">
            <w:pPr>
              <w:pStyle w:val="Tablebody"/>
              <w:cnfStyle w:val="000000000000" w:firstRow="0" w:lastRow="0" w:firstColumn="0" w:lastColumn="0" w:oddVBand="0" w:evenVBand="0" w:oddHBand="0" w:evenHBand="0" w:firstRowFirstColumn="0" w:firstRowLastColumn="0" w:lastRowFirstColumn="0" w:lastRowLastColumn="0"/>
            </w:pPr>
            <w:r w:rsidRPr="004E53E1">
              <w:t>AS 3809 medium or high security safe or vault recommended</w:t>
            </w:r>
            <w:r>
              <w:t>.</w:t>
            </w:r>
          </w:p>
        </w:tc>
      </w:tr>
      <w:tr w:rsidR="004E53E1" w:rsidRPr="0068552B" w:rsidTr="004E53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68" w:type="dxa"/>
            <w:tcBorders>
              <w:left w:val="none" w:sz="0" w:space="0" w:color="auto"/>
              <w:right w:val="none" w:sz="0" w:space="0" w:color="auto"/>
            </w:tcBorders>
          </w:tcPr>
          <w:p w:rsidR="004E53E1" w:rsidRDefault="004E53E1" w:rsidP="004E53E1">
            <w:pPr>
              <w:pStyle w:val="Tablebody"/>
              <w:rPr>
                <w:rStyle w:val="Strong"/>
                <w:b/>
              </w:rPr>
            </w:pPr>
            <w:r>
              <w:rPr>
                <w:rStyle w:val="Strong"/>
                <w:b/>
              </w:rPr>
              <w:t>Zone Five</w:t>
            </w:r>
          </w:p>
        </w:tc>
        <w:tc>
          <w:tcPr>
            <w:tcW w:w="1786" w:type="dxa"/>
            <w:tcBorders>
              <w:left w:val="none" w:sz="0" w:space="0" w:color="auto"/>
              <w:right w:val="none" w:sz="0" w:space="0" w:color="auto"/>
            </w:tcBorders>
          </w:tcPr>
          <w:p w:rsidR="004E53E1" w:rsidRPr="00DE0F69" w:rsidRDefault="00E52CD5" w:rsidP="004E53E1">
            <w:pPr>
              <w:pStyle w:val="Tablebody"/>
              <w:cnfStyle w:val="000000100000" w:firstRow="0" w:lastRow="0" w:firstColumn="0" w:lastColumn="0" w:oddVBand="0" w:evenVBand="0" w:oddHBand="1" w:evenHBand="0" w:firstRowFirstColumn="0" w:firstRowLastColumn="0" w:lastRowFirstColumn="0" w:lastRowLastColumn="0"/>
            </w:pPr>
            <w:r>
              <w:t>Determined by an entity risk assessment</w:t>
            </w:r>
            <w:r w:rsidR="00A3006A">
              <w:t>.</w:t>
            </w:r>
          </w:p>
        </w:tc>
        <w:tc>
          <w:tcPr>
            <w:tcW w:w="1786" w:type="dxa"/>
            <w:tcBorders>
              <w:left w:val="none" w:sz="0" w:space="0" w:color="auto"/>
              <w:right w:val="none" w:sz="0" w:space="0" w:color="auto"/>
            </w:tcBorders>
          </w:tcPr>
          <w:p w:rsidR="004E53E1" w:rsidRPr="00DE0F69" w:rsidRDefault="00E52CD5" w:rsidP="004E53E1">
            <w:pPr>
              <w:pStyle w:val="Tablebody"/>
              <w:cnfStyle w:val="000000100000" w:firstRow="0" w:lastRow="0" w:firstColumn="0" w:lastColumn="0" w:oddVBand="0" w:evenVBand="0" w:oddHBand="1" w:evenHBand="0" w:firstRowFirstColumn="0" w:firstRowLastColumn="0" w:lastRowFirstColumn="0" w:lastRowLastColumn="0"/>
            </w:pPr>
            <w:r>
              <w:t>Determined by an entity risk assessment</w:t>
            </w:r>
            <w:r w:rsidR="004E53E1">
              <w:t>.</w:t>
            </w:r>
          </w:p>
        </w:tc>
        <w:tc>
          <w:tcPr>
            <w:tcW w:w="1786" w:type="dxa"/>
            <w:tcBorders>
              <w:left w:val="none" w:sz="0" w:space="0" w:color="auto"/>
              <w:right w:val="none" w:sz="0" w:space="0" w:color="auto"/>
            </w:tcBorders>
          </w:tcPr>
          <w:p w:rsidR="004E53E1" w:rsidRPr="00DE0F69" w:rsidRDefault="00E52CD5" w:rsidP="004E53E1">
            <w:pPr>
              <w:pStyle w:val="Tablebody"/>
              <w:cnfStyle w:val="000000100000" w:firstRow="0" w:lastRow="0" w:firstColumn="0" w:lastColumn="0" w:oddVBand="0" w:evenVBand="0" w:oddHBand="1" w:evenHBand="0" w:firstRowFirstColumn="0" w:firstRowLastColumn="0" w:lastRowFirstColumn="0" w:lastRowLastColumn="0"/>
            </w:pPr>
            <w:r>
              <w:t>Determined by an entity risk assessment</w:t>
            </w:r>
          </w:p>
        </w:tc>
        <w:tc>
          <w:tcPr>
            <w:tcW w:w="1786" w:type="dxa"/>
            <w:tcBorders>
              <w:left w:val="none" w:sz="0" w:space="0" w:color="auto"/>
              <w:right w:val="none" w:sz="0" w:space="0" w:color="auto"/>
            </w:tcBorders>
          </w:tcPr>
          <w:p w:rsidR="004E53E1" w:rsidRPr="00DE0F69" w:rsidRDefault="00E52CD5" w:rsidP="004E53E1">
            <w:pPr>
              <w:pStyle w:val="Tablebody"/>
              <w:cnfStyle w:val="000000100000" w:firstRow="0" w:lastRow="0" w:firstColumn="0" w:lastColumn="0" w:oddVBand="0" w:evenVBand="0" w:oddHBand="1" w:evenHBand="0" w:firstRowFirstColumn="0" w:firstRowLastColumn="0" w:lastRowFirstColumn="0" w:lastRowLastColumn="0"/>
            </w:pPr>
            <w:r>
              <w:t>Commercial safe or vault recommended</w:t>
            </w:r>
            <w:r w:rsidR="004E53E1">
              <w:t>.</w:t>
            </w:r>
          </w:p>
        </w:tc>
        <w:tc>
          <w:tcPr>
            <w:tcW w:w="1786" w:type="dxa"/>
            <w:tcBorders>
              <w:left w:val="none" w:sz="0" w:space="0" w:color="auto"/>
              <w:right w:val="none" w:sz="0" w:space="0" w:color="auto"/>
            </w:tcBorders>
          </w:tcPr>
          <w:p w:rsidR="004E53E1" w:rsidRPr="00DE0F69" w:rsidRDefault="00E52CD5" w:rsidP="004E53E1">
            <w:pPr>
              <w:pStyle w:val="Tablebody"/>
              <w:cnfStyle w:val="000000100000" w:firstRow="0" w:lastRow="0" w:firstColumn="0" w:lastColumn="0" w:oddVBand="0" w:evenVBand="0" w:oddHBand="1" w:evenHBand="0" w:firstRowFirstColumn="0" w:firstRowLastColumn="0" w:lastRowFirstColumn="0" w:lastRowLastColumn="0"/>
            </w:pPr>
            <w:r>
              <w:t>AS 3809 medium or high security safe or vault recommended</w:t>
            </w:r>
            <w:r w:rsidR="004E53E1">
              <w:t>.</w:t>
            </w:r>
          </w:p>
        </w:tc>
      </w:tr>
    </w:tbl>
    <w:p w:rsidR="004E53E1" w:rsidRDefault="004E53E1" w:rsidP="001D7DF5">
      <w:pPr>
        <w:pStyle w:val="Listbullet1"/>
        <w:numPr>
          <w:ilvl w:val="0"/>
          <w:numId w:val="0"/>
        </w:numPr>
        <w:ind w:left="360"/>
      </w:pPr>
    </w:p>
    <w:p w:rsidR="004E53E1" w:rsidRPr="0018687E" w:rsidRDefault="004E53E1" w:rsidP="001D7DF5">
      <w:pPr>
        <w:pStyle w:val="Listbullet1"/>
      </w:pPr>
      <w:r>
        <w:t xml:space="preserve">The Attorney-General’s Department recommends that entities implement other physical controls that give the same level of intrusion resistance and delay where physical assets cannot be secured in commercial safes and vaults. </w:t>
      </w:r>
      <w:r w:rsidRPr="002D23AF">
        <w:t xml:space="preserve">These physical controls </w:t>
      </w:r>
      <w:r>
        <w:t xml:space="preserve">may </w:t>
      </w:r>
      <w:r w:rsidRPr="002D23AF">
        <w:t>include individual item alarms, alarm circuits or additional out-of-hours guarding.</w:t>
      </w:r>
    </w:p>
    <w:p w:rsidR="004E53E1" w:rsidRDefault="004E53E1" w:rsidP="008B268B">
      <w:pPr>
        <w:pStyle w:val="Heading5"/>
        <w:numPr>
          <w:ilvl w:val="3"/>
          <w:numId w:val="3"/>
        </w:numPr>
      </w:pPr>
      <w:r>
        <w:t>Vehicle safes</w:t>
      </w:r>
    </w:p>
    <w:p w:rsidR="004E53E1" w:rsidRPr="00862275" w:rsidRDefault="004E53E1" w:rsidP="001D7DF5">
      <w:pPr>
        <w:pStyle w:val="Listbullet1"/>
      </w:pPr>
      <w:r>
        <w:rPr>
          <w:rFonts w:cstheme="minorHAnsi"/>
          <w:szCs w:val="20"/>
        </w:rPr>
        <w:t xml:space="preserve">Entities may consider fitting vehicles used by field staff with field safes to carry valuable assets and official information. </w:t>
      </w:r>
      <w:r w:rsidRPr="00862275">
        <w:t>Vehicle safes give some protection against opportunist theft and are only of value when vehicles are fitted with other anti-theft controls.</w:t>
      </w:r>
    </w:p>
    <w:p w:rsidR="004E53E1" w:rsidRDefault="004E53E1" w:rsidP="008B268B">
      <w:pPr>
        <w:pStyle w:val="Heading5"/>
        <w:numPr>
          <w:ilvl w:val="3"/>
          <w:numId w:val="3"/>
        </w:numPr>
      </w:pPr>
      <w:r>
        <w:t>Managing security containers and cabinets</w:t>
      </w:r>
    </w:p>
    <w:p w:rsidR="004E53E1" w:rsidRPr="005376D2" w:rsidRDefault="004E53E1" w:rsidP="001D7DF5">
      <w:pPr>
        <w:pStyle w:val="Listbullet1"/>
      </w:pPr>
      <w:r>
        <w:rPr>
          <w:rFonts w:cstheme="minorHAnsi"/>
          <w:szCs w:val="20"/>
        </w:rPr>
        <w:t xml:space="preserve">Security containers and cabinets can be a source of security risk if not managed appropriately over their lifetime. </w:t>
      </w:r>
      <w:r w:rsidRPr="005376D2">
        <w:t>The Attorney-General’s Department recommends that keys to security containers and cabinets are secured in key cabinets within a facility’s secure perimeter and where possible within the security zone where the containers and cabinets are located.</w:t>
      </w:r>
    </w:p>
    <w:p w:rsidR="004E53E1" w:rsidRDefault="004E53E1" w:rsidP="001D7DF5">
      <w:pPr>
        <w:pStyle w:val="Listbullet1"/>
      </w:pPr>
      <w:r>
        <w:t>For security containers and cabinets that are secured using combination settings, the Attorney-General’s Department recommends co</w:t>
      </w:r>
      <w:r w:rsidR="002313EA">
        <w:t>mbination settings are changed:</w:t>
      </w:r>
    </w:p>
    <w:p w:rsidR="004E53E1" w:rsidRPr="00920EB6" w:rsidRDefault="004E53E1" w:rsidP="00521E37">
      <w:pPr>
        <w:pStyle w:val="ListBullet2"/>
        <w:numPr>
          <w:ilvl w:val="0"/>
          <w:numId w:val="28"/>
        </w:numPr>
      </w:pPr>
      <w:r w:rsidRPr="00920EB6">
        <w:t>regularly—not less frequently than every six months</w:t>
      </w:r>
    </w:p>
    <w:p w:rsidR="004E53E1" w:rsidRPr="00920EB6" w:rsidRDefault="004E53E1" w:rsidP="00521E37">
      <w:pPr>
        <w:pStyle w:val="ListBullet2"/>
        <w:numPr>
          <w:ilvl w:val="0"/>
          <w:numId w:val="28"/>
        </w:numPr>
      </w:pPr>
      <w:r w:rsidRPr="00920EB6">
        <w:t>following repairs</w:t>
      </w:r>
    </w:p>
    <w:p w:rsidR="004E53E1" w:rsidRPr="00920EB6" w:rsidRDefault="004E53E1" w:rsidP="00521E37">
      <w:pPr>
        <w:pStyle w:val="ListBullet2"/>
        <w:numPr>
          <w:ilvl w:val="0"/>
          <w:numId w:val="28"/>
        </w:numPr>
      </w:pPr>
      <w:r w:rsidRPr="00920EB6">
        <w:t>following change of personnel</w:t>
      </w:r>
    </w:p>
    <w:p w:rsidR="004E53E1" w:rsidRPr="00920EB6" w:rsidRDefault="004E53E1" w:rsidP="00521E37">
      <w:pPr>
        <w:pStyle w:val="ListBullet2"/>
        <w:numPr>
          <w:ilvl w:val="0"/>
          <w:numId w:val="28"/>
        </w:numPr>
      </w:pPr>
      <w:r w:rsidRPr="00920EB6">
        <w:t>when there is reason to believe the setting has been, or may have been compromised.</w:t>
      </w:r>
    </w:p>
    <w:p w:rsidR="004E53E1" w:rsidRDefault="004E53E1" w:rsidP="008B268B">
      <w:pPr>
        <w:pStyle w:val="Heading5"/>
        <w:numPr>
          <w:ilvl w:val="3"/>
          <w:numId w:val="3"/>
        </w:numPr>
      </w:pPr>
      <w:r>
        <w:t>Key cabinets</w:t>
      </w:r>
    </w:p>
    <w:p w:rsidR="004E53E1" w:rsidRPr="0018687E" w:rsidRDefault="004E53E1" w:rsidP="001D7DF5">
      <w:pPr>
        <w:pStyle w:val="Listbullet1"/>
      </w:pPr>
      <w:r>
        <w:t xml:space="preserve">Manual and electronic key cabinets are used to secure keys, for example keys for C Class containers or internal offices, and are normally located within the security zone or in close proximity to the zone where the locks are located. </w:t>
      </w:r>
      <w:r w:rsidRPr="0018687E">
        <w:t xml:space="preserve">Electronic key cabinets may have automated audit capacity </w:t>
      </w:r>
      <w:r>
        <w:t>that negates</w:t>
      </w:r>
      <w:r w:rsidRPr="0018687E">
        <w:t xml:space="preserve"> the need to maintain a key register. </w:t>
      </w:r>
      <w:r>
        <w:t>Electronic key</w:t>
      </w:r>
      <w:r w:rsidRPr="0018687E">
        <w:t xml:space="preserve"> cabinets may also be integrated into the Electronic Access Control System.</w:t>
      </w:r>
    </w:p>
    <w:p w:rsidR="004E53E1" w:rsidRDefault="004E53E1" w:rsidP="001D7DF5">
      <w:pPr>
        <w:pStyle w:val="Listbullet1"/>
      </w:pPr>
      <w:r>
        <w:t xml:space="preserve">The SCEC </w:t>
      </w:r>
      <w:r w:rsidRPr="00CD33EB">
        <w:t>approved Class B key cabinets provide the same level of protection as SCEC</w:t>
      </w:r>
      <w:r>
        <w:t>-</w:t>
      </w:r>
      <w:r w:rsidRPr="00CD33EB">
        <w:t>approved Class B cabinets</w:t>
      </w:r>
      <w:r>
        <w:t xml:space="preserve">. SCEC-approved electronic Class C and B key containers are recommended to store keys for security zones four, five and Class C containers. For advice refer to ASIO </w:t>
      </w:r>
      <w:r w:rsidRPr="009670E6">
        <w:t>SEG-013 Electronic Key Cabinets</w:t>
      </w:r>
      <w:r>
        <w:t xml:space="preserve"> available for Australian Government security personnel only from the </w:t>
      </w:r>
      <w:r w:rsidR="008E1FD6">
        <w:t>p</w:t>
      </w:r>
      <w:r>
        <w:t xml:space="preserve">rotective </w:t>
      </w:r>
      <w:r w:rsidR="008E1FD6">
        <w:t>s</w:t>
      </w:r>
      <w:r>
        <w:t xml:space="preserve">ecurity </w:t>
      </w:r>
      <w:r w:rsidR="008E1FD6">
        <w:t>p</w:t>
      </w:r>
      <w:r>
        <w:t xml:space="preserve">olicy community on </w:t>
      </w:r>
      <w:r w:rsidR="00F95CD6">
        <w:t>GovTEAMS</w:t>
      </w:r>
      <w:r>
        <w:t>.</w:t>
      </w:r>
    </w:p>
    <w:p w:rsidR="004E53E1" w:rsidRPr="00E1093D" w:rsidRDefault="004E53E1" w:rsidP="00C80ED8">
      <w:pPr>
        <w:pStyle w:val="Listbullet1"/>
      </w:pPr>
      <w:r w:rsidRPr="00CD33EB">
        <w:t xml:space="preserve">Commercial grade key cabinets </w:t>
      </w:r>
      <w:r>
        <w:t xml:space="preserve">vary in quality and </w:t>
      </w:r>
      <w:r w:rsidRPr="00CD33EB">
        <w:t xml:space="preserve">provide very little protection </w:t>
      </w:r>
      <w:r>
        <w:t>against</w:t>
      </w:r>
      <w:r w:rsidRPr="00CD33EB">
        <w:t xml:space="preserve"> forced or covert access.</w:t>
      </w:r>
    </w:p>
    <w:p w:rsidR="004E53E1" w:rsidRDefault="004E53E1" w:rsidP="004E53E1">
      <w:pPr>
        <w:pStyle w:val="Heading4"/>
      </w:pPr>
      <w:r>
        <w:lastRenderedPageBreak/>
        <w:t xml:space="preserve">Secure room and strongrooms </w:t>
      </w:r>
    </w:p>
    <w:p w:rsidR="004E53E1" w:rsidRPr="00E1093D" w:rsidRDefault="004E53E1" w:rsidP="001D7DF5">
      <w:pPr>
        <w:pStyle w:val="Listbullet1"/>
      </w:pPr>
      <w:r>
        <w:t xml:space="preserve">Secure rooms and strongrooms may be used instead of containers to secure large quantities of official </w:t>
      </w:r>
      <w:r w:rsidR="002C6FE3">
        <w:t>information, classified assets and</w:t>
      </w:r>
      <w:r>
        <w:t xml:space="preserve"> valuable assets, where the compromise, loss or damage would have a business impact level. </w:t>
      </w:r>
      <w:r w:rsidRPr="00E1093D">
        <w:t>Secure rooms</w:t>
      </w:r>
      <w:r>
        <w:t xml:space="preserve"> are designed to protect its contents from covert attack and have some degree of fire protection of the contents if the secure room is constructed properly. Secure rooms </w:t>
      </w:r>
      <w:r w:rsidRPr="00E1093D">
        <w:t>are suitable for open storage of large quantities of official information</w:t>
      </w:r>
      <w:r w:rsidR="002C6FE3">
        <w:t xml:space="preserve"> and classified assets</w:t>
      </w:r>
      <w:r w:rsidRPr="00E1093D">
        <w:t>, while maintaining the levels of protection provided by a Class A, B or C container.</w:t>
      </w:r>
    </w:p>
    <w:p w:rsidR="004E53E1" w:rsidRDefault="004E53E1" w:rsidP="001D7DF5">
      <w:pPr>
        <w:pStyle w:val="Listbullet1"/>
      </w:pPr>
      <w:r>
        <w:t xml:space="preserve">Advice on construction specifications for secure rooms is detailed in the </w:t>
      </w:r>
      <w:hyperlink r:id="rId32" w:history="1">
        <w:r w:rsidRPr="00F1300A">
          <w:rPr>
            <w:rStyle w:val="Hyperlink"/>
          </w:rPr>
          <w:t>ASIO Technical notes</w:t>
        </w:r>
      </w:hyperlink>
      <w:r>
        <w:t xml:space="preserve"> available for Australian Government security personnel only from the </w:t>
      </w:r>
      <w:r w:rsidR="008E1FD6">
        <w:t>p</w:t>
      </w:r>
      <w:r>
        <w:t xml:space="preserve">rotective </w:t>
      </w:r>
      <w:r w:rsidR="008E1FD6">
        <w:t>s</w:t>
      </w:r>
      <w:r>
        <w:t xml:space="preserve">ecurity </w:t>
      </w:r>
      <w:r w:rsidR="008E1FD6">
        <w:t>p</w:t>
      </w:r>
      <w:r>
        <w:t xml:space="preserve">olicy community on </w:t>
      </w:r>
      <w:r w:rsidR="00F95CD6">
        <w:t>GovTEAMS</w:t>
      </w:r>
      <w:r>
        <w:t>:</w:t>
      </w:r>
    </w:p>
    <w:p w:rsidR="004E53E1" w:rsidRPr="00920EB6" w:rsidRDefault="004E53E1" w:rsidP="00521E37">
      <w:pPr>
        <w:pStyle w:val="ListBullet2"/>
        <w:numPr>
          <w:ilvl w:val="0"/>
          <w:numId w:val="29"/>
        </w:numPr>
      </w:pPr>
      <w:r w:rsidRPr="00920EB6">
        <w:t>Technical Note 7</w:t>
      </w:r>
      <w:r w:rsidR="00E8299A">
        <w:t>-</w:t>
      </w:r>
      <w:r w:rsidRPr="00920EB6">
        <w:t xml:space="preserve">06 Class A Secure Room </w:t>
      </w:r>
    </w:p>
    <w:p w:rsidR="004E53E1" w:rsidRPr="00920EB6" w:rsidRDefault="004E53E1" w:rsidP="00521E37">
      <w:pPr>
        <w:pStyle w:val="ListBullet2"/>
        <w:numPr>
          <w:ilvl w:val="0"/>
          <w:numId w:val="29"/>
        </w:numPr>
      </w:pPr>
      <w:r w:rsidRPr="00920EB6">
        <w:t>Technical Note 8-06 Class B Secure Room</w:t>
      </w:r>
    </w:p>
    <w:p w:rsidR="004E53E1" w:rsidRPr="00920EB6" w:rsidRDefault="004E53E1" w:rsidP="00521E37">
      <w:pPr>
        <w:pStyle w:val="ListBullet2"/>
        <w:numPr>
          <w:ilvl w:val="0"/>
          <w:numId w:val="29"/>
        </w:numPr>
      </w:pPr>
      <w:r w:rsidRPr="00920EB6">
        <w:t>Technical Note 9-06 Class C Secure Room</w:t>
      </w:r>
      <w:r w:rsidR="0074446C" w:rsidRPr="00920EB6">
        <w:t>.</w:t>
      </w:r>
    </w:p>
    <w:p w:rsidR="004E53E1" w:rsidRDefault="004E53E1" w:rsidP="001D7DF5">
      <w:pPr>
        <w:pStyle w:val="Listbullet1"/>
      </w:pPr>
      <w:r>
        <w:t xml:space="preserve">SCEC-approved commercial Class A and B doors and demountable security rooms are listed on the Security Equipment Evaluated Products List. </w:t>
      </w:r>
    </w:p>
    <w:p w:rsidR="004E53E1" w:rsidRDefault="004E53E1" w:rsidP="004E53E1">
      <w:pPr>
        <w:pStyle w:val="Heading4"/>
      </w:pPr>
      <w:r>
        <w:t>Magazines, armouries and explosive storehouses</w:t>
      </w:r>
    </w:p>
    <w:p w:rsidR="004E53E1" w:rsidRDefault="004E53E1" w:rsidP="001D7DF5">
      <w:pPr>
        <w:pStyle w:val="Listbullet1"/>
      </w:pPr>
      <w:r>
        <w:t>Advic</w:t>
      </w:r>
      <w:r w:rsidRPr="005922D1">
        <w:t xml:space="preserve">e </w:t>
      </w:r>
      <w:r>
        <w:t>on magazines, armouries and explosive storehouses is available from the Department of Defence</w:t>
      </w:r>
      <w:r w:rsidR="002C6FE3">
        <w:t>.</w:t>
      </w:r>
    </w:p>
    <w:p w:rsidR="004E53E1" w:rsidRDefault="004E53E1" w:rsidP="004E53E1">
      <w:pPr>
        <w:pStyle w:val="Heading3"/>
      </w:pPr>
      <w:r>
        <w:t>Measures for the protection of</w:t>
      </w:r>
      <w:r w:rsidRPr="005263E8">
        <w:t xml:space="preserve"> </w:t>
      </w:r>
      <w:r>
        <w:t xml:space="preserve">sensitive and </w:t>
      </w:r>
      <w:r w:rsidRPr="00276264">
        <w:t>classified discussions</w:t>
      </w:r>
    </w:p>
    <w:p w:rsidR="004E53E1" w:rsidRDefault="004E53E1" w:rsidP="001D7DF5">
      <w:pPr>
        <w:pStyle w:val="Listbullet1"/>
      </w:pPr>
      <w:r w:rsidRPr="00142E98">
        <w:rPr>
          <w:rFonts w:cstheme="minorHAnsi"/>
          <w:szCs w:val="20"/>
        </w:rPr>
        <w:t>The</w:t>
      </w:r>
      <w:r>
        <w:t xml:space="preserve"> </w:t>
      </w:r>
      <w:hyperlink w:anchor="_Core_requirement" w:history="1">
        <w:r w:rsidRPr="008B268B">
          <w:t>core requirement</w:t>
        </w:r>
      </w:hyperlink>
      <w:r>
        <w:t xml:space="preserve"> to </w:t>
      </w:r>
      <w:r w:rsidRPr="009F7F76">
        <w:t xml:space="preserve">implement physical security measures that minimise or remove the risk of resources being made inoperable or inaccessible, or </w:t>
      </w:r>
      <w:r w:rsidRPr="00C25EC3">
        <w:t>b</w:t>
      </w:r>
      <w:r w:rsidRPr="009F7F76">
        <w:t>eing accessed, used or removed without appropriate authorisation</w:t>
      </w:r>
      <w:r>
        <w:t xml:space="preserve"> is consistent with</w:t>
      </w:r>
      <w:r w:rsidRPr="009F7F76">
        <w:t xml:space="preserve"> </w:t>
      </w:r>
      <w:r>
        <w:t xml:space="preserve">PSPF policy: </w:t>
      </w:r>
      <w:hyperlink r:id="rId33" w:anchor="table1" w:history="1">
        <w:r w:rsidRPr="00E8299A">
          <w:rPr>
            <w:rStyle w:val="Hyperlink"/>
          </w:rPr>
          <w:t>Sensitive and classified information</w:t>
        </w:r>
      </w:hyperlink>
      <w:r>
        <w:t xml:space="preserve"> core requirement that each entity must implement operational controls for sensitive and classified information proportional to their value, importance and sensitivity. To meet these requirements, t</w:t>
      </w:r>
      <w:r w:rsidRPr="009F7F76">
        <w:t xml:space="preserve">he Attorney-General’s Department recommends that, in areas where </w:t>
      </w:r>
      <w:r>
        <w:t>sensitive or</w:t>
      </w:r>
      <w:r w:rsidRPr="009F7F76">
        <w:t xml:space="preserve"> classified discussions are held, entities implement physical and audio security measures to prevent deliberate or accidental overhearing. </w:t>
      </w:r>
    </w:p>
    <w:p w:rsidR="004E53E1" w:rsidRDefault="004E53E1" w:rsidP="001D7DF5">
      <w:pPr>
        <w:pStyle w:val="Listbullet1"/>
      </w:pPr>
      <w:r w:rsidRPr="00AC1890">
        <w:t>The risk of deliberate or accidental overhearing can be minimised by controlling the environment where the discussion is taking place. This may be achieved by treating the room, area or entire facility acoustically, combined with other physical and procedural security measures.</w:t>
      </w:r>
    </w:p>
    <w:p w:rsidR="004E53E1" w:rsidRPr="00AC1890" w:rsidRDefault="004E53E1" w:rsidP="001D7DF5">
      <w:pPr>
        <w:pStyle w:val="Listbullet1"/>
      </w:pPr>
      <w:r w:rsidRPr="00AC1890">
        <w:t>To provide protection for sensitive or classified discussions, it is necessary for the sound created within the room to be unintelligible to a person</w:t>
      </w:r>
      <w:r w:rsidR="002C6FE3">
        <w:t xml:space="preserve"> or device</w:t>
      </w:r>
      <w:r w:rsidRPr="00AC1890">
        <w:t xml:space="preserve"> located outside that room. Appropriate and effective sound insulation is critical to achieving the required level of security for sensitive and classified discussions as it is extremely difficult for an entity to ensure that only low-volume voice levels are used for sensitive and classified discussions or that background noise will always exist in the receiving area. </w:t>
      </w:r>
    </w:p>
    <w:p w:rsidR="004E53E1" w:rsidRPr="00AC1890" w:rsidRDefault="004E53E1" w:rsidP="00C80ED8">
      <w:pPr>
        <w:pStyle w:val="Listbullet1"/>
      </w:pPr>
      <w:r w:rsidRPr="00AC1890">
        <w:t>When designing an audio secure room suitable for security classified discussions, the Attorney-General’s Department recommends entities consider a number of factors that may influence the specification and construction techniques used. These include:</w:t>
      </w:r>
    </w:p>
    <w:p w:rsidR="004E53E1" w:rsidRPr="00920EB6" w:rsidRDefault="004E53E1" w:rsidP="00521E37">
      <w:pPr>
        <w:pStyle w:val="ListBullet2"/>
        <w:numPr>
          <w:ilvl w:val="0"/>
          <w:numId w:val="30"/>
        </w:numPr>
      </w:pPr>
      <w:r w:rsidRPr="00920EB6">
        <w:t>the sensitivity and classification of information being discussed</w:t>
      </w:r>
    </w:p>
    <w:p w:rsidR="004E53E1" w:rsidRPr="00920EB6" w:rsidRDefault="004E53E1" w:rsidP="00521E37">
      <w:pPr>
        <w:pStyle w:val="ListBullet2"/>
        <w:numPr>
          <w:ilvl w:val="0"/>
          <w:numId w:val="30"/>
        </w:numPr>
      </w:pPr>
      <w:r w:rsidRPr="00920EB6">
        <w:t>the regularity of discussions.</w:t>
      </w:r>
    </w:p>
    <w:p w:rsidR="004E53E1" w:rsidRPr="0006487A" w:rsidRDefault="004E53E1" w:rsidP="001D7DF5">
      <w:pPr>
        <w:pStyle w:val="Listbullet1"/>
      </w:pPr>
      <w:r w:rsidRPr="008B268B">
        <w:t>Consistent with the core PSPF requirement for entity facilities, the Attorney</w:t>
      </w:r>
      <w:r w:rsidRPr="008B268B">
        <w:noBreakHyphen/>
        <w:t>General’s Department recommends entities consider the need to conduct sensitive or classified discussions throughout</w:t>
      </w:r>
      <w:r w:rsidRPr="00AC1890">
        <w:t xml:space="preserve"> the process of planning, selecting, designing and modifying their facilities, to ensure the required physical security measures can be accommodated with the facilities</w:t>
      </w:r>
      <w:r>
        <w:t xml:space="preserve">. </w:t>
      </w:r>
      <w:r w:rsidRPr="0006487A">
        <w:t xml:space="preserve">For guidance see the </w:t>
      </w:r>
      <w:r w:rsidRPr="008B268B">
        <w:t>ASIO Technical Note 1/15 – Physical Security of Zones, Section 16: Audio Security.</w:t>
      </w:r>
    </w:p>
    <w:p w:rsidR="004E53E1" w:rsidRPr="008B268B" w:rsidRDefault="004E53E1" w:rsidP="001D7DF5">
      <w:pPr>
        <w:pStyle w:val="Listbullet1"/>
      </w:pPr>
      <w:r w:rsidRPr="008B268B">
        <w:t>It may be operationally critical to hold security classified conversations where an audio secure room is not available. The Attorney</w:t>
      </w:r>
      <w:r w:rsidRPr="008B268B">
        <w:noBreakHyphen/>
        <w:t>General’s Department recommends that these conversations are not held in public places or where the conversation may be overheard, for example hire cars, hotel rooms, airport lounges, aeroplanes or cafes.</w:t>
      </w:r>
    </w:p>
    <w:p w:rsidR="004E53E1" w:rsidRDefault="004E53E1" w:rsidP="004E53E1">
      <w:pPr>
        <w:pStyle w:val="Heading3"/>
      </w:pPr>
      <w:r>
        <w:lastRenderedPageBreak/>
        <w:t>Measures for the protection of ICT equipment</w:t>
      </w:r>
    </w:p>
    <w:p w:rsidR="004E53E1" w:rsidRDefault="004E53E1" w:rsidP="001D7DF5">
      <w:pPr>
        <w:pStyle w:val="Listbullet1"/>
      </w:pPr>
      <w:r>
        <w:t xml:space="preserve">The purpose of </w:t>
      </w:r>
      <w:r w:rsidRPr="00450BE2">
        <w:t>ICT equipment</w:t>
      </w:r>
      <w:r>
        <w:t xml:space="preserve"> is to facilitate electronic processing, storage and transfer of entity information. ICT equipment requires specific protection because of its:</w:t>
      </w:r>
    </w:p>
    <w:p w:rsidR="004E53E1" w:rsidRPr="00920EB6" w:rsidRDefault="004E53E1" w:rsidP="00521E37">
      <w:pPr>
        <w:pStyle w:val="ListBullet2"/>
        <w:numPr>
          <w:ilvl w:val="0"/>
          <w:numId w:val="31"/>
        </w:numPr>
      </w:pPr>
      <w:r w:rsidRPr="00920EB6">
        <w:t>classification,</w:t>
      </w:r>
      <w:r w:rsidRPr="00920EB6" w:rsidDel="00797A3B">
        <w:t xml:space="preserve"> </w:t>
      </w:r>
      <w:r w:rsidRPr="00920EB6">
        <w:t>either classified in its own right or classified due to the classification of the confidentiality requirements of the information held on the asset</w:t>
      </w:r>
    </w:p>
    <w:p w:rsidR="004E53E1" w:rsidRPr="00920EB6" w:rsidRDefault="004E53E1" w:rsidP="00521E37">
      <w:pPr>
        <w:pStyle w:val="ListBullet2"/>
        <w:numPr>
          <w:ilvl w:val="0"/>
          <w:numId w:val="31"/>
        </w:numPr>
      </w:pPr>
      <w:r w:rsidRPr="00920EB6">
        <w:t xml:space="preserve">criticality of integrity or availability of the information </w:t>
      </w:r>
      <w:r w:rsidR="00920EB6">
        <w:t>held or processed on the asset</w:t>
      </w:r>
    </w:p>
    <w:p w:rsidR="004E53E1" w:rsidRPr="00920EB6" w:rsidRDefault="004E53E1" w:rsidP="00521E37">
      <w:pPr>
        <w:pStyle w:val="ListBullet2"/>
        <w:numPr>
          <w:ilvl w:val="0"/>
          <w:numId w:val="31"/>
        </w:numPr>
      </w:pPr>
      <w:r w:rsidRPr="00920EB6">
        <w:t>potential attractiveness,</w:t>
      </w:r>
      <w:r w:rsidRPr="00920EB6" w:rsidDel="00797A3B">
        <w:t xml:space="preserve"> </w:t>
      </w:r>
      <w:r w:rsidRPr="00920EB6">
        <w:t>either attractive in its own right (eg an iPad) or the attractiveness of the information held on the asset</w:t>
      </w:r>
    </w:p>
    <w:p w:rsidR="004E53E1" w:rsidRPr="00920EB6" w:rsidRDefault="004E53E1" w:rsidP="00521E37">
      <w:pPr>
        <w:pStyle w:val="ListBullet2"/>
        <w:numPr>
          <w:ilvl w:val="0"/>
          <w:numId w:val="31"/>
        </w:numPr>
      </w:pPr>
      <w:r w:rsidRPr="00920EB6">
        <w:t>aggregation of information,</w:t>
      </w:r>
      <w:r w:rsidRPr="00920EB6" w:rsidDel="00797A3B">
        <w:t xml:space="preserve"> </w:t>
      </w:r>
      <w:r w:rsidRPr="00920EB6">
        <w:t xml:space="preserve">which may increase the business impact level of the asset’s compromise. </w:t>
      </w:r>
    </w:p>
    <w:p w:rsidR="004E53E1" w:rsidRPr="00F61E54" w:rsidRDefault="004E53E1" w:rsidP="001D7DF5">
      <w:pPr>
        <w:pStyle w:val="Listbullet1"/>
      </w:pPr>
      <w:r w:rsidRPr="00F61E54">
        <w:t>ICT equipment includes:</w:t>
      </w:r>
    </w:p>
    <w:p w:rsidR="004E53E1" w:rsidRPr="00920EB6" w:rsidRDefault="004E53E1" w:rsidP="00521E37">
      <w:pPr>
        <w:pStyle w:val="ListBullet2"/>
        <w:numPr>
          <w:ilvl w:val="0"/>
          <w:numId w:val="32"/>
        </w:numPr>
      </w:pPr>
      <w:r w:rsidRPr="00920EB6">
        <w:t>movable physical assets, for example computers, scanners, photocopiers, multifunction devices, landline and mobile phones, digital devices and electronic storage media</w:t>
      </w:r>
    </w:p>
    <w:p w:rsidR="004E53E1" w:rsidRPr="00920EB6" w:rsidRDefault="004E53E1" w:rsidP="00521E37">
      <w:pPr>
        <w:pStyle w:val="ListBullet2"/>
        <w:numPr>
          <w:ilvl w:val="0"/>
          <w:numId w:val="32"/>
        </w:numPr>
      </w:pPr>
      <w:r w:rsidRPr="00920EB6">
        <w:t>system equipment for example the hardware and software that provide an entity’s network</w:t>
      </w:r>
      <w:r w:rsidR="0074446C" w:rsidRPr="00920EB6">
        <w:t xml:space="preserve"> connectivity and communication</w:t>
      </w:r>
    </w:p>
    <w:p w:rsidR="004E53E1" w:rsidRPr="00920EB6" w:rsidRDefault="004E53E1" w:rsidP="00521E37">
      <w:pPr>
        <w:pStyle w:val="ListBullet2"/>
        <w:numPr>
          <w:ilvl w:val="0"/>
          <w:numId w:val="32"/>
        </w:numPr>
      </w:pPr>
      <w:r w:rsidRPr="00920EB6">
        <w:t>building management systems and security systems.</w:t>
      </w:r>
    </w:p>
    <w:p w:rsidR="004E53E1" w:rsidRPr="00F61E54" w:rsidRDefault="004E53E1" w:rsidP="001D7DF5">
      <w:pPr>
        <w:pStyle w:val="Listbullet1"/>
      </w:pPr>
      <w:r w:rsidRPr="00F61E54">
        <w:t>ICT system equipment is used to maintain an ICT system and is normally operational 24 hours a day. ICT system equipment includes:</w:t>
      </w:r>
    </w:p>
    <w:p w:rsidR="004E53E1" w:rsidRPr="00920EB6" w:rsidRDefault="004E53E1" w:rsidP="00521E37">
      <w:pPr>
        <w:pStyle w:val="ListBullet2"/>
        <w:numPr>
          <w:ilvl w:val="0"/>
          <w:numId w:val="33"/>
        </w:numPr>
      </w:pPr>
      <w:r w:rsidRPr="00920EB6">
        <w:t>servers, for example dedicated devices and laptops used as servers</w:t>
      </w:r>
    </w:p>
    <w:p w:rsidR="004E53E1" w:rsidRPr="00920EB6" w:rsidRDefault="004E53E1" w:rsidP="00521E37">
      <w:pPr>
        <w:pStyle w:val="ListBullet2"/>
        <w:numPr>
          <w:ilvl w:val="0"/>
          <w:numId w:val="33"/>
        </w:numPr>
      </w:pPr>
      <w:r w:rsidRPr="00920EB6">
        <w:t>communication network devices, for example PABX systems</w:t>
      </w:r>
    </w:p>
    <w:p w:rsidR="004E53E1" w:rsidRPr="00920EB6" w:rsidRDefault="004E53E1" w:rsidP="00521E37">
      <w:pPr>
        <w:pStyle w:val="ListBullet2"/>
        <w:numPr>
          <w:ilvl w:val="0"/>
          <w:numId w:val="33"/>
        </w:numPr>
      </w:pPr>
      <w:r w:rsidRPr="00920EB6">
        <w:t>supporting network infrastructure, for example cabling, patch panels</w:t>
      </w:r>
    </w:p>
    <w:p w:rsidR="004E53E1" w:rsidRPr="00920EB6" w:rsidRDefault="004E53E1" w:rsidP="00521E37">
      <w:pPr>
        <w:pStyle w:val="ListBullet2"/>
        <w:numPr>
          <w:ilvl w:val="0"/>
          <w:numId w:val="33"/>
        </w:numPr>
      </w:pPr>
      <w:r w:rsidRPr="00920EB6">
        <w:t>gateway devices,</w:t>
      </w:r>
      <w:r w:rsidRPr="00920EB6" w:rsidDel="004B6E94">
        <w:t xml:space="preserve"> </w:t>
      </w:r>
      <w:r w:rsidRPr="00920EB6">
        <w:t>for example routers and network access devices.</w:t>
      </w:r>
    </w:p>
    <w:p w:rsidR="004E53E1" w:rsidRPr="00F61E54" w:rsidRDefault="004E53E1" w:rsidP="001D7DF5">
      <w:pPr>
        <w:pStyle w:val="Listbullet1"/>
      </w:pPr>
      <w:r w:rsidRPr="00F61E54">
        <w:t>To identify the appropriate physical security measures to protect ICT assets and the information held or communicated on ICT equipment, the Attorney-General’s Department recommends that entities determine the level of protection required based on the highest business impact level of the compromise of the aggregate of information on the equipment or:</w:t>
      </w:r>
    </w:p>
    <w:p w:rsidR="004E53E1" w:rsidRPr="00920EB6" w:rsidRDefault="00AE420A" w:rsidP="00521E37">
      <w:pPr>
        <w:pStyle w:val="ListBullet2"/>
        <w:numPr>
          <w:ilvl w:val="0"/>
          <w:numId w:val="34"/>
        </w:numPr>
      </w:pPr>
      <w:r>
        <w:t>i</w:t>
      </w:r>
      <w:r w:rsidR="00675F97">
        <w:t xml:space="preserve">ts </w:t>
      </w:r>
      <w:r w:rsidR="004E53E1" w:rsidRPr="00920EB6">
        <w:t>communication over the network infrastructure</w:t>
      </w:r>
    </w:p>
    <w:p w:rsidR="004E53E1" w:rsidRPr="00920EB6" w:rsidRDefault="004E53E1" w:rsidP="00521E37">
      <w:pPr>
        <w:pStyle w:val="ListBullet2"/>
        <w:numPr>
          <w:ilvl w:val="0"/>
          <w:numId w:val="34"/>
        </w:numPr>
      </w:pPr>
      <w:r w:rsidRPr="00920EB6">
        <w:t>the compromise, loss or damage of the ICT equipment.</w:t>
      </w:r>
    </w:p>
    <w:p w:rsidR="004E53E1" w:rsidRDefault="004E53E1" w:rsidP="004E53E1">
      <w:pPr>
        <w:pStyle w:val="Heading4"/>
      </w:pPr>
      <w:r>
        <w:t>ICT equipment secured in ICT facilities</w:t>
      </w:r>
    </w:p>
    <w:p w:rsidR="004E53E1" w:rsidRPr="008541E5" w:rsidRDefault="004E53E1" w:rsidP="001D7DF5">
      <w:pPr>
        <w:pStyle w:val="Listbullet1"/>
      </w:pPr>
      <w:r w:rsidRPr="00F61E54">
        <w:t>ICT equipment may be permanently housed or temporarily stored in an ICT facility (a designated space or floor of an entity’s building used to house an entity’s ICT systems, components of their ICT systems or ICT equipment)</w:t>
      </w:r>
      <w:r w:rsidR="005939F8">
        <w:t xml:space="preserve">. </w:t>
      </w:r>
      <w:r w:rsidRPr="008541E5">
        <w:t>These facilities include:</w:t>
      </w:r>
    </w:p>
    <w:p w:rsidR="004E53E1" w:rsidRPr="002313EA" w:rsidRDefault="004E53E1" w:rsidP="00521E37">
      <w:pPr>
        <w:pStyle w:val="ListBullet2"/>
      </w:pPr>
      <w:r w:rsidRPr="002313EA">
        <w:t>server and gateway rooms</w:t>
      </w:r>
    </w:p>
    <w:p w:rsidR="004E53E1" w:rsidRPr="002313EA" w:rsidRDefault="004E53E1" w:rsidP="00521E37">
      <w:pPr>
        <w:pStyle w:val="ListBullet2"/>
      </w:pPr>
      <w:r w:rsidRPr="002313EA">
        <w:t>datacentres</w:t>
      </w:r>
    </w:p>
    <w:p w:rsidR="004E53E1" w:rsidRPr="002313EA" w:rsidRDefault="004E53E1" w:rsidP="00521E37">
      <w:pPr>
        <w:pStyle w:val="ListBullet2"/>
      </w:pPr>
      <w:r w:rsidRPr="002313EA">
        <w:t>backup repositories</w:t>
      </w:r>
    </w:p>
    <w:p w:rsidR="004E53E1" w:rsidRPr="002313EA" w:rsidRDefault="004E53E1" w:rsidP="00521E37">
      <w:pPr>
        <w:pStyle w:val="ListBullet2"/>
      </w:pPr>
      <w:r w:rsidRPr="002313EA">
        <w:t>storage areas for ICT equipment that hold official information</w:t>
      </w:r>
    </w:p>
    <w:p w:rsidR="004E53E1" w:rsidRDefault="004E53E1" w:rsidP="00521E37">
      <w:pPr>
        <w:pStyle w:val="ListBullet2"/>
      </w:pPr>
      <w:r w:rsidRPr="002313EA">
        <w:t>communication and patch rooms.</w:t>
      </w:r>
    </w:p>
    <w:p w:rsidR="001D7DF5" w:rsidRDefault="00C80ED8" w:rsidP="008E1FD6">
      <w:pPr>
        <w:pStyle w:val="Listbullet1"/>
      </w:pPr>
      <w:r>
        <w:t>The physical security of c</w:t>
      </w:r>
      <w:r w:rsidR="001D7DF5">
        <w:t>ontainers</w:t>
      </w:r>
      <w:r>
        <w:t xml:space="preserve"> and/or rooms</w:t>
      </w:r>
      <w:r w:rsidR="001D7DF5">
        <w:t xml:space="preserve"> </w:t>
      </w:r>
      <w:r>
        <w:t xml:space="preserve">required </w:t>
      </w:r>
      <w:r w:rsidR="001D7DF5">
        <w:t xml:space="preserve">to house ICT equipment in an ICT facility </w:t>
      </w:r>
      <w:r w:rsidR="002467E3">
        <w:t>may</w:t>
      </w:r>
      <w:r>
        <w:t xml:space="preserve"> be lowered </w:t>
      </w:r>
      <w:r w:rsidR="001D7DF5">
        <w:t>when the ICT facility is a separate security zone within an existing security zone that is suitable for the aggregation of the information held</w:t>
      </w:r>
      <w:r>
        <w:t xml:space="preserve">. Table 4 details the impact of applying the ‘Security-in-Depth’ principle </w:t>
      </w:r>
      <w:r w:rsidR="003658C8">
        <w:t>(</w:t>
      </w:r>
      <w:r w:rsidR="002467E3">
        <w:t xml:space="preserve">the ‘Security-in-Depth’ principle is </w:t>
      </w:r>
      <w:r w:rsidR="003658C8">
        <w:t xml:space="preserve">detailed in PSPF policy: </w:t>
      </w:r>
      <w:hyperlink r:id="rId34" w:history="1">
        <w:r w:rsidR="003658C8" w:rsidRPr="003658C8">
          <w:rPr>
            <w:rStyle w:val="Hyperlink"/>
          </w:rPr>
          <w:t>Entity facilities</w:t>
        </w:r>
      </w:hyperlink>
      <w:r w:rsidR="003658C8">
        <w:t xml:space="preserve">) </w:t>
      </w:r>
      <w:r>
        <w:t>and provides the revised physical security standard required.</w:t>
      </w:r>
    </w:p>
    <w:p w:rsidR="00051865" w:rsidRDefault="00051865" w:rsidP="00521E37">
      <w:pPr>
        <w:pStyle w:val="Caption"/>
      </w:pPr>
      <w:r>
        <w:lastRenderedPageBreak/>
        <w:t xml:space="preserve">Table </w:t>
      </w:r>
      <w:r w:rsidR="00504135">
        <w:rPr>
          <w:noProof/>
        </w:rPr>
        <w:fldChar w:fldCharType="begin"/>
      </w:r>
      <w:r w:rsidR="00504135">
        <w:rPr>
          <w:noProof/>
        </w:rPr>
        <w:instrText xml:space="preserve"> SEQ Table \* ARABIC </w:instrText>
      </w:r>
      <w:r w:rsidR="00504135">
        <w:rPr>
          <w:noProof/>
        </w:rPr>
        <w:fldChar w:fldCharType="separate"/>
      </w:r>
      <w:r>
        <w:rPr>
          <w:noProof/>
        </w:rPr>
        <w:t>4</w:t>
      </w:r>
      <w:r w:rsidR="00504135">
        <w:rPr>
          <w:noProof/>
        </w:rPr>
        <w:fldChar w:fldCharType="end"/>
      </w:r>
      <w:r>
        <w:t xml:space="preserve"> </w:t>
      </w:r>
      <w:r w:rsidRPr="001E760C">
        <w:t>Storage container requirements for electronic information in ICT facilities</w:t>
      </w:r>
    </w:p>
    <w:tbl>
      <w:tblPr>
        <w:tblStyle w:val="LightShading-Accent4"/>
        <w:tblW w:w="10598" w:type="dxa"/>
        <w:tblBorders>
          <w:insideH w:val="single" w:sz="8" w:space="0" w:color="8064A2" w:themeColor="accent4"/>
        </w:tblBorders>
        <w:tblLayout w:type="fixed"/>
        <w:tblLook w:val="04A0" w:firstRow="1" w:lastRow="0" w:firstColumn="1" w:lastColumn="0" w:noHBand="0" w:noVBand="1"/>
        <w:tblCaption w:val="Storage container requirements for electronic information in ICT facilities"/>
        <w:tblDescription w:val="This table describes how the physical security requirements for containers and secure rooms holding the ICT equipment may be lowered when that equipment is stored in an ICT facility that is within a security zone.&#10; &#10;The table has five columns. Column 1 identifies the business impact level of aggregated electronic information. Column 2 identifies the original security zone of the work area, and Column 3 describes the security container ordinarily required. The final two columns describe how, if the ICT facility is in an additional zone within the work area (column 4), the container requirements can be lowered (column 5). &#10;&#10;ICT equipment holding aggregated electronic information with a low business impact (business impact level 1):&#10;In a Zone Two area, this equipment would ordinarily require storage in a lockable commercial cabinet. Even if the equipment is held in an additional security zone within the work area, a lockable commercial cabinet is still required.&#10;In a Zone One, this equipment would ordinarily require storage in a lockable commercial cabinet. Even if the equipment is held in an additional security zone within the work area, a lockable commercial cabinet is still required.&#10;&#10;ICT equipment holding aggregated electronic information with a low to medium business impact (business impact level 2):&#10;In a Zone Two area, this equipment would ordinarily require storage in a lockable commercial cabinet. No additional zone in the instance is required within the work area, as a lockable commercial cabinet is the minimum required.&#10;In a Zone One, this equipment would ordinarily require storage in a SCEC Class C contained. If the equipment is held in an additional security zone (Zone Two or above) within the work area, the storage requirements can be lowered to a lockable commercial cabinet.&#10;&#10;ICT equipment holding aggregated electronic information with a high business impact (business impact level 3):&#10;In a Zone Three or above storage of equipment in a Zone Three is be recommended as a SCEC Class C and for Zones Four and Five a lockable commenrcial cabinet. No additional zone is required so storage requirements cannot be lowered and remain the same.&#10;In a Zone Two, this equipment would ordinarily require storage in a SCEC Class C container. If the equipment is held in an additional security zone within the work area (Zone Three or above), the storage requirements can be lowered to a lockable commercial cabinet. Note: if the equipment is held in an additional security zone, but that zone is also a Zone Two, the SCEC Class C storage requirement remains.&#10;&#10;ICT equipment holding aggregated electronic information with an extreme business impact (business impact level 4):&#10;In a Zone Four area, this equipement would ordinarily require storage in a SCEC Class C container. If the equipment is held in an additional security zone (Zone Three or above) within the work area, the storage requirements can be lowered to a lockable commercial cabinet. Note: if the equipment is held in an additional security zone, but that zone is only a Zone Two, the SCEC Class C storage requirement remains.&#10;In a Zone Three area, this equipment would ordinarily require storage in a SCEC Class B container. If the equipment is held in an additional security zone within the work area, the storage requirements can be lowered as follows:&#10;a. if the additional security zone is a Zone Four or above, the storage requirements can be lowered to a lockable commercial cabinet.&#10;b. if the additional security zone is a Zone Three, the storage requirements can be lowered to a SCEC Class C container.&#10;Note: if the equipment is held in an additional security zone, but that zone is only a Zone Two, the SCEC Class B storage requirement remains.&#10;&#10;ICT equipment holding aggregated electronic information with a catastrphic business impact (business impact level 5):&#10;In a Zone Five area, this equipment would ordinarily require storage in a SCEC Class B container. If the equipment is held in an additional compartment (certified by the CSO), the storage requirements can be lowered to a SCEC Class C container."/>
      </w:tblPr>
      <w:tblGrid>
        <w:gridCol w:w="2119"/>
        <w:gridCol w:w="2120"/>
        <w:gridCol w:w="2119"/>
        <w:gridCol w:w="2120"/>
        <w:gridCol w:w="2120"/>
      </w:tblGrid>
      <w:tr w:rsidR="00051865" w:rsidRPr="0068552B" w:rsidTr="001D7DF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119" w:type="dxa"/>
          </w:tcPr>
          <w:p w:rsidR="00051865" w:rsidRPr="00DE0F69" w:rsidRDefault="00051865" w:rsidP="001D7DF5">
            <w:pPr>
              <w:pStyle w:val="Tablebody"/>
              <w:rPr>
                <w:rStyle w:val="Strong"/>
                <w:b/>
              </w:rPr>
            </w:pPr>
            <w:r w:rsidRPr="00DE0F69">
              <w:rPr>
                <w:rStyle w:val="Strong"/>
                <w:b/>
              </w:rPr>
              <w:t>Business impact level</w:t>
            </w:r>
            <w:r>
              <w:rPr>
                <w:rStyle w:val="Strong"/>
                <w:b/>
              </w:rPr>
              <w:t xml:space="preserve"> of aggregated electronic information</w:t>
            </w:r>
          </w:p>
        </w:tc>
        <w:tc>
          <w:tcPr>
            <w:tcW w:w="2120" w:type="dxa"/>
            <w:shd w:val="clear" w:color="auto" w:fill="auto"/>
          </w:tcPr>
          <w:p w:rsidR="00051865" w:rsidRPr="00DE0F69" w:rsidRDefault="00051865" w:rsidP="001D7DF5">
            <w:pPr>
              <w:pStyle w:val="Tablebody"/>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Security zone of the work area</w:t>
            </w:r>
          </w:p>
        </w:tc>
        <w:tc>
          <w:tcPr>
            <w:tcW w:w="2119" w:type="dxa"/>
            <w:shd w:val="clear" w:color="auto" w:fill="auto"/>
          </w:tcPr>
          <w:p w:rsidR="00051865" w:rsidRPr="00DE0F69" w:rsidRDefault="00051865" w:rsidP="001D7DF5">
            <w:pPr>
              <w:pStyle w:val="Tablebody"/>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Security container or secure room ordinarily required</w:t>
            </w:r>
          </w:p>
        </w:tc>
        <w:tc>
          <w:tcPr>
            <w:tcW w:w="2120" w:type="dxa"/>
            <w:shd w:val="clear" w:color="auto" w:fill="auto"/>
          </w:tcPr>
          <w:p w:rsidR="00051865" w:rsidRPr="00DE0F69" w:rsidRDefault="00051865" w:rsidP="001D7DF5">
            <w:pPr>
              <w:pStyle w:val="Tablebody"/>
              <w:cnfStyle w:val="100000000000" w:firstRow="1" w:lastRow="0" w:firstColumn="0" w:lastColumn="0" w:oddVBand="0" w:evenVBand="0" w:oddHBand="0" w:evenHBand="0" w:firstRowFirstColumn="0" w:firstRowLastColumn="0" w:lastRowFirstColumn="0" w:lastRowLastColumn="0"/>
              <w:rPr>
                <w:rStyle w:val="Strong"/>
                <w:b/>
                <w:color w:val="FFFFFF" w:themeColor="background1"/>
              </w:rPr>
            </w:pPr>
            <w:r>
              <w:rPr>
                <w:rStyle w:val="Strong"/>
                <w:b/>
              </w:rPr>
              <w:t>Additional security zone within work area for ICT facility</w:t>
            </w:r>
          </w:p>
        </w:tc>
        <w:tc>
          <w:tcPr>
            <w:tcW w:w="2120" w:type="dxa"/>
            <w:shd w:val="clear" w:color="auto" w:fill="auto"/>
          </w:tcPr>
          <w:p w:rsidR="00051865" w:rsidRPr="002B3B16" w:rsidRDefault="00051865" w:rsidP="001D7DF5">
            <w:pPr>
              <w:pStyle w:val="Tablebody"/>
              <w:cnfStyle w:val="100000000000" w:firstRow="1" w:lastRow="0" w:firstColumn="0" w:lastColumn="0" w:oddVBand="0" w:evenVBand="0" w:oddHBand="0" w:evenHBand="0" w:firstRowFirstColumn="0" w:firstRowLastColumn="0" w:lastRowFirstColumn="0" w:lastRowLastColumn="0"/>
              <w:rPr>
                <w:rStyle w:val="Strong"/>
                <w:b/>
                <w:caps/>
                <w:color w:val="FFFFFF" w:themeColor="background1"/>
              </w:rPr>
            </w:pPr>
            <w:r>
              <w:rPr>
                <w:rStyle w:val="Strong"/>
                <w:b/>
              </w:rPr>
              <w:t>Security container or secure room required for ICT equipment</w:t>
            </w:r>
          </w:p>
        </w:tc>
      </w:tr>
      <w:tr w:rsidR="00051865" w:rsidRPr="0068552B" w:rsidTr="001D7DF5">
        <w:trPr>
          <w:cnfStyle w:val="000000100000" w:firstRow="0" w:lastRow="0" w:firstColumn="0" w:lastColumn="0" w:oddVBand="0" w:evenVBand="0" w:oddHBand="1" w:evenHBand="0" w:firstRowFirstColumn="0" w:firstRowLastColumn="0" w:lastRowFirstColumn="0" w:lastRowLastColumn="0"/>
          <w:cantSplit/>
          <w:trHeight w:val="368"/>
        </w:trPr>
        <w:tc>
          <w:tcPr>
            <w:cnfStyle w:val="001000000000" w:firstRow="0" w:lastRow="0" w:firstColumn="1" w:lastColumn="0" w:oddVBand="0" w:evenVBand="0" w:oddHBand="0" w:evenHBand="0" w:firstRowFirstColumn="0" w:firstRowLastColumn="0" w:lastRowFirstColumn="0" w:lastRowLastColumn="0"/>
            <w:tcW w:w="2119" w:type="dxa"/>
            <w:vMerge w:val="restart"/>
            <w:shd w:val="clear" w:color="auto" w:fill="auto"/>
          </w:tcPr>
          <w:p w:rsidR="00051865" w:rsidRPr="00AF5BE8" w:rsidRDefault="00051865" w:rsidP="001D7DF5">
            <w:pPr>
              <w:pStyle w:val="Tablebody"/>
              <w:rPr>
                <w:rStyle w:val="Strong"/>
                <w:b/>
              </w:rPr>
            </w:pPr>
            <w:r w:rsidRPr="00DE0F69">
              <w:rPr>
                <w:rStyle w:val="Strong"/>
                <w:b/>
              </w:rPr>
              <w:t>1 Low business impact</w:t>
            </w:r>
          </w:p>
        </w:tc>
        <w:tc>
          <w:tcPr>
            <w:tcW w:w="2120" w:type="dxa"/>
            <w:tcBorders>
              <w:bottom w:val="single" w:sz="8" w:space="0" w:color="8064A2" w:themeColor="accent4"/>
            </w:tcBorders>
          </w:tcPr>
          <w:p w:rsidR="00051865" w:rsidRPr="00DE0F69" w:rsidRDefault="00051865" w:rsidP="001D7DF5">
            <w:pPr>
              <w:pStyle w:val="Tablebody"/>
              <w:cnfStyle w:val="000000100000" w:firstRow="0" w:lastRow="0" w:firstColumn="0" w:lastColumn="0" w:oddVBand="0" w:evenVBand="0" w:oddHBand="1" w:evenHBand="0" w:firstRowFirstColumn="0" w:firstRowLastColumn="0" w:lastRowFirstColumn="0" w:lastRowLastColumn="0"/>
            </w:pPr>
            <w:r>
              <w:t>Zone Two</w:t>
            </w:r>
          </w:p>
        </w:tc>
        <w:tc>
          <w:tcPr>
            <w:tcW w:w="2119" w:type="dxa"/>
            <w:tcBorders>
              <w:bottom w:val="single" w:sz="8" w:space="0" w:color="8064A2" w:themeColor="accent4"/>
            </w:tcBorders>
          </w:tcPr>
          <w:p w:rsidR="00051865" w:rsidRPr="00DE0F69"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C91014">
              <w:t>Lockable commercial cabinet</w:t>
            </w:r>
          </w:p>
        </w:tc>
        <w:tc>
          <w:tcPr>
            <w:tcW w:w="2120" w:type="dxa"/>
            <w:tcBorders>
              <w:bottom w:val="single" w:sz="8" w:space="0" w:color="8064A2" w:themeColor="accent4"/>
            </w:tcBorders>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rPr>
                <w:bCs w:val="0"/>
              </w:rPr>
            </w:pPr>
            <w:r w:rsidRPr="00375231">
              <w:t>No additional zone required</w:t>
            </w:r>
          </w:p>
        </w:tc>
        <w:tc>
          <w:tcPr>
            <w:tcW w:w="2120" w:type="dxa"/>
            <w:tcBorders>
              <w:bottom w:val="single" w:sz="8" w:space="0" w:color="8064A2" w:themeColor="accent4"/>
            </w:tcBorders>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rPr>
                <w:bCs w:val="0"/>
              </w:rPr>
            </w:pPr>
            <w:r w:rsidRPr="00375231">
              <w:t>Lockable commercial cabinet</w:t>
            </w:r>
          </w:p>
        </w:tc>
      </w:tr>
      <w:tr w:rsidR="00051865" w:rsidRPr="0068552B" w:rsidTr="001D7DF5">
        <w:trPr>
          <w:cantSplit/>
          <w:trHeight w:val="367"/>
        </w:trPr>
        <w:tc>
          <w:tcPr>
            <w:cnfStyle w:val="001000000000" w:firstRow="0" w:lastRow="0" w:firstColumn="1" w:lastColumn="0" w:oddVBand="0" w:evenVBand="0" w:oddHBand="0" w:evenHBand="0" w:firstRowFirstColumn="0" w:firstRowLastColumn="0" w:lastRowFirstColumn="0" w:lastRowLastColumn="0"/>
            <w:tcW w:w="2119" w:type="dxa"/>
            <w:vMerge/>
            <w:tcBorders>
              <w:bottom w:val="single" w:sz="8" w:space="0" w:color="8064A2" w:themeColor="accent4"/>
            </w:tcBorders>
            <w:shd w:val="clear" w:color="auto" w:fill="auto"/>
          </w:tcPr>
          <w:p w:rsidR="00051865" w:rsidRPr="00DE0F69" w:rsidRDefault="00051865" w:rsidP="001D7DF5">
            <w:pPr>
              <w:pStyle w:val="Tablebody"/>
              <w:rPr>
                <w:rStyle w:val="Strong"/>
              </w:rPr>
            </w:pPr>
          </w:p>
        </w:tc>
        <w:tc>
          <w:tcPr>
            <w:tcW w:w="2120" w:type="dxa"/>
            <w:tcBorders>
              <w:bottom w:val="single" w:sz="8" w:space="0" w:color="8064A2" w:themeColor="accent4"/>
            </w:tcBorders>
            <w:shd w:val="clear" w:color="auto" w:fill="auto"/>
          </w:tcPr>
          <w:p w:rsidR="00051865" w:rsidRPr="00DE0F69" w:rsidRDefault="00051865" w:rsidP="001D7DF5">
            <w:pPr>
              <w:pStyle w:val="Tablebody"/>
              <w:cnfStyle w:val="000000000000" w:firstRow="0" w:lastRow="0" w:firstColumn="0" w:lastColumn="0" w:oddVBand="0" w:evenVBand="0" w:oddHBand="0" w:evenHBand="0" w:firstRowFirstColumn="0" w:firstRowLastColumn="0" w:lastRowFirstColumn="0" w:lastRowLastColumn="0"/>
            </w:pPr>
            <w:r>
              <w:t>Zone One</w:t>
            </w:r>
          </w:p>
        </w:tc>
        <w:tc>
          <w:tcPr>
            <w:tcW w:w="2119" w:type="dxa"/>
            <w:tcBorders>
              <w:bottom w:val="single" w:sz="8" w:space="0" w:color="8064A2" w:themeColor="accent4"/>
            </w:tcBorders>
            <w:shd w:val="clear" w:color="auto" w:fill="auto"/>
          </w:tcPr>
          <w:p w:rsidR="00051865"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C91014">
              <w:t>Lockable commercial cabinet</w:t>
            </w:r>
          </w:p>
        </w:tc>
        <w:tc>
          <w:tcPr>
            <w:tcW w:w="2120" w:type="dxa"/>
            <w:tcBorders>
              <w:bottom w:val="single" w:sz="8" w:space="0" w:color="8064A2" w:themeColor="accent4"/>
            </w:tcBorders>
            <w:shd w:val="clear" w:color="auto" w:fill="auto"/>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Zone Two or above</w:t>
            </w:r>
          </w:p>
        </w:tc>
        <w:tc>
          <w:tcPr>
            <w:tcW w:w="2120" w:type="dxa"/>
            <w:tcBorders>
              <w:bottom w:val="single" w:sz="8" w:space="0" w:color="8064A2" w:themeColor="accent4"/>
            </w:tcBorders>
            <w:shd w:val="clear" w:color="auto" w:fill="auto"/>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Lockable commercial cabinet</w:t>
            </w:r>
          </w:p>
        </w:tc>
      </w:tr>
      <w:tr w:rsidR="00051865" w:rsidRPr="0068552B" w:rsidTr="001D7DF5">
        <w:trPr>
          <w:cnfStyle w:val="000000100000" w:firstRow="0" w:lastRow="0" w:firstColumn="0" w:lastColumn="0" w:oddVBand="0" w:evenVBand="0" w:oddHBand="1" w:evenHBand="0" w:firstRowFirstColumn="0" w:firstRowLastColumn="0" w:lastRowFirstColumn="0" w:lastRowLastColumn="0"/>
          <w:cantSplit/>
          <w:trHeight w:val="290"/>
        </w:trPr>
        <w:tc>
          <w:tcPr>
            <w:cnfStyle w:val="001000000000" w:firstRow="0" w:lastRow="0" w:firstColumn="1" w:lastColumn="0" w:oddVBand="0" w:evenVBand="0" w:oddHBand="0" w:evenHBand="0" w:firstRowFirstColumn="0" w:firstRowLastColumn="0" w:lastRowFirstColumn="0" w:lastRowLastColumn="0"/>
            <w:tcW w:w="2119" w:type="dxa"/>
            <w:vMerge w:val="restart"/>
            <w:shd w:val="clear" w:color="auto" w:fill="auto"/>
          </w:tcPr>
          <w:p w:rsidR="00051865" w:rsidRDefault="00051865" w:rsidP="001D7DF5">
            <w:pPr>
              <w:pStyle w:val="Tablebody"/>
              <w:rPr>
                <w:rStyle w:val="Strong"/>
                <w:b/>
              </w:rPr>
            </w:pPr>
            <w:r w:rsidRPr="00DE0F69">
              <w:rPr>
                <w:rStyle w:val="Strong"/>
                <w:b/>
              </w:rPr>
              <w:t>2 Low to medium business impact</w:t>
            </w:r>
          </w:p>
        </w:tc>
        <w:tc>
          <w:tcPr>
            <w:tcW w:w="2120" w:type="dxa"/>
            <w:tcBorders>
              <w:bottom w:val="single" w:sz="8" w:space="0" w:color="8064A2" w:themeColor="accent4"/>
            </w:tcBorders>
            <w:shd w:val="clear" w:color="auto" w:fill="DFD8E8"/>
          </w:tcPr>
          <w:p w:rsidR="00051865" w:rsidRPr="00DE0F69" w:rsidRDefault="00051865" w:rsidP="001D7DF5">
            <w:pPr>
              <w:pStyle w:val="Tablebody"/>
              <w:cnfStyle w:val="000000100000" w:firstRow="0" w:lastRow="0" w:firstColumn="0" w:lastColumn="0" w:oddVBand="0" w:evenVBand="0" w:oddHBand="1" w:evenHBand="0" w:firstRowFirstColumn="0" w:firstRowLastColumn="0" w:lastRowFirstColumn="0" w:lastRowLastColumn="0"/>
            </w:pPr>
            <w:r>
              <w:t>Zone Two</w:t>
            </w:r>
          </w:p>
        </w:tc>
        <w:tc>
          <w:tcPr>
            <w:tcW w:w="2119" w:type="dxa"/>
            <w:tcBorders>
              <w:bottom w:val="single" w:sz="8" w:space="0" w:color="8064A2" w:themeColor="accent4"/>
            </w:tcBorders>
            <w:shd w:val="clear" w:color="auto" w:fill="DFD8E8"/>
          </w:tcPr>
          <w:p w:rsidR="00051865" w:rsidRPr="00DE0F69"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C91014">
              <w:t>Lockable commercial cabinet</w:t>
            </w:r>
          </w:p>
        </w:tc>
        <w:tc>
          <w:tcPr>
            <w:tcW w:w="2120" w:type="dxa"/>
            <w:shd w:val="clear" w:color="auto" w:fill="DFD8E8"/>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375231">
              <w:t>No additional zone required</w:t>
            </w:r>
          </w:p>
        </w:tc>
        <w:tc>
          <w:tcPr>
            <w:tcW w:w="2120" w:type="dxa"/>
            <w:shd w:val="clear" w:color="auto" w:fill="DFD8E8"/>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375231">
              <w:t>Lockable commercial cabinet</w:t>
            </w:r>
          </w:p>
        </w:tc>
      </w:tr>
      <w:tr w:rsidR="00051865" w:rsidRPr="0068552B" w:rsidTr="001D7DF5">
        <w:trPr>
          <w:cantSplit/>
          <w:trHeight w:val="367"/>
        </w:trPr>
        <w:tc>
          <w:tcPr>
            <w:cnfStyle w:val="001000000000" w:firstRow="0" w:lastRow="0" w:firstColumn="1" w:lastColumn="0" w:oddVBand="0" w:evenVBand="0" w:oddHBand="0" w:evenHBand="0" w:firstRowFirstColumn="0" w:firstRowLastColumn="0" w:lastRowFirstColumn="0" w:lastRowLastColumn="0"/>
            <w:tcW w:w="2119" w:type="dxa"/>
            <w:vMerge/>
            <w:tcBorders>
              <w:bottom w:val="single" w:sz="8" w:space="0" w:color="8064A2" w:themeColor="accent4"/>
            </w:tcBorders>
            <w:shd w:val="clear" w:color="auto" w:fill="auto"/>
          </w:tcPr>
          <w:p w:rsidR="00051865" w:rsidRPr="00DE0F69" w:rsidRDefault="00051865" w:rsidP="001D7DF5">
            <w:pPr>
              <w:pStyle w:val="Tablebody"/>
              <w:rPr>
                <w:rStyle w:val="Strong"/>
              </w:rPr>
            </w:pPr>
          </w:p>
        </w:tc>
        <w:tc>
          <w:tcPr>
            <w:tcW w:w="2120" w:type="dxa"/>
            <w:shd w:val="clear" w:color="auto" w:fill="auto"/>
          </w:tcPr>
          <w:p w:rsidR="00051865" w:rsidRPr="00DE0F69" w:rsidRDefault="00051865" w:rsidP="001D7DF5">
            <w:pPr>
              <w:pStyle w:val="Tablebody"/>
              <w:cnfStyle w:val="000000000000" w:firstRow="0" w:lastRow="0" w:firstColumn="0" w:lastColumn="0" w:oddVBand="0" w:evenVBand="0" w:oddHBand="0" w:evenHBand="0" w:firstRowFirstColumn="0" w:firstRowLastColumn="0" w:lastRowFirstColumn="0" w:lastRowLastColumn="0"/>
            </w:pPr>
            <w:r>
              <w:t>Zone One</w:t>
            </w:r>
          </w:p>
        </w:tc>
        <w:tc>
          <w:tcPr>
            <w:tcW w:w="2119" w:type="dxa"/>
            <w:shd w:val="clear" w:color="auto" w:fill="auto"/>
          </w:tcPr>
          <w:p w:rsidR="00051865"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C91014">
              <w:t>SCEC Class C</w:t>
            </w:r>
          </w:p>
        </w:tc>
        <w:tc>
          <w:tcPr>
            <w:tcW w:w="2120" w:type="dxa"/>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Zone Two or above</w:t>
            </w:r>
          </w:p>
        </w:tc>
        <w:tc>
          <w:tcPr>
            <w:tcW w:w="2120" w:type="dxa"/>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Lockable commercial cabinet</w:t>
            </w:r>
          </w:p>
        </w:tc>
      </w:tr>
      <w:tr w:rsidR="00051865" w:rsidRPr="0068552B" w:rsidTr="001D7DF5">
        <w:trPr>
          <w:cnfStyle w:val="000000100000" w:firstRow="0" w:lastRow="0" w:firstColumn="0" w:lastColumn="0" w:oddVBand="0" w:evenVBand="0" w:oddHBand="1" w:evenHBand="0" w:firstRowFirstColumn="0" w:firstRowLastColumn="0" w:lastRowFirstColumn="0" w:lastRowLastColumn="0"/>
          <w:cantSplit/>
          <w:trHeight w:val="248"/>
        </w:trPr>
        <w:tc>
          <w:tcPr>
            <w:cnfStyle w:val="001000000000" w:firstRow="0" w:lastRow="0" w:firstColumn="1" w:lastColumn="0" w:oddVBand="0" w:evenVBand="0" w:oddHBand="0" w:evenHBand="0" w:firstRowFirstColumn="0" w:firstRowLastColumn="0" w:lastRowFirstColumn="0" w:lastRowLastColumn="0"/>
            <w:tcW w:w="2119" w:type="dxa"/>
            <w:vMerge w:val="restart"/>
            <w:shd w:val="clear" w:color="auto" w:fill="4F81BD"/>
          </w:tcPr>
          <w:p w:rsidR="00051865" w:rsidRDefault="00051865" w:rsidP="001D7DF5">
            <w:pPr>
              <w:pStyle w:val="Tablebody"/>
              <w:rPr>
                <w:rStyle w:val="Strong"/>
                <w:b/>
              </w:rPr>
            </w:pPr>
            <w:r w:rsidRPr="00DE0F69">
              <w:rPr>
                <w:rStyle w:val="Strong"/>
                <w:b/>
                <w:color w:val="FFFFFF" w:themeColor="background1"/>
              </w:rPr>
              <w:t>3 High business impact</w:t>
            </w:r>
          </w:p>
        </w:tc>
        <w:tc>
          <w:tcPr>
            <w:tcW w:w="2120" w:type="dxa"/>
            <w:tcBorders>
              <w:bottom w:val="single" w:sz="8" w:space="0" w:color="8064A2" w:themeColor="accent4"/>
            </w:tcBorders>
          </w:tcPr>
          <w:p w:rsidR="00051865" w:rsidRPr="00DE0F69" w:rsidRDefault="00051865" w:rsidP="001D7DF5">
            <w:pPr>
              <w:pStyle w:val="Tablebody"/>
              <w:cnfStyle w:val="000000100000" w:firstRow="0" w:lastRow="0" w:firstColumn="0" w:lastColumn="0" w:oddVBand="0" w:evenVBand="0" w:oddHBand="1" w:evenHBand="0" w:firstRowFirstColumn="0" w:firstRowLastColumn="0" w:lastRowFirstColumn="0" w:lastRowLastColumn="0"/>
            </w:pPr>
            <w:r>
              <w:t>Zone Three or above</w:t>
            </w:r>
          </w:p>
        </w:tc>
        <w:tc>
          <w:tcPr>
            <w:tcW w:w="2119" w:type="dxa"/>
            <w:tcBorders>
              <w:bottom w:val="single" w:sz="8" w:space="0" w:color="8064A2" w:themeColor="accent4"/>
            </w:tcBorders>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C91014">
              <w:t>SCEC Class C</w:t>
            </w:r>
            <w:r>
              <w:t xml:space="preserve"> recommended for Zone three. </w:t>
            </w:r>
            <w:r w:rsidRPr="00C91014">
              <w:t>Lockable commercial cabinet</w:t>
            </w:r>
            <w:r>
              <w:t xml:space="preserve"> for Zones Four and Five</w:t>
            </w:r>
          </w:p>
        </w:tc>
        <w:tc>
          <w:tcPr>
            <w:tcW w:w="2120" w:type="dxa"/>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C91014">
              <w:t>No additional zone required</w:t>
            </w:r>
          </w:p>
        </w:tc>
        <w:tc>
          <w:tcPr>
            <w:tcW w:w="2120" w:type="dxa"/>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C91014">
              <w:t>SCEC Class C</w:t>
            </w:r>
            <w:r>
              <w:t xml:space="preserve"> recommended for Zone three. </w:t>
            </w:r>
            <w:r w:rsidRPr="00C91014">
              <w:t>Lockable commercial cabinet</w:t>
            </w:r>
            <w:r>
              <w:t xml:space="preserve"> for Zones Four and Five</w:t>
            </w:r>
          </w:p>
        </w:tc>
      </w:tr>
      <w:tr w:rsidR="00051865" w:rsidRPr="0068552B" w:rsidTr="001D7DF5">
        <w:trPr>
          <w:cantSplit/>
          <w:trHeight w:val="120"/>
        </w:trPr>
        <w:tc>
          <w:tcPr>
            <w:cnfStyle w:val="001000000000" w:firstRow="0" w:lastRow="0" w:firstColumn="1" w:lastColumn="0" w:oddVBand="0" w:evenVBand="0" w:oddHBand="0" w:evenHBand="0" w:firstRowFirstColumn="0" w:firstRowLastColumn="0" w:lastRowFirstColumn="0" w:lastRowLastColumn="0"/>
            <w:tcW w:w="2119" w:type="dxa"/>
            <w:vMerge/>
            <w:shd w:val="clear" w:color="auto" w:fill="4F81BD"/>
          </w:tcPr>
          <w:p w:rsidR="00051865" w:rsidRPr="00DE0F69" w:rsidRDefault="00051865" w:rsidP="001D7DF5">
            <w:pPr>
              <w:pStyle w:val="Tablebody"/>
              <w:rPr>
                <w:rStyle w:val="Strong"/>
                <w:color w:val="FFFFFF" w:themeColor="background1"/>
              </w:rPr>
            </w:pPr>
          </w:p>
        </w:tc>
        <w:tc>
          <w:tcPr>
            <w:tcW w:w="2120" w:type="dxa"/>
            <w:vMerge w:val="restart"/>
            <w:shd w:val="clear" w:color="auto" w:fill="auto"/>
          </w:tcPr>
          <w:p w:rsidR="00051865" w:rsidRPr="00DE0F69" w:rsidRDefault="00051865" w:rsidP="001D7DF5">
            <w:pPr>
              <w:pStyle w:val="Tablebody"/>
              <w:cnfStyle w:val="000000000000" w:firstRow="0" w:lastRow="0" w:firstColumn="0" w:lastColumn="0" w:oddVBand="0" w:evenVBand="0" w:oddHBand="0" w:evenHBand="0" w:firstRowFirstColumn="0" w:firstRowLastColumn="0" w:lastRowFirstColumn="0" w:lastRowLastColumn="0"/>
            </w:pPr>
            <w:r>
              <w:t>Zone Two</w:t>
            </w:r>
          </w:p>
        </w:tc>
        <w:tc>
          <w:tcPr>
            <w:tcW w:w="2119" w:type="dxa"/>
            <w:vMerge w:val="restart"/>
            <w:shd w:val="clear" w:color="auto" w:fill="auto"/>
          </w:tcPr>
          <w:p w:rsidR="00051865" w:rsidRPr="00C91014"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C91014">
              <w:t>SCEC Class C</w:t>
            </w:r>
          </w:p>
        </w:tc>
        <w:tc>
          <w:tcPr>
            <w:tcW w:w="2120" w:type="dxa"/>
            <w:tcBorders>
              <w:bottom w:val="single" w:sz="8" w:space="0" w:color="8064A2" w:themeColor="accent4"/>
            </w:tcBorders>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Zone Three or above</w:t>
            </w:r>
          </w:p>
        </w:tc>
        <w:tc>
          <w:tcPr>
            <w:tcW w:w="2120" w:type="dxa"/>
            <w:tcBorders>
              <w:bottom w:val="single" w:sz="8" w:space="0" w:color="8064A2" w:themeColor="accent4"/>
            </w:tcBorders>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Lockable commercial cabinet</w:t>
            </w:r>
          </w:p>
        </w:tc>
      </w:tr>
      <w:tr w:rsidR="00051865" w:rsidRPr="0068552B" w:rsidTr="001D7DF5">
        <w:trPr>
          <w:cnfStyle w:val="000000100000" w:firstRow="0" w:lastRow="0" w:firstColumn="0" w:lastColumn="0" w:oddVBand="0" w:evenVBand="0" w:oddHBand="1" w:evenHBand="0" w:firstRowFirstColumn="0" w:firstRowLastColumn="0" w:lastRowFirstColumn="0" w:lastRowLastColumn="0"/>
          <w:cantSplit/>
          <w:trHeight w:val="120"/>
        </w:trPr>
        <w:tc>
          <w:tcPr>
            <w:cnfStyle w:val="001000000000" w:firstRow="0" w:lastRow="0" w:firstColumn="1" w:lastColumn="0" w:oddVBand="0" w:evenVBand="0" w:oddHBand="0" w:evenHBand="0" w:firstRowFirstColumn="0" w:firstRowLastColumn="0" w:lastRowFirstColumn="0" w:lastRowLastColumn="0"/>
            <w:tcW w:w="2119" w:type="dxa"/>
            <w:vMerge/>
            <w:tcBorders>
              <w:bottom w:val="single" w:sz="8" w:space="0" w:color="8064A2" w:themeColor="accent4"/>
            </w:tcBorders>
            <w:shd w:val="clear" w:color="auto" w:fill="4F81BD"/>
          </w:tcPr>
          <w:p w:rsidR="00051865" w:rsidRPr="00DE0F69" w:rsidRDefault="00051865" w:rsidP="001D7DF5">
            <w:pPr>
              <w:pStyle w:val="Tablebody"/>
              <w:rPr>
                <w:rStyle w:val="Strong"/>
                <w:color w:val="FFFFFF" w:themeColor="background1"/>
              </w:rPr>
            </w:pPr>
          </w:p>
        </w:tc>
        <w:tc>
          <w:tcPr>
            <w:tcW w:w="2120" w:type="dxa"/>
            <w:vMerge/>
            <w:shd w:val="clear" w:color="auto" w:fill="auto"/>
          </w:tcPr>
          <w:p w:rsidR="00051865" w:rsidRDefault="00051865" w:rsidP="001D7DF5">
            <w:pPr>
              <w:pStyle w:val="Tablebody"/>
              <w:cnfStyle w:val="000000100000" w:firstRow="0" w:lastRow="0" w:firstColumn="0" w:lastColumn="0" w:oddVBand="0" w:evenVBand="0" w:oddHBand="1" w:evenHBand="0" w:firstRowFirstColumn="0" w:firstRowLastColumn="0" w:lastRowFirstColumn="0" w:lastRowLastColumn="0"/>
            </w:pPr>
          </w:p>
        </w:tc>
        <w:tc>
          <w:tcPr>
            <w:tcW w:w="2119" w:type="dxa"/>
            <w:vMerge/>
            <w:shd w:val="clear" w:color="auto" w:fill="auto"/>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p>
        </w:tc>
        <w:tc>
          <w:tcPr>
            <w:tcW w:w="2120" w:type="dxa"/>
            <w:shd w:val="clear" w:color="auto" w:fill="DFD8E8"/>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375231">
              <w:t>Zone Two</w:t>
            </w:r>
          </w:p>
        </w:tc>
        <w:tc>
          <w:tcPr>
            <w:tcW w:w="2120" w:type="dxa"/>
            <w:shd w:val="clear" w:color="auto" w:fill="DFD8E8"/>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375231">
              <w:t>SCEC Class C</w:t>
            </w:r>
          </w:p>
        </w:tc>
      </w:tr>
      <w:tr w:rsidR="00051865" w:rsidRPr="0068552B" w:rsidTr="001D7DF5">
        <w:trPr>
          <w:cantSplit/>
          <w:trHeight w:val="128"/>
        </w:trPr>
        <w:tc>
          <w:tcPr>
            <w:cnfStyle w:val="001000000000" w:firstRow="0" w:lastRow="0" w:firstColumn="1" w:lastColumn="0" w:oddVBand="0" w:evenVBand="0" w:oddHBand="0" w:evenHBand="0" w:firstRowFirstColumn="0" w:firstRowLastColumn="0" w:lastRowFirstColumn="0" w:lastRowLastColumn="0"/>
            <w:tcW w:w="2119" w:type="dxa"/>
            <w:vMerge w:val="restart"/>
            <w:shd w:val="clear" w:color="auto" w:fill="E5B8B7"/>
          </w:tcPr>
          <w:p w:rsidR="00051865" w:rsidRDefault="00051865" w:rsidP="001D7DF5">
            <w:pPr>
              <w:pStyle w:val="Tablebody"/>
              <w:rPr>
                <w:rStyle w:val="Strong"/>
                <w:b/>
              </w:rPr>
            </w:pPr>
            <w:r w:rsidRPr="00DE0F69">
              <w:rPr>
                <w:rStyle w:val="Strong"/>
                <w:b/>
              </w:rPr>
              <w:t>4 Extreme business impact</w:t>
            </w:r>
          </w:p>
        </w:tc>
        <w:tc>
          <w:tcPr>
            <w:tcW w:w="2120" w:type="dxa"/>
            <w:vMerge w:val="restart"/>
          </w:tcPr>
          <w:p w:rsidR="00051865" w:rsidRPr="00CB0249"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CB0249">
              <w:t>Zone Four</w:t>
            </w:r>
          </w:p>
        </w:tc>
        <w:tc>
          <w:tcPr>
            <w:tcW w:w="2119" w:type="dxa"/>
            <w:vMerge w:val="restart"/>
          </w:tcPr>
          <w:p w:rsidR="00051865" w:rsidRPr="00DE0F69"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C91014">
              <w:t>SCEC Class C</w:t>
            </w:r>
          </w:p>
        </w:tc>
        <w:tc>
          <w:tcPr>
            <w:tcW w:w="2120" w:type="dxa"/>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Zone Three or above</w:t>
            </w:r>
          </w:p>
        </w:tc>
        <w:tc>
          <w:tcPr>
            <w:tcW w:w="2120" w:type="dxa"/>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Lockable commercial cabinet</w:t>
            </w:r>
          </w:p>
        </w:tc>
      </w:tr>
      <w:tr w:rsidR="00051865" w:rsidRPr="0068552B" w:rsidTr="001D7DF5">
        <w:trPr>
          <w:cnfStyle w:val="000000100000" w:firstRow="0" w:lastRow="0" w:firstColumn="0" w:lastColumn="0" w:oddVBand="0" w:evenVBand="0" w:oddHBand="1" w:evenHBand="0" w:firstRowFirstColumn="0" w:firstRowLastColumn="0" w:lastRowFirstColumn="0" w:lastRowLastColumn="0"/>
          <w:cantSplit/>
          <w:trHeight w:val="127"/>
        </w:trPr>
        <w:tc>
          <w:tcPr>
            <w:cnfStyle w:val="001000000000" w:firstRow="0" w:lastRow="0" w:firstColumn="1" w:lastColumn="0" w:oddVBand="0" w:evenVBand="0" w:oddHBand="0" w:evenHBand="0" w:firstRowFirstColumn="0" w:firstRowLastColumn="0" w:lastRowFirstColumn="0" w:lastRowLastColumn="0"/>
            <w:tcW w:w="2119" w:type="dxa"/>
            <w:vMerge/>
            <w:shd w:val="clear" w:color="auto" w:fill="E5B8B7"/>
          </w:tcPr>
          <w:p w:rsidR="00051865" w:rsidRPr="00DE0F69" w:rsidRDefault="00051865" w:rsidP="001D7DF5">
            <w:pPr>
              <w:pStyle w:val="Tablebody"/>
              <w:rPr>
                <w:rStyle w:val="Strong"/>
              </w:rPr>
            </w:pPr>
          </w:p>
        </w:tc>
        <w:tc>
          <w:tcPr>
            <w:tcW w:w="2120" w:type="dxa"/>
            <w:vMerge/>
            <w:tcBorders>
              <w:bottom w:val="single" w:sz="8" w:space="0" w:color="8064A2" w:themeColor="accent4"/>
            </w:tcBorders>
          </w:tcPr>
          <w:p w:rsidR="00051865" w:rsidRPr="00CB0249" w:rsidRDefault="00051865" w:rsidP="001D7DF5">
            <w:pPr>
              <w:pStyle w:val="Tablebody"/>
              <w:cnfStyle w:val="000000100000" w:firstRow="0" w:lastRow="0" w:firstColumn="0" w:lastColumn="0" w:oddVBand="0" w:evenVBand="0" w:oddHBand="1" w:evenHBand="0" w:firstRowFirstColumn="0" w:firstRowLastColumn="0" w:lastRowFirstColumn="0" w:lastRowLastColumn="0"/>
            </w:pPr>
          </w:p>
        </w:tc>
        <w:tc>
          <w:tcPr>
            <w:tcW w:w="2119" w:type="dxa"/>
            <w:vMerge/>
            <w:tcBorders>
              <w:bottom w:val="single" w:sz="8" w:space="0" w:color="8064A2" w:themeColor="accent4"/>
            </w:tcBorders>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p>
        </w:tc>
        <w:tc>
          <w:tcPr>
            <w:tcW w:w="2120" w:type="dxa"/>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375231">
              <w:t>Zone Two</w:t>
            </w:r>
          </w:p>
        </w:tc>
        <w:tc>
          <w:tcPr>
            <w:tcW w:w="2120" w:type="dxa"/>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375231">
              <w:t>SCEC Class C</w:t>
            </w:r>
          </w:p>
        </w:tc>
      </w:tr>
      <w:tr w:rsidR="00051865" w:rsidRPr="0068552B" w:rsidTr="001D7DF5">
        <w:trPr>
          <w:cantSplit/>
          <w:trHeight w:val="80"/>
        </w:trPr>
        <w:tc>
          <w:tcPr>
            <w:cnfStyle w:val="001000000000" w:firstRow="0" w:lastRow="0" w:firstColumn="1" w:lastColumn="0" w:oddVBand="0" w:evenVBand="0" w:oddHBand="0" w:evenHBand="0" w:firstRowFirstColumn="0" w:firstRowLastColumn="0" w:lastRowFirstColumn="0" w:lastRowLastColumn="0"/>
            <w:tcW w:w="2119" w:type="dxa"/>
            <w:vMerge/>
            <w:shd w:val="clear" w:color="auto" w:fill="E5B8B7"/>
          </w:tcPr>
          <w:p w:rsidR="00051865" w:rsidRPr="00DE0F69" w:rsidRDefault="00051865" w:rsidP="001D7DF5">
            <w:pPr>
              <w:pStyle w:val="Tablebody"/>
              <w:rPr>
                <w:rStyle w:val="Strong"/>
              </w:rPr>
            </w:pPr>
          </w:p>
        </w:tc>
        <w:tc>
          <w:tcPr>
            <w:tcW w:w="2120" w:type="dxa"/>
            <w:vMerge w:val="restart"/>
            <w:shd w:val="clear" w:color="auto" w:fill="auto"/>
          </w:tcPr>
          <w:p w:rsidR="00051865" w:rsidRPr="00CB0249"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CB0249">
              <w:t>Zone Three</w:t>
            </w:r>
          </w:p>
        </w:tc>
        <w:tc>
          <w:tcPr>
            <w:tcW w:w="2119" w:type="dxa"/>
            <w:vMerge w:val="restart"/>
            <w:shd w:val="clear" w:color="auto" w:fill="auto"/>
          </w:tcPr>
          <w:p w:rsidR="00051865" w:rsidRPr="00DE0F69"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C91014">
              <w:t>SCEC Class B</w:t>
            </w:r>
          </w:p>
        </w:tc>
        <w:tc>
          <w:tcPr>
            <w:tcW w:w="2120" w:type="dxa"/>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Zone Four or above</w:t>
            </w:r>
          </w:p>
        </w:tc>
        <w:tc>
          <w:tcPr>
            <w:tcW w:w="2120" w:type="dxa"/>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Lockable commercial cabinet</w:t>
            </w:r>
          </w:p>
        </w:tc>
      </w:tr>
      <w:tr w:rsidR="00051865" w:rsidRPr="0068552B" w:rsidTr="001D7DF5">
        <w:trPr>
          <w:cnfStyle w:val="000000100000" w:firstRow="0" w:lastRow="0" w:firstColumn="0" w:lastColumn="0" w:oddVBand="0" w:evenVBand="0" w:oddHBand="1" w:evenHBand="0" w:firstRowFirstColumn="0" w:firstRowLastColumn="0" w:lastRowFirstColumn="0" w:lastRowLastColumn="0"/>
          <w:cantSplit/>
          <w:trHeight w:val="80"/>
        </w:trPr>
        <w:tc>
          <w:tcPr>
            <w:cnfStyle w:val="001000000000" w:firstRow="0" w:lastRow="0" w:firstColumn="1" w:lastColumn="0" w:oddVBand="0" w:evenVBand="0" w:oddHBand="0" w:evenHBand="0" w:firstRowFirstColumn="0" w:firstRowLastColumn="0" w:lastRowFirstColumn="0" w:lastRowLastColumn="0"/>
            <w:tcW w:w="2119" w:type="dxa"/>
            <w:vMerge/>
            <w:shd w:val="clear" w:color="auto" w:fill="E5B8B7"/>
          </w:tcPr>
          <w:p w:rsidR="00051865" w:rsidRPr="00DE0F69" w:rsidRDefault="00051865" w:rsidP="001D7DF5">
            <w:pPr>
              <w:pStyle w:val="Tablebody"/>
              <w:rPr>
                <w:rStyle w:val="Strong"/>
              </w:rPr>
            </w:pPr>
          </w:p>
        </w:tc>
        <w:tc>
          <w:tcPr>
            <w:tcW w:w="2120" w:type="dxa"/>
            <w:vMerge/>
            <w:shd w:val="clear" w:color="auto" w:fill="auto"/>
          </w:tcPr>
          <w:p w:rsidR="00051865" w:rsidRPr="00CB0249" w:rsidRDefault="00051865" w:rsidP="001D7DF5">
            <w:pPr>
              <w:pStyle w:val="Tablebody"/>
              <w:cnfStyle w:val="000000100000" w:firstRow="0" w:lastRow="0" w:firstColumn="0" w:lastColumn="0" w:oddVBand="0" w:evenVBand="0" w:oddHBand="1" w:evenHBand="0" w:firstRowFirstColumn="0" w:firstRowLastColumn="0" w:lastRowFirstColumn="0" w:lastRowLastColumn="0"/>
            </w:pPr>
          </w:p>
        </w:tc>
        <w:tc>
          <w:tcPr>
            <w:tcW w:w="2119" w:type="dxa"/>
            <w:vMerge/>
            <w:shd w:val="clear" w:color="auto" w:fill="auto"/>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p>
        </w:tc>
        <w:tc>
          <w:tcPr>
            <w:tcW w:w="2120" w:type="dxa"/>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375231">
              <w:t>Zone Three</w:t>
            </w:r>
          </w:p>
        </w:tc>
        <w:tc>
          <w:tcPr>
            <w:tcW w:w="2120" w:type="dxa"/>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375231">
              <w:t>SCEC Class C</w:t>
            </w:r>
          </w:p>
        </w:tc>
      </w:tr>
      <w:tr w:rsidR="00051865" w:rsidRPr="0068552B" w:rsidTr="001D7DF5">
        <w:trPr>
          <w:cantSplit/>
          <w:trHeight w:val="80"/>
        </w:trPr>
        <w:tc>
          <w:tcPr>
            <w:cnfStyle w:val="001000000000" w:firstRow="0" w:lastRow="0" w:firstColumn="1" w:lastColumn="0" w:oddVBand="0" w:evenVBand="0" w:oddHBand="0" w:evenHBand="0" w:firstRowFirstColumn="0" w:firstRowLastColumn="0" w:lastRowFirstColumn="0" w:lastRowLastColumn="0"/>
            <w:tcW w:w="2119" w:type="dxa"/>
            <w:vMerge/>
            <w:tcBorders>
              <w:bottom w:val="single" w:sz="8" w:space="0" w:color="8064A2" w:themeColor="accent4"/>
            </w:tcBorders>
            <w:shd w:val="clear" w:color="auto" w:fill="E5B8B7"/>
          </w:tcPr>
          <w:p w:rsidR="00051865" w:rsidRPr="00DE0F69" w:rsidRDefault="00051865" w:rsidP="001D7DF5">
            <w:pPr>
              <w:pStyle w:val="Tablebody"/>
              <w:rPr>
                <w:rStyle w:val="Strong"/>
              </w:rPr>
            </w:pPr>
          </w:p>
        </w:tc>
        <w:tc>
          <w:tcPr>
            <w:tcW w:w="2120" w:type="dxa"/>
            <w:vMerge/>
            <w:shd w:val="clear" w:color="auto" w:fill="auto"/>
          </w:tcPr>
          <w:p w:rsidR="00051865" w:rsidRPr="00CB0249" w:rsidRDefault="00051865" w:rsidP="001D7DF5">
            <w:pPr>
              <w:pStyle w:val="Tablebody"/>
              <w:cnfStyle w:val="000000000000" w:firstRow="0" w:lastRow="0" w:firstColumn="0" w:lastColumn="0" w:oddVBand="0" w:evenVBand="0" w:oddHBand="0" w:evenHBand="0" w:firstRowFirstColumn="0" w:firstRowLastColumn="0" w:lastRowFirstColumn="0" w:lastRowLastColumn="0"/>
            </w:pPr>
          </w:p>
        </w:tc>
        <w:tc>
          <w:tcPr>
            <w:tcW w:w="2119" w:type="dxa"/>
            <w:vMerge/>
            <w:shd w:val="clear" w:color="auto" w:fill="auto"/>
          </w:tcPr>
          <w:p w:rsidR="00051865" w:rsidRPr="00C91014" w:rsidRDefault="00051865" w:rsidP="001D7DF5">
            <w:pPr>
              <w:pStyle w:val="Tablebody"/>
              <w:cnfStyle w:val="000000000000" w:firstRow="0" w:lastRow="0" w:firstColumn="0" w:lastColumn="0" w:oddVBand="0" w:evenVBand="0" w:oddHBand="0" w:evenHBand="0" w:firstRowFirstColumn="0" w:firstRowLastColumn="0" w:lastRowFirstColumn="0" w:lastRowLastColumn="0"/>
            </w:pPr>
          </w:p>
        </w:tc>
        <w:tc>
          <w:tcPr>
            <w:tcW w:w="2120" w:type="dxa"/>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Zone Two</w:t>
            </w:r>
          </w:p>
        </w:tc>
        <w:tc>
          <w:tcPr>
            <w:tcW w:w="2120" w:type="dxa"/>
          </w:tcPr>
          <w:p w:rsidR="00051865" w:rsidRPr="00375231" w:rsidRDefault="00051865" w:rsidP="001D7DF5">
            <w:pPr>
              <w:pStyle w:val="Tablebody"/>
              <w:cnfStyle w:val="000000000000" w:firstRow="0" w:lastRow="0" w:firstColumn="0" w:lastColumn="0" w:oddVBand="0" w:evenVBand="0" w:oddHBand="0" w:evenHBand="0" w:firstRowFirstColumn="0" w:firstRowLastColumn="0" w:lastRowFirstColumn="0" w:lastRowLastColumn="0"/>
            </w:pPr>
            <w:r w:rsidRPr="00375231">
              <w:t>SCEC Class B</w:t>
            </w:r>
          </w:p>
        </w:tc>
      </w:tr>
      <w:tr w:rsidR="00051865" w:rsidRPr="0068552B" w:rsidTr="001D7DF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119" w:type="dxa"/>
            <w:shd w:val="clear" w:color="auto" w:fill="FF0000"/>
          </w:tcPr>
          <w:p w:rsidR="00051865" w:rsidRDefault="00051865" w:rsidP="001D7DF5">
            <w:pPr>
              <w:pStyle w:val="Tablebody"/>
              <w:rPr>
                <w:rStyle w:val="Strong"/>
                <w:b/>
              </w:rPr>
            </w:pPr>
            <w:r w:rsidRPr="00DE0F69">
              <w:rPr>
                <w:rStyle w:val="Strong"/>
                <w:b/>
                <w:color w:val="FFFFFF" w:themeColor="background1"/>
              </w:rPr>
              <w:t>5 Catastrophic business impact</w:t>
            </w:r>
          </w:p>
        </w:tc>
        <w:tc>
          <w:tcPr>
            <w:tcW w:w="2120" w:type="dxa"/>
          </w:tcPr>
          <w:p w:rsidR="00051865" w:rsidRPr="00375231" w:rsidRDefault="00051865" w:rsidP="001D7DF5">
            <w:pPr>
              <w:pStyle w:val="Tablebody"/>
              <w:cnfStyle w:val="000000100000" w:firstRow="0" w:lastRow="0" w:firstColumn="0" w:lastColumn="0" w:oddVBand="0" w:evenVBand="0" w:oddHBand="1" w:evenHBand="0" w:firstRowFirstColumn="0" w:firstRowLastColumn="0" w:lastRowFirstColumn="0" w:lastRowLastColumn="0"/>
              <w:rPr>
                <w:b/>
              </w:rPr>
            </w:pPr>
            <w:r>
              <w:t>Zone Five</w:t>
            </w:r>
          </w:p>
        </w:tc>
        <w:tc>
          <w:tcPr>
            <w:tcW w:w="2119" w:type="dxa"/>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C91014">
              <w:t>SCEC Class B</w:t>
            </w:r>
          </w:p>
        </w:tc>
        <w:tc>
          <w:tcPr>
            <w:tcW w:w="2120" w:type="dxa"/>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C91014">
              <w:t>Compartment (certified by CSO)</w:t>
            </w:r>
          </w:p>
        </w:tc>
        <w:tc>
          <w:tcPr>
            <w:tcW w:w="2120" w:type="dxa"/>
          </w:tcPr>
          <w:p w:rsidR="00051865" w:rsidRPr="00C91014" w:rsidRDefault="00051865" w:rsidP="001D7DF5">
            <w:pPr>
              <w:pStyle w:val="Tablebody"/>
              <w:cnfStyle w:val="000000100000" w:firstRow="0" w:lastRow="0" w:firstColumn="0" w:lastColumn="0" w:oddVBand="0" w:evenVBand="0" w:oddHBand="1" w:evenHBand="0" w:firstRowFirstColumn="0" w:firstRowLastColumn="0" w:lastRowFirstColumn="0" w:lastRowLastColumn="0"/>
            </w:pPr>
            <w:r w:rsidRPr="00C91014">
              <w:t>SCEC Class C</w:t>
            </w:r>
          </w:p>
        </w:tc>
      </w:tr>
    </w:tbl>
    <w:p w:rsidR="00051865" w:rsidRPr="002313EA" w:rsidRDefault="00051865" w:rsidP="00521E37">
      <w:pPr>
        <w:pStyle w:val="ListBullet2"/>
        <w:numPr>
          <w:ilvl w:val="0"/>
          <w:numId w:val="0"/>
        </w:numPr>
      </w:pPr>
    </w:p>
    <w:p w:rsidR="004E53E1" w:rsidRPr="00D34D34" w:rsidRDefault="004E53E1" w:rsidP="001D7DF5">
      <w:pPr>
        <w:pStyle w:val="Listbullet1"/>
      </w:pPr>
      <w:r w:rsidRPr="00D34D34">
        <w:t xml:space="preserve">The PSPF policy: </w:t>
      </w:r>
      <w:hyperlink r:id="rId35" w:history="1">
        <w:r w:rsidR="00F61E54">
          <w:rPr>
            <w:rStyle w:val="Hyperlink"/>
          </w:rPr>
          <w:t>Entity facilities</w:t>
        </w:r>
      </w:hyperlink>
      <w:r w:rsidRPr="00D34D34">
        <w:t xml:space="preserve"> includes requirements and guidance on the location, certification and accreditation of ICT facilities to achieve the appropriate level of protection commensurate with the business impact level of the loss, compromise or damage of the information and ICT equipment housed in an entity’s ICT facilities.</w:t>
      </w:r>
    </w:p>
    <w:p w:rsidR="004E53E1" w:rsidRPr="00281290" w:rsidRDefault="004E53E1" w:rsidP="008B268B">
      <w:pPr>
        <w:pStyle w:val="Heading5"/>
        <w:numPr>
          <w:ilvl w:val="3"/>
          <w:numId w:val="3"/>
        </w:numPr>
      </w:pPr>
      <w:r>
        <w:t xml:space="preserve">Securing </w:t>
      </w:r>
      <w:r w:rsidRPr="006A76BF">
        <w:t xml:space="preserve">ICT equipment </w:t>
      </w:r>
      <w:r>
        <w:t xml:space="preserve">in ICT facilities </w:t>
      </w:r>
      <w:r w:rsidRPr="006A76BF">
        <w:t>when not in use</w:t>
      </w:r>
    </w:p>
    <w:p w:rsidR="00FE1482" w:rsidRDefault="00504135" w:rsidP="00013891">
      <w:pPr>
        <w:pStyle w:val="Listbullet1"/>
      </w:pPr>
      <w:r>
        <w:t>Subject to the entity’s risk assessment, w</w:t>
      </w:r>
      <w:r w:rsidR="00802EEB">
        <w:t>hen not in use or unattended, some moveable</w:t>
      </w:r>
      <w:r w:rsidR="00802EEB" w:rsidRPr="00802EEB">
        <w:t xml:space="preserve"> </w:t>
      </w:r>
      <w:r w:rsidR="00802EEB" w:rsidRPr="00C5010F">
        <w:t>ICT equipment can be stored i</w:t>
      </w:r>
      <w:r w:rsidR="00802EEB">
        <w:t xml:space="preserve">n an ICT facility that is within a security zone of the work area, see </w:t>
      </w:r>
      <w:r w:rsidR="00802EEB" w:rsidRPr="003658C8">
        <w:t>Table 4</w:t>
      </w:r>
      <w:r w:rsidR="00802EEB">
        <w:t>.</w:t>
      </w:r>
    </w:p>
    <w:p w:rsidR="00F61E54" w:rsidRDefault="00F61E54" w:rsidP="001D7DF5">
      <w:pPr>
        <w:pStyle w:val="Listbullet1"/>
      </w:pPr>
      <w:r w:rsidRPr="008541E5">
        <w:t>Outside</w:t>
      </w:r>
      <w:r>
        <w:t xml:space="preserve"> of</w:t>
      </w:r>
      <w:r w:rsidRPr="008541E5">
        <w:t xml:space="preserve"> business hours the Attorney-General’s Department recommends entities secure</w:t>
      </w:r>
      <w:r>
        <w:t>:</w:t>
      </w:r>
      <w:r w:rsidRPr="008541E5">
        <w:t xml:space="preserve"> </w:t>
      </w:r>
    </w:p>
    <w:p w:rsidR="00F61E54" w:rsidRPr="002313EA" w:rsidRDefault="00F61E54" w:rsidP="00521E37">
      <w:pPr>
        <w:pStyle w:val="ListBullet2"/>
        <w:numPr>
          <w:ilvl w:val="0"/>
          <w:numId w:val="36"/>
        </w:numPr>
      </w:pPr>
      <w:r w:rsidRPr="002313EA">
        <w:t xml:space="preserve">any security containers that hold ICT equipment within the ICT facility </w:t>
      </w:r>
    </w:p>
    <w:p w:rsidR="00F61E54" w:rsidRPr="002313EA" w:rsidRDefault="00F61E54" w:rsidP="00521E37">
      <w:pPr>
        <w:pStyle w:val="ListBullet2"/>
        <w:numPr>
          <w:ilvl w:val="0"/>
          <w:numId w:val="36"/>
        </w:numPr>
      </w:pPr>
      <w:r w:rsidRPr="002313EA">
        <w:t>the ICT facility itself.</w:t>
      </w:r>
    </w:p>
    <w:p w:rsidR="00F61E54" w:rsidRPr="00F04165" w:rsidRDefault="00F61E54" w:rsidP="001D7DF5">
      <w:pPr>
        <w:pStyle w:val="Listbullet1"/>
      </w:pPr>
      <w:r>
        <w:rPr>
          <w:lang w:val="en-US"/>
        </w:rPr>
        <w:t xml:space="preserve">Refer to the </w:t>
      </w:r>
      <w:r w:rsidR="0095477F" w:rsidRPr="00D34D34">
        <w:t xml:space="preserve">PSPF policy: </w:t>
      </w:r>
      <w:hyperlink r:id="rId36" w:history="1">
        <w:r w:rsidR="0095477F">
          <w:rPr>
            <w:rStyle w:val="Hyperlink"/>
          </w:rPr>
          <w:t>Entity facilities</w:t>
        </w:r>
      </w:hyperlink>
      <w:r>
        <w:rPr>
          <w:lang w:val="en-US"/>
        </w:rPr>
        <w:t xml:space="preserve"> for details on security zone protections.</w:t>
      </w:r>
    </w:p>
    <w:p w:rsidR="00F61E54" w:rsidRPr="00FD3663" w:rsidRDefault="00F61E54" w:rsidP="00F61E54">
      <w:pPr>
        <w:pStyle w:val="Heading5"/>
        <w:numPr>
          <w:ilvl w:val="3"/>
          <w:numId w:val="3"/>
        </w:numPr>
      </w:pPr>
      <w:r w:rsidRPr="00FD3663">
        <w:t xml:space="preserve">Security of ICT equipment that cannot be kept in </w:t>
      </w:r>
      <w:r>
        <w:t xml:space="preserve">ICT facilities, </w:t>
      </w:r>
      <w:r w:rsidRPr="00FD3663">
        <w:t xml:space="preserve">security containers or </w:t>
      </w:r>
      <w:r>
        <w:t xml:space="preserve">secure </w:t>
      </w:r>
      <w:r w:rsidRPr="00FD3663">
        <w:t>rooms when not in use</w:t>
      </w:r>
    </w:p>
    <w:p w:rsidR="00F61E54" w:rsidRDefault="00F61E54" w:rsidP="001D7DF5">
      <w:pPr>
        <w:pStyle w:val="Listbullet1"/>
      </w:pPr>
      <w:r>
        <w:t xml:space="preserve">Where an entity is unable to secure ICT equipment (eg desktops computers, printers and multifunctional devices) in an ICT facility, container or secure room when not in use or unattended, the Attorney-General’s Department recommends: </w:t>
      </w:r>
    </w:p>
    <w:p w:rsidR="00F61E54" w:rsidRPr="002313EA" w:rsidRDefault="00F61E54" w:rsidP="00521E37">
      <w:pPr>
        <w:pStyle w:val="ListBullet2"/>
        <w:numPr>
          <w:ilvl w:val="0"/>
          <w:numId w:val="37"/>
        </w:numPr>
      </w:pPr>
      <w:r w:rsidRPr="002313EA">
        <w:t>storage of removable non-volatile media (hard</w:t>
      </w:r>
      <w:r w:rsidR="0074446C" w:rsidRPr="002313EA">
        <w:t xml:space="preserve"> </w:t>
      </w:r>
      <w:r w:rsidRPr="002313EA">
        <w:t>drives) in an appropriate security container</w:t>
      </w:r>
    </w:p>
    <w:p w:rsidR="00F61E54" w:rsidRPr="002313EA" w:rsidRDefault="00F61E54" w:rsidP="00521E37">
      <w:pPr>
        <w:pStyle w:val="ListBullet2"/>
        <w:numPr>
          <w:ilvl w:val="0"/>
          <w:numId w:val="37"/>
        </w:numPr>
      </w:pPr>
      <w:r w:rsidRPr="002313EA">
        <w:t>storage of ICT equipment where the non-volatile media cannot be removed in an appropriate security zone</w:t>
      </w:r>
    </w:p>
    <w:p w:rsidR="00F61E54" w:rsidRPr="002313EA" w:rsidRDefault="00F61E54" w:rsidP="00521E37">
      <w:pPr>
        <w:pStyle w:val="ListBullet2"/>
        <w:numPr>
          <w:ilvl w:val="0"/>
          <w:numId w:val="37"/>
        </w:numPr>
      </w:pPr>
      <w:r w:rsidRPr="002313EA">
        <w:t xml:space="preserve">seek advice from </w:t>
      </w:r>
      <w:r w:rsidR="0074446C" w:rsidRPr="002313EA">
        <w:t>the Australian Signals Directorate (</w:t>
      </w:r>
      <w:r w:rsidRPr="002313EA">
        <w:t>ASD</w:t>
      </w:r>
      <w:r w:rsidR="0074446C" w:rsidRPr="002313EA">
        <w:t>)</w:t>
      </w:r>
      <w:r w:rsidRPr="002313EA">
        <w:t xml:space="preserve"> about additional logical or technological solutions available to lower the risk of compromise of ICT equipment and its information.</w:t>
      </w:r>
    </w:p>
    <w:p w:rsidR="00F61E54" w:rsidRPr="00647020" w:rsidRDefault="00F61E54" w:rsidP="001D7DF5">
      <w:pPr>
        <w:pStyle w:val="Listbullet1"/>
      </w:pPr>
      <w:r w:rsidRPr="0074446C">
        <w:rPr>
          <w:b/>
        </w:rPr>
        <w:lastRenderedPageBreak/>
        <w:fldChar w:fldCharType="begin"/>
      </w:r>
      <w:r w:rsidRPr="0074446C">
        <w:rPr>
          <w:b/>
        </w:rPr>
        <w:instrText xml:space="preserve"> REF _Ref518383089 \h </w:instrText>
      </w:r>
      <w:r w:rsidR="0074446C">
        <w:rPr>
          <w:b/>
        </w:rPr>
        <w:instrText xml:space="preserve"> \* MERGEFORMAT </w:instrText>
      </w:r>
      <w:r w:rsidRPr="0074446C">
        <w:rPr>
          <w:b/>
        </w:rPr>
      </w:r>
      <w:r w:rsidRPr="0074446C">
        <w:rPr>
          <w:b/>
        </w:rPr>
        <w:fldChar w:fldCharType="separate"/>
      </w:r>
      <w:r w:rsidR="004B478D" w:rsidRPr="0074446C">
        <w:rPr>
          <w:b/>
        </w:rPr>
        <w:t xml:space="preserve">Table </w:t>
      </w:r>
      <w:r w:rsidR="004B478D" w:rsidRPr="0074446C">
        <w:rPr>
          <w:b/>
          <w:noProof/>
        </w:rPr>
        <w:t>5</w:t>
      </w:r>
      <w:r w:rsidRPr="0074446C">
        <w:rPr>
          <w:b/>
        </w:rPr>
        <w:fldChar w:fldCharType="end"/>
      </w:r>
      <w:r>
        <w:t xml:space="preserve"> sets out the recommended physical security zones for ICT</w:t>
      </w:r>
      <w:r w:rsidRPr="0049066D">
        <w:t xml:space="preserve"> equipment</w:t>
      </w:r>
      <w:r>
        <w:t xml:space="preserve"> </w:t>
      </w:r>
      <w:r w:rsidRPr="004A41AA">
        <w:t xml:space="preserve">that cannot be held in a security container or </w:t>
      </w:r>
      <w:r>
        <w:t xml:space="preserve">secure </w:t>
      </w:r>
      <w:r w:rsidRPr="004A41AA">
        <w:t>room</w:t>
      </w:r>
      <w:r w:rsidRPr="00616388">
        <w:t xml:space="preserve"> </w:t>
      </w:r>
      <w:r w:rsidRPr="004A41AA">
        <w:t>when not in use</w:t>
      </w:r>
      <w:r>
        <w:t xml:space="preserve"> or unattended. Recommended security zones are based on</w:t>
      </w:r>
      <w:r w:rsidRPr="0049066D">
        <w:t xml:space="preserve"> the</w:t>
      </w:r>
      <w:r>
        <w:t xml:space="preserve"> identified</w:t>
      </w:r>
      <w:r w:rsidRPr="0049066D">
        <w:t xml:space="preserve"> business impact </w:t>
      </w:r>
      <w:r>
        <w:t xml:space="preserve">level </w:t>
      </w:r>
      <w:r w:rsidRPr="0049066D">
        <w:t xml:space="preserve">of the compromise of the information </w:t>
      </w:r>
      <w:r>
        <w:t>available on the ICT</w:t>
      </w:r>
      <w:r w:rsidRPr="0049066D">
        <w:t xml:space="preserve"> equipment</w:t>
      </w:r>
      <w:r>
        <w:t>.</w:t>
      </w:r>
    </w:p>
    <w:p w:rsidR="00F61E54" w:rsidRDefault="00F61E54" w:rsidP="00F61E54">
      <w:pPr>
        <w:pStyle w:val="Caption"/>
      </w:pPr>
      <w:bookmarkStart w:id="10" w:name="_Ref518383089"/>
      <w:bookmarkStart w:id="11" w:name="_Ref516572660"/>
      <w:r>
        <w:t xml:space="preserve">Table </w:t>
      </w:r>
      <w:r w:rsidR="005C252B">
        <w:rPr>
          <w:noProof/>
        </w:rPr>
        <w:fldChar w:fldCharType="begin"/>
      </w:r>
      <w:r w:rsidR="005C252B">
        <w:rPr>
          <w:noProof/>
        </w:rPr>
        <w:instrText xml:space="preserve"> SEQ Table \* ARABIC </w:instrText>
      </w:r>
      <w:r w:rsidR="005C252B">
        <w:rPr>
          <w:noProof/>
        </w:rPr>
        <w:fldChar w:fldCharType="separate"/>
      </w:r>
      <w:r w:rsidR="004B478D">
        <w:rPr>
          <w:noProof/>
        </w:rPr>
        <w:t>5</w:t>
      </w:r>
      <w:r w:rsidR="005C252B">
        <w:rPr>
          <w:noProof/>
        </w:rPr>
        <w:fldChar w:fldCharType="end"/>
      </w:r>
      <w:bookmarkEnd w:id="10"/>
      <w:r>
        <w:t xml:space="preserve"> Busin</w:t>
      </w:r>
      <w:r w:rsidR="0074446C">
        <w:t>ess I</w:t>
      </w:r>
      <w:r>
        <w:t>mpact</w:t>
      </w:r>
      <w:r w:rsidR="008010A1">
        <w:t xml:space="preserve"> Level</w:t>
      </w:r>
      <w:r>
        <w:t xml:space="preserve"> and zone requirement for ICT equipment when not in use that cannot be held in a security container or security room</w:t>
      </w:r>
      <w:bookmarkEnd w:id="11"/>
    </w:p>
    <w:tbl>
      <w:tblPr>
        <w:tblStyle w:val="LightShading-Accent4"/>
        <w:tblW w:w="10598" w:type="dxa"/>
        <w:tblBorders>
          <w:insideH w:val="single" w:sz="8" w:space="0" w:color="8064A2" w:themeColor="accent4"/>
        </w:tblBorders>
        <w:tblLayout w:type="fixed"/>
        <w:tblLook w:val="04A0" w:firstRow="1" w:lastRow="0" w:firstColumn="1" w:lastColumn="0" w:noHBand="0" w:noVBand="1"/>
        <w:tblCaption w:val="Business impact and zone requirement for ICT equipment when not in use that cannot be held in a security container or security room"/>
        <w:tblDescription w:val="This table describes the Business Impact level and zone requirements for ICT equipment not in use that cann ot be held in a security container or security room.&#10;&#10;The table has two rows. Row 1 identifies the business impact level of aggregated electronic information. Row 2 identifies the minimuim security zone required  to hold aggregated electronic information for that Business Impact Level.  &#10;Business impact level of aggregated electronic information&#10;1 Low business impact. Minimum security zone required: Zone Two or as determined by an entity risk assessment.&#10;2 Low to medium business impact. Minimum security zone required: Zone Two or as determined by an entity risk assessment.&#10;3 High business impact. Minimum security zone required: Zone Three or as determined by an entity risk assessment.&#10;4 Extreme business impact. Minimum security zone required: Zone Three or above unless additional logical controls are applied to lower the risks to a level acceptable to the entity.&#10;5 Catastrophic business impact. Minimum security zone required: Zone Five unless additional logical controls are applied to lower the risks to a level acceptable to the originating entity of the information.&#10;"/>
      </w:tblPr>
      <w:tblGrid>
        <w:gridCol w:w="1668"/>
        <w:gridCol w:w="1786"/>
        <w:gridCol w:w="1786"/>
        <w:gridCol w:w="1786"/>
        <w:gridCol w:w="1786"/>
        <w:gridCol w:w="1786"/>
      </w:tblGrid>
      <w:tr w:rsidR="007A273A" w:rsidRPr="002B3B16" w:rsidTr="00AB2E3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668" w:type="dxa"/>
          </w:tcPr>
          <w:p w:rsidR="007A273A" w:rsidRPr="00DE0F69" w:rsidRDefault="007A273A" w:rsidP="00963508">
            <w:pPr>
              <w:pStyle w:val="Tablebody"/>
              <w:keepNext/>
              <w:rPr>
                <w:rStyle w:val="Strong"/>
                <w:b/>
              </w:rPr>
            </w:pPr>
            <w:r w:rsidRPr="00DE0F69">
              <w:rPr>
                <w:rStyle w:val="Strong"/>
                <w:b/>
              </w:rPr>
              <w:t>Business impact level</w:t>
            </w:r>
            <w:r>
              <w:rPr>
                <w:rStyle w:val="Strong"/>
                <w:b/>
              </w:rPr>
              <w:t xml:space="preserve"> of </w:t>
            </w:r>
            <w:r w:rsidR="00963508">
              <w:rPr>
                <w:rStyle w:val="Strong"/>
                <w:b/>
              </w:rPr>
              <w:t>aggregated</w:t>
            </w:r>
            <w:r>
              <w:rPr>
                <w:rStyle w:val="Strong"/>
                <w:b/>
              </w:rPr>
              <w:t xml:space="preserve"> electronic information</w:t>
            </w:r>
          </w:p>
        </w:tc>
        <w:tc>
          <w:tcPr>
            <w:tcW w:w="1786" w:type="dxa"/>
          </w:tcPr>
          <w:p w:rsidR="007A273A" w:rsidRPr="00DE0F69" w:rsidRDefault="007A273A" w:rsidP="0095477F">
            <w:pPr>
              <w:pStyle w:val="Tablebody"/>
              <w:keepNext/>
              <w:cnfStyle w:val="100000000000" w:firstRow="1" w:lastRow="0" w:firstColumn="0" w:lastColumn="0" w:oddVBand="0" w:evenVBand="0" w:oddHBand="0" w:evenHBand="0" w:firstRowFirstColumn="0" w:firstRowLastColumn="0" w:lastRowFirstColumn="0" w:lastRowLastColumn="0"/>
              <w:rPr>
                <w:rStyle w:val="Strong"/>
                <w:b/>
              </w:rPr>
            </w:pPr>
            <w:r w:rsidRPr="00DE0F69">
              <w:rPr>
                <w:rStyle w:val="Strong"/>
                <w:b/>
              </w:rPr>
              <w:t>1 Low business impact</w:t>
            </w:r>
          </w:p>
        </w:tc>
        <w:tc>
          <w:tcPr>
            <w:tcW w:w="1786" w:type="dxa"/>
          </w:tcPr>
          <w:p w:rsidR="007A273A" w:rsidRPr="00DE0F69" w:rsidRDefault="007A273A" w:rsidP="0095477F">
            <w:pPr>
              <w:pStyle w:val="Tablebody"/>
              <w:keepNext/>
              <w:cnfStyle w:val="100000000000" w:firstRow="1" w:lastRow="0" w:firstColumn="0" w:lastColumn="0" w:oddVBand="0" w:evenVBand="0" w:oddHBand="0" w:evenHBand="0" w:firstRowFirstColumn="0" w:firstRowLastColumn="0" w:lastRowFirstColumn="0" w:lastRowLastColumn="0"/>
              <w:rPr>
                <w:rStyle w:val="Strong"/>
                <w:b/>
              </w:rPr>
            </w:pPr>
            <w:r w:rsidRPr="00DE0F69">
              <w:rPr>
                <w:rStyle w:val="Strong"/>
                <w:b/>
              </w:rPr>
              <w:t>2 Low to medium business impact</w:t>
            </w:r>
          </w:p>
        </w:tc>
        <w:tc>
          <w:tcPr>
            <w:tcW w:w="1786" w:type="dxa"/>
            <w:shd w:val="clear" w:color="auto" w:fill="4F81BD" w:themeFill="accent1"/>
          </w:tcPr>
          <w:p w:rsidR="007A273A" w:rsidRPr="00DE0F69" w:rsidRDefault="007A273A" w:rsidP="0095477F">
            <w:pPr>
              <w:pStyle w:val="Tablebody"/>
              <w:keepNext/>
              <w:cnfStyle w:val="100000000000" w:firstRow="1" w:lastRow="0" w:firstColumn="0" w:lastColumn="0" w:oddVBand="0" w:evenVBand="0" w:oddHBand="0" w:evenHBand="0" w:firstRowFirstColumn="0" w:firstRowLastColumn="0" w:lastRowFirstColumn="0" w:lastRowLastColumn="0"/>
              <w:rPr>
                <w:rStyle w:val="Strong"/>
                <w:b/>
                <w:color w:val="FFFFFF" w:themeColor="background1"/>
              </w:rPr>
            </w:pPr>
            <w:r w:rsidRPr="00DE0F69">
              <w:rPr>
                <w:rStyle w:val="Strong"/>
                <w:b/>
                <w:color w:val="FFFFFF" w:themeColor="background1"/>
              </w:rPr>
              <w:t>3 High business impact</w:t>
            </w:r>
          </w:p>
        </w:tc>
        <w:tc>
          <w:tcPr>
            <w:tcW w:w="1786" w:type="dxa"/>
            <w:shd w:val="clear" w:color="auto" w:fill="E5B8B7" w:themeFill="accent2" w:themeFillTint="66"/>
          </w:tcPr>
          <w:p w:rsidR="007A273A" w:rsidRPr="002B3B16" w:rsidRDefault="007A273A" w:rsidP="0095477F">
            <w:pPr>
              <w:pStyle w:val="Tablebody"/>
              <w:keepNext/>
              <w:cnfStyle w:val="100000000000" w:firstRow="1" w:lastRow="0" w:firstColumn="0" w:lastColumn="0" w:oddVBand="0" w:evenVBand="0" w:oddHBand="0" w:evenHBand="0" w:firstRowFirstColumn="0" w:firstRowLastColumn="0" w:lastRowFirstColumn="0" w:lastRowLastColumn="0"/>
              <w:rPr>
                <w:rStyle w:val="Strong"/>
                <w:b/>
                <w:caps/>
              </w:rPr>
            </w:pPr>
            <w:r w:rsidRPr="00DE0F69">
              <w:rPr>
                <w:rStyle w:val="Strong"/>
                <w:b/>
              </w:rPr>
              <w:t>4 Extreme business impact</w:t>
            </w:r>
          </w:p>
        </w:tc>
        <w:tc>
          <w:tcPr>
            <w:tcW w:w="1786" w:type="dxa"/>
            <w:shd w:val="clear" w:color="auto" w:fill="FF0000"/>
          </w:tcPr>
          <w:p w:rsidR="007A273A" w:rsidRPr="002B3B16" w:rsidRDefault="007A273A" w:rsidP="0095477F">
            <w:pPr>
              <w:pStyle w:val="Tablebody"/>
              <w:keepNext/>
              <w:cnfStyle w:val="100000000000" w:firstRow="1" w:lastRow="0" w:firstColumn="0" w:lastColumn="0" w:oddVBand="0" w:evenVBand="0" w:oddHBand="0" w:evenHBand="0" w:firstRowFirstColumn="0" w:firstRowLastColumn="0" w:lastRowFirstColumn="0" w:lastRowLastColumn="0"/>
              <w:rPr>
                <w:rStyle w:val="Strong"/>
                <w:b/>
                <w:caps/>
                <w:color w:val="FFFFFF" w:themeColor="background1"/>
              </w:rPr>
            </w:pPr>
            <w:r w:rsidRPr="00DE0F69">
              <w:rPr>
                <w:rStyle w:val="Strong"/>
                <w:b/>
                <w:color w:val="FFFFFF" w:themeColor="background1"/>
              </w:rPr>
              <w:t>5 Catastrophic business impact</w:t>
            </w:r>
          </w:p>
        </w:tc>
      </w:tr>
      <w:tr w:rsidR="007A273A" w:rsidRPr="00DE0F69" w:rsidTr="00AB2E3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668" w:type="dxa"/>
          </w:tcPr>
          <w:p w:rsidR="007A273A" w:rsidRPr="00AF5BE8" w:rsidRDefault="007A273A" w:rsidP="00AB2E30">
            <w:pPr>
              <w:pStyle w:val="Tablebody"/>
              <w:rPr>
                <w:rStyle w:val="Strong"/>
                <w:b/>
              </w:rPr>
            </w:pPr>
            <w:r>
              <w:rPr>
                <w:rStyle w:val="Strong"/>
                <w:b/>
              </w:rPr>
              <w:t>Minimum security zone required</w:t>
            </w:r>
          </w:p>
        </w:tc>
        <w:tc>
          <w:tcPr>
            <w:tcW w:w="1786" w:type="dxa"/>
          </w:tcPr>
          <w:p w:rsidR="007A273A" w:rsidRPr="00DE0F69" w:rsidRDefault="0095477F" w:rsidP="00AB2E30">
            <w:pPr>
              <w:pStyle w:val="Tablebody"/>
              <w:cnfStyle w:val="000000100000" w:firstRow="0" w:lastRow="0" w:firstColumn="0" w:lastColumn="0" w:oddVBand="0" w:evenVBand="0" w:oddHBand="1" w:evenHBand="0" w:firstRowFirstColumn="0" w:firstRowLastColumn="0" w:lastRowFirstColumn="0" w:lastRowLastColumn="0"/>
            </w:pPr>
            <w:r w:rsidRPr="007A273A">
              <w:t>Zone Two or as determined by an entity risk assessment</w:t>
            </w:r>
            <w:r>
              <w:t>.</w:t>
            </w:r>
          </w:p>
        </w:tc>
        <w:tc>
          <w:tcPr>
            <w:tcW w:w="1786" w:type="dxa"/>
          </w:tcPr>
          <w:p w:rsidR="007A273A" w:rsidRPr="00DE0F69" w:rsidRDefault="007A273A" w:rsidP="00AB2E30">
            <w:pPr>
              <w:pStyle w:val="Tablebody"/>
              <w:cnfStyle w:val="000000100000" w:firstRow="0" w:lastRow="0" w:firstColumn="0" w:lastColumn="0" w:oddVBand="0" w:evenVBand="0" w:oddHBand="1" w:evenHBand="0" w:firstRowFirstColumn="0" w:firstRowLastColumn="0" w:lastRowFirstColumn="0" w:lastRowLastColumn="0"/>
            </w:pPr>
            <w:r w:rsidRPr="007A273A">
              <w:t>Zone Two or as determined by an entity risk assessment</w:t>
            </w:r>
            <w:r>
              <w:t>.</w:t>
            </w:r>
          </w:p>
        </w:tc>
        <w:tc>
          <w:tcPr>
            <w:tcW w:w="1786" w:type="dxa"/>
          </w:tcPr>
          <w:p w:rsidR="007A273A" w:rsidRPr="00DE0F69" w:rsidRDefault="007A273A" w:rsidP="00AB2E30">
            <w:pPr>
              <w:pStyle w:val="Tablebody"/>
              <w:cnfStyle w:val="000000100000" w:firstRow="0" w:lastRow="0" w:firstColumn="0" w:lastColumn="0" w:oddVBand="0" w:evenVBand="0" w:oddHBand="1" w:evenHBand="0" w:firstRowFirstColumn="0" w:firstRowLastColumn="0" w:lastRowFirstColumn="0" w:lastRowLastColumn="0"/>
            </w:pPr>
            <w:r w:rsidRPr="007A273A">
              <w:t>Zone Three or as determined by an entity risk assessment</w:t>
            </w:r>
            <w:r>
              <w:t>.</w:t>
            </w:r>
          </w:p>
        </w:tc>
        <w:tc>
          <w:tcPr>
            <w:tcW w:w="1786" w:type="dxa"/>
          </w:tcPr>
          <w:p w:rsidR="007A273A" w:rsidRPr="00DE0F69" w:rsidRDefault="007A273A" w:rsidP="00AB2E30">
            <w:pPr>
              <w:pStyle w:val="Tablebody"/>
              <w:cnfStyle w:val="000000100000" w:firstRow="0" w:lastRow="0" w:firstColumn="0" w:lastColumn="0" w:oddVBand="0" w:evenVBand="0" w:oddHBand="1" w:evenHBand="0" w:firstRowFirstColumn="0" w:firstRowLastColumn="0" w:lastRowFirstColumn="0" w:lastRowLastColumn="0"/>
            </w:pPr>
            <w:r w:rsidRPr="007A273A">
              <w:t>Zone Three or above unless additional logical controls are applied to lower the risks to a level acceptable to the entity.</w:t>
            </w:r>
          </w:p>
        </w:tc>
        <w:tc>
          <w:tcPr>
            <w:tcW w:w="1786" w:type="dxa"/>
          </w:tcPr>
          <w:p w:rsidR="007A273A" w:rsidRPr="00DE0F69" w:rsidRDefault="007A273A" w:rsidP="00AB2E30">
            <w:pPr>
              <w:pStyle w:val="Tablebody"/>
              <w:cnfStyle w:val="000000100000" w:firstRow="0" w:lastRow="0" w:firstColumn="0" w:lastColumn="0" w:oddVBand="0" w:evenVBand="0" w:oddHBand="1" w:evenHBand="0" w:firstRowFirstColumn="0" w:firstRowLastColumn="0" w:lastRowFirstColumn="0" w:lastRowLastColumn="0"/>
            </w:pPr>
            <w:r w:rsidRPr="007A273A">
              <w:t>Zone Five unless additional logical controls are applied to lower the risks to a level acceptable to the originating entity of the information</w:t>
            </w:r>
            <w:r>
              <w:t>.</w:t>
            </w:r>
          </w:p>
        </w:tc>
      </w:tr>
    </w:tbl>
    <w:p w:rsidR="00F61E54" w:rsidRDefault="00F61E54" w:rsidP="00F61E54">
      <w:pPr>
        <w:pStyle w:val="Heading4"/>
      </w:pPr>
      <w:r>
        <w:t>Physical security for specific types of ICT equipment</w:t>
      </w:r>
    </w:p>
    <w:p w:rsidR="00F61E54" w:rsidRDefault="00F61E54" w:rsidP="00F61E54">
      <w:pPr>
        <w:pStyle w:val="Heading5"/>
        <w:numPr>
          <w:ilvl w:val="3"/>
          <w:numId w:val="3"/>
        </w:numPr>
      </w:pPr>
      <w:r>
        <w:t>Equipment with solid state drives or hybrid hard drives</w:t>
      </w:r>
    </w:p>
    <w:p w:rsidR="00F61E54" w:rsidRPr="005141C7" w:rsidRDefault="00F61E54" w:rsidP="001D7DF5">
      <w:pPr>
        <w:pStyle w:val="Listbullet1"/>
      </w:pPr>
      <w:r w:rsidRPr="009108DD">
        <w:t>Solid</w:t>
      </w:r>
      <w:r w:rsidRPr="00B0371F">
        <w:t xml:space="preserve"> state </w:t>
      </w:r>
      <w:r w:rsidRPr="00083C49">
        <w:t>drives</w:t>
      </w:r>
      <w:r w:rsidRPr="00B0371F">
        <w:t xml:space="preserve"> and hybrid hard drives cannot be made safe through normal data wiping processes when switched off</w:t>
      </w:r>
      <w:r>
        <w:t xml:space="preserve">. The Attorney-General’s Department recommends that entities using equipment fitted with these drives </w:t>
      </w:r>
      <w:r w:rsidRPr="005141C7">
        <w:t xml:space="preserve">seek advice from ASD on methods </w:t>
      </w:r>
      <w:r>
        <w:t>to</w:t>
      </w:r>
      <w:r w:rsidRPr="005141C7">
        <w:t xml:space="preserve"> secur</w:t>
      </w:r>
      <w:r>
        <w:t>e</w:t>
      </w:r>
      <w:r w:rsidRPr="005141C7">
        <w:t xml:space="preserve"> these types of </w:t>
      </w:r>
      <w:r w:rsidRPr="00B0371F">
        <w:t>equipment</w:t>
      </w:r>
      <w:r w:rsidRPr="005141C7">
        <w:t xml:space="preserve"> </w:t>
      </w:r>
      <w:r>
        <w:t>(eg</w:t>
      </w:r>
      <w:r w:rsidRPr="005141C7">
        <w:t xml:space="preserve"> encryption</w:t>
      </w:r>
      <w:r>
        <w:t>)</w:t>
      </w:r>
      <w:r w:rsidRPr="005141C7">
        <w:t>.</w:t>
      </w:r>
    </w:p>
    <w:p w:rsidR="00F61E54" w:rsidRDefault="00F61E54" w:rsidP="00F61E54">
      <w:pPr>
        <w:pStyle w:val="Heading5"/>
        <w:numPr>
          <w:ilvl w:val="3"/>
          <w:numId w:val="3"/>
        </w:numPr>
      </w:pPr>
      <w:r>
        <w:t>Deployable ICT systems</w:t>
      </w:r>
    </w:p>
    <w:p w:rsidR="00F61E54" w:rsidRPr="00B0371F" w:rsidRDefault="00F61E54" w:rsidP="001D7DF5">
      <w:pPr>
        <w:pStyle w:val="Listbullet1"/>
      </w:pPr>
      <w:r w:rsidRPr="00B0371F">
        <w:t>Entities may have difficulty in applying suitable physical security measures when using deployable ICT systems, particularly in high risk environments. The Attorney-General’s Department recommends entities seek advice from ASD on suitable logical controls to help mitigate any risks identified as a result of using deployable ICT systems.</w:t>
      </w:r>
    </w:p>
    <w:p w:rsidR="00F61E54" w:rsidRDefault="00F61E54" w:rsidP="00F61E54">
      <w:pPr>
        <w:pStyle w:val="Heading5"/>
        <w:numPr>
          <w:ilvl w:val="3"/>
          <w:numId w:val="3"/>
        </w:numPr>
      </w:pPr>
      <w:r>
        <w:t>Network infrastructure</w:t>
      </w:r>
    </w:p>
    <w:p w:rsidR="00F61E54" w:rsidRPr="00A759F2" w:rsidRDefault="00F61E54" w:rsidP="001D7DF5">
      <w:pPr>
        <w:pStyle w:val="Listbullet1"/>
      </w:pPr>
      <w:r>
        <w:t xml:space="preserve">Protection of network infrastructure requires a combination of physical security measures and system encryption. </w:t>
      </w:r>
      <w:r w:rsidRPr="00705105">
        <w:t xml:space="preserve">Where ASD approved </w:t>
      </w:r>
      <w:r w:rsidRPr="00B0371F">
        <w:t>encryption</w:t>
      </w:r>
      <w:r w:rsidRPr="00705105">
        <w:t xml:space="preserve"> is applied, the physical security protection </w:t>
      </w:r>
      <w:r>
        <w:t xml:space="preserve">requirements </w:t>
      </w:r>
      <w:r w:rsidRPr="00705105">
        <w:t xml:space="preserve">can be lowered in accordance with </w:t>
      </w:r>
      <w:r>
        <w:t>the Australian Government Information Security Manual (ISM)</w:t>
      </w:r>
      <w:r w:rsidRPr="00705105">
        <w:t>.</w:t>
      </w:r>
      <w:r>
        <w:t xml:space="preserve"> </w:t>
      </w:r>
      <w:r w:rsidRPr="00A759F2">
        <w:t xml:space="preserve">For information on protection of network infrastructure see the PSPF policy: </w:t>
      </w:r>
      <w:hyperlink r:id="rId37" w:history="1">
        <w:r w:rsidR="00C91014">
          <w:rPr>
            <w:rStyle w:val="Hyperlink"/>
          </w:rPr>
          <w:t>Robust ICT systems</w:t>
        </w:r>
      </w:hyperlink>
      <w:r w:rsidRPr="00B0371F">
        <w:t>.</w:t>
      </w:r>
    </w:p>
    <w:p w:rsidR="00F61E54" w:rsidRPr="00B0371F" w:rsidRDefault="00F61E54" w:rsidP="001D7DF5">
      <w:pPr>
        <w:pStyle w:val="Listbullet1"/>
      </w:pPr>
      <w:r w:rsidRPr="00B0371F">
        <w:t xml:space="preserve">Tampering of network infrastructure is a security risk. The Attorney-General’s Department recommends entities secure network infrastructure equipment, such as patch panels, fibre distribution panels and structured wiring enclosures in containers and secure rooms. Where this is not possible it is recommended that entities meet system encryption requirements set out in the </w:t>
      </w:r>
      <w:hyperlink r:id="rId38" w:history="1">
        <w:r w:rsidRPr="00B0371F">
          <w:rPr>
            <w:rStyle w:val="Hyperlink"/>
            <w:rFonts w:cstheme="minorHAnsi"/>
            <w:szCs w:val="20"/>
          </w:rPr>
          <w:t>ISM</w:t>
        </w:r>
      </w:hyperlink>
      <w:r w:rsidRPr="00B0371F">
        <w:t>.</w:t>
      </w:r>
    </w:p>
    <w:p w:rsidR="00F61E54" w:rsidRDefault="00F61E54" w:rsidP="00F61E54">
      <w:pPr>
        <w:pStyle w:val="Heading5"/>
        <w:numPr>
          <w:ilvl w:val="3"/>
          <w:numId w:val="3"/>
        </w:numPr>
      </w:pPr>
      <w:r w:rsidRPr="001C37BD">
        <w:t>ICT system gateway</w:t>
      </w:r>
      <w:r w:rsidRPr="00F61E54">
        <w:t xml:space="preserve"> </w:t>
      </w:r>
      <w:r w:rsidRPr="001C37BD">
        <w:t>devices</w:t>
      </w:r>
    </w:p>
    <w:p w:rsidR="00F61E54" w:rsidRPr="00B0371F" w:rsidRDefault="00F61E54" w:rsidP="001D7DF5">
      <w:pPr>
        <w:pStyle w:val="Listbullet1"/>
      </w:pPr>
      <w:r>
        <w:t>T</w:t>
      </w:r>
      <w:r w:rsidRPr="00B0371F">
        <w:t xml:space="preserve">he unauthorised access to gateway devices is a security risk. The Attorney-General’s Department recommends that gateway devices are located in dedicated ICT facilities. For information on securing ICT system gateway devices see the </w:t>
      </w:r>
      <w:hyperlink r:id="rId39" w:history="1">
        <w:r w:rsidRPr="00B0371F">
          <w:rPr>
            <w:color w:val="0000FF"/>
            <w:u w:val="single"/>
          </w:rPr>
          <w:t>ISM</w:t>
        </w:r>
      </w:hyperlink>
      <w:r w:rsidRPr="00B0371F">
        <w:t xml:space="preserve">. </w:t>
      </w:r>
    </w:p>
    <w:p w:rsidR="00F61E54" w:rsidRDefault="00F61E54" w:rsidP="00F61E54">
      <w:pPr>
        <w:pStyle w:val="Heading3"/>
      </w:pPr>
      <w:r>
        <w:t>Protection of resources against loss of power supply</w:t>
      </w:r>
    </w:p>
    <w:p w:rsidR="00F61E54" w:rsidRDefault="00F61E54" w:rsidP="001D7DF5">
      <w:pPr>
        <w:pStyle w:val="Listbullet1"/>
      </w:pPr>
      <w:r>
        <w:t xml:space="preserve">Loss of power supply can have a significant effect on the security of entity resources (for example loss of power could affect the operation of access control systems and security alarm systems) and is one of a number of considerations when developing the entity security plan, (refer to PSPF policy: </w:t>
      </w:r>
      <w:hyperlink r:id="rId40" w:history="1">
        <w:r w:rsidR="00C91014">
          <w:rPr>
            <w:rStyle w:val="Hyperlink"/>
          </w:rPr>
          <w:t>Security planning and risk management</w:t>
        </w:r>
      </w:hyperlink>
      <w:r>
        <w:t>).</w:t>
      </w:r>
    </w:p>
    <w:p w:rsidR="00F61E54" w:rsidRDefault="00F61E54" w:rsidP="00F61E54">
      <w:pPr>
        <w:pStyle w:val="Heading3"/>
      </w:pPr>
      <w:r>
        <w:lastRenderedPageBreak/>
        <w:t>Disposal of physical assets</w:t>
      </w:r>
    </w:p>
    <w:p w:rsidR="00F61E54" w:rsidRDefault="00F61E54" w:rsidP="001D7DF5">
      <w:pPr>
        <w:pStyle w:val="Listbullet1"/>
      </w:pPr>
      <w:r>
        <w:t xml:space="preserve">Entities may need to dispose of entity physical resources due to, advances in technology, the end of the usable life of the physical asset, downsizing and changes in business requirements. </w:t>
      </w:r>
      <w:hyperlink w:anchor="_Supporting_requirements" w:history="1">
        <w:r w:rsidRPr="007A273A">
          <w:t>Requirement 3</w:t>
        </w:r>
      </w:hyperlink>
      <w:r w:rsidRPr="00DC222A">
        <w:t xml:space="preserve"> mandates that entities dispose of physical </w:t>
      </w:r>
      <w:r>
        <w:t>assets</w:t>
      </w:r>
      <w:r w:rsidRPr="00DC222A">
        <w:t xml:space="preserve"> securely. </w:t>
      </w:r>
    </w:p>
    <w:p w:rsidR="00F61E54" w:rsidRPr="00BD79BB" w:rsidRDefault="00F61E54" w:rsidP="001D7DF5">
      <w:pPr>
        <w:pStyle w:val="Listbullet1"/>
      </w:pPr>
      <w:r>
        <w:t xml:space="preserve">Prior to decommissioning and disposal of physical assets such as security containers, cabinets, vaults, strongrooms and secure rooms, the Attorney-General’s Department recommends entities: </w:t>
      </w:r>
    </w:p>
    <w:p w:rsidR="00F61E54" w:rsidRPr="002313EA" w:rsidRDefault="00F61E54" w:rsidP="00521E37">
      <w:pPr>
        <w:pStyle w:val="ListBullet2"/>
        <w:numPr>
          <w:ilvl w:val="0"/>
          <w:numId w:val="38"/>
        </w:numPr>
      </w:pPr>
      <w:r w:rsidRPr="002313EA">
        <w:t>reset combination locks (electronic and mechanical) to factory settings</w:t>
      </w:r>
    </w:p>
    <w:p w:rsidR="00F61E54" w:rsidRPr="002313EA" w:rsidRDefault="00F61E54" w:rsidP="00521E37">
      <w:pPr>
        <w:pStyle w:val="ListBullet2"/>
        <w:numPr>
          <w:ilvl w:val="0"/>
          <w:numId w:val="38"/>
        </w:numPr>
      </w:pPr>
      <w:r w:rsidRPr="002313EA">
        <w:t>visually inspect and remove all contents from these physical assets.</w:t>
      </w:r>
    </w:p>
    <w:p w:rsidR="00F61E54" w:rsidRPr="00A759F2" w:rsidRDefault="00F61E54" w:rsidP="001D7DF5">
      <w:pPr>
        <w:pStyle w:val="Listbullet1"/>
      </w:pPr>
      <w:r>
        <w:t>Secure disposal of ICT equipment</w:t>
      </w:r>
      <w:r w:rsidRPr="000D5DDF">
        <w:t xml:space="preserve"> </w:t>
      </w:r>
      <w:r>
        <w:t xml:space="preserve">may be achieved through sanitisation in accordance with the </w:t>
      </w:r>
      <w:hyperlink r:id="rId41" w:history="1">
        <w:r w:rsidRPr="00B0371F">
          <w:rPr>
            <w:rStyle w:val="Hyperlink"/>
            <w:szCs w:val="20"/>
          </w:rPr>
          <w:t>ISM—Product sanitisation and disposal</w:t>
        </w:r>
      </w:hyperlink>
      <w:r w:rsidR="0074446C">
        <w:t>.</w:t>
      </w:r>
      <w:r>
        <w:t xml:space="preserve"> </w:t>
      </w:r>
      <w:r w:rsidR="0074446C">
        <w:t>H</w:t>
      </w:r>
      <w:r>
        <w:t>owever</w:t>
      </w:r>
      <w:r w:rsidR="0074446C">
        <w:t>,</w:t>
      </w:r>
      <w:r>
        <w:t xml:space="preserve"> in some instances</w:t>
      </w:r>
      <w:r w:rsidR="0074446C">
        <w:t>,</w:t>
      </w:r>
      <w:r>
        <w:t xml:space="preserve"> ICT equipment cannot be sanitised and will require destruction.</w:t>
      </w:r>
    </w:p>
    <w:p w:rsidR="00F61E54" w:rsidRDefault="00F61E54" w:rsidP="00F61E54">
      <w:pPr>
        <w:pStyle w:val="Heading4"/>
      </w:pPr>
      <w:r>
        <w:t>Destruction equipment</w:t>
      </w:r>
    </w:p>
    <w:p w:rsidR="00F61E54" w:rsidRPr="00183D31" w:rsidRDefault="00F61E54" w:rsidP="001D7DF5">
      <w:pPr>
        <w:pStyle w:val="Listbullet1"/>
        <w:rPr>
          <w:rFonts w:cstheme="minorHAnsi"/>
        </w:rPr>
      </w:pPr>
      <w:r w:rsidRPr="00183D31">
        <w:t xml:space="preserve">Destruction equipment is used </w:t>
      </w:r>
      <w:r>
        <w:t>for</w:t>
      </w:r>
      <w:r w:rsidRPr="00183D31">
        <w:t xml:space="preserve"> </w:t>
      </w:r>
      <w:r>
        <w:t xml:space="preserve">sensitive and </w:t>
      </w:r>
      <w:r w:rsidRPr="00183D31">
        <w:t xml:space="preserve">security classified information (paper-based and ICT media) so that resultant waste particles cannot be </w:t>
      </w:r>
      <w:r>
        <w:t>reconstructed to enable the recovery of information.</w:t>
      </w:r>
      <w:r w:rsidRPr="00183D31">
        <w:rPr>
          <w:rFonts w:cstheme="minorHAnsi"/>
        </w:rPr>
        <w:t xml:space="preserve"> </w:t>
      </w:r>
      <w:r>
        <w:rPr>
          <w:rFonts w:cstheme="minorHAnsi"/>
        </w:rPr>
        <w:t xml:space="preserve">For requirements and guidance on disposal of sensitive and security classified information, see the </w:t>
      </w:r>
      <w:r w:rsidRPr="002E1238">
        <w:rPr>
          <w:rFonts w:cstheme="minorHAnsi"/>
        </w:rPr>
        <w:t xml:space="preserve">PSPF policy: </w:t>
      </w:r>
      <w:hyperlink r:id="rId42" w:history="1">
        <w:r w:rsidR="00C91014">
          <w:rPr>
            <w:rStyle w:val="Hyperlink"/>
          </w:rPr>
          <w:t>Sensitive and classified information</w:t>
        </w:r>
      </w:hyperlink>
      <w:r>
        <w:rPr>
          <w:rFonts w:cstheme="minorHAnsi"/>
        </w:rPr>
        <w:t>.</w:t>
      </w:r>
    </w:p>
    <w:p w:rsidR="00F61E54" w:rsidRPr="00A77FD8" w:rsidRDefault="00F61E54" w:rsidP="00F61E54">
      <w:pPr>
        <w:pStyle w:val="Heading3"/>
      </w:pPr>
      <w:r w:rsidRPr="00A77FD8">
        <w:t>Working away from the office</w:t>
      </w:r>
    </w:p>
    <w:p w:rsidR="00F61E54" w:rsidRDefault="00F61E54" w:rsidP="001D7DF5">
      <w:pPr>
        <w:pStyle w:val="Listbullet1"/>
      </w:pPr>
      <w:r w:rsidRPr="000B100D">
        <w:t xml:space="preserve">Working away from the office </w:t>
      </w:r>
      <w:r>
        <w:t>covers all</w:t>
      </w:r>
      <w:r w:rsidRPr="000B100D">
        <w:t xml:space="preserve"> work </w:t>
      </w:r>
      <w:r>
        <w:t>undertaken by personnel away from entity facilities, including</w:t>
      </w:r>
      <w:r w:rsidRPr="000B100D">
        <w:t xml:space="preserve"> </w:t>
      </w:r>
      <w:r>
        <w:t xml:space="preserve">using mobile computing and communications </w:t>
      </w:r>
      <w:r w:rsidRPr="000B100D">
        <w:t xml:space="preserve">and </w:t>
      </w:r>
      <w:r>
        <w:t>by teleworkers (</w:t>
      </w:r>
      <w:r w:rsidRPr="00C91014">
        <w:rPr>
          <w:szCs w:val="20"/>
        </w:rPr>
        <w:t xml:space="preserve">see </w:t>
      </w:r>
      <w:r w:rsidR="00C91014">
        <w:rPr>
          <w:szCs w:val="20"/>
        </w:rPr>
        <w:fldChar w:fldCharType="begin"/>
      </w:r>
      <w:r w:rsidR="00C91014">
        <w:rPr>
          <w:szCs w:val="20"/>
        </w:rPr>
        <w:instrText xml:space="preserve"> REF _Ref520106113 \r \h </w:instrText>
      </w:r>
      <w:r w:rsidR="00C91014">
        <w:rPr>
          <w:szCs w:val="20"/>
        </w:rPr>
      </w:r>
      <w:r w:rsidR="00C91014">
        <w:rPr>
          <w:szCs w:val="20"/>
        </w:rPr>
        <w:fldChar w:fldCharType="separate"/>
      </w:r>
      <w:r w:rsidR="004B478D">
        <w:rPr>
          <w:szCs w:val="20"/>
        </w:rPr>
        <w:t>C.8.2</w:t>
      </w:r>
      <w:r w:rsidR="00C91014">
        <w:rPr>
          <w:szCs w:val="20"/>
        </w:rPr>
        <w:fldChar w:fldCharType="end"/>
      </w:r>
      <w:r>
        <w:t>)</w:t>
      </w:r>
      <w:r w:rsidRPr="000B100D">
        <w:t>.</w:t>
      </w:r>
      <w:r w:rsidRPr="000B100D">
        <w:rPr>
          <w:rFonts w:cstheme="minorHAnsi"/>
        </w:rPr>
        <w:t xml:space="preserve"> </w:t>
      </w:r>
      <w:r w:rsidRPr="000B100D">
        <w:t xml:space="preserve">The Attorney-General’s Department recommends that entities </w:t>
      </w:r>
      <w:r>
        <w:rPr>
          <w:rFonts w:cstheme="minorHAnsi"/>
        </w:rPr>
        <w:t>consider</w:t>
      </w:r>
      <w:r w:rsidRPr="000B100D">
        <w:rPr>
          <w:rFonts w:cstheme="minorHAnsi"/>
        </w:rPr>
        <w:t xml:space="preserve"> </w:t>
      </w:r>
      <w:r>
        <w:rPr>
          <w:rFonts w:cstheme="minorHAnsi"/>
        </w:rPr>
        <w:t xml:space="preserve">the security risks of </w:t>
      </w:r>
      <w:r w:rsidRPr="000B100D">
        <w:rPr>
          <w:rFonts w:cstheme="minorHAnsi"/>
        </w:rPr>
        <w:t>the environment</w:t>
      </w:r>
      <w:r>
        <w:rPr>
          <w:rFonts w:cstheme="minorHAnsi"/>
        </w:rPr>
        <w:t>s</w:t>
      </w:r>
      <w:r w:rsidRPr="000B100D">
        <w:rPr>
          <w:rFonts w:cstheme="minorHAnsi"/>
        </w:rPr>
        <w:t xml:space="preserve"> in which </w:t>
      </w:r>
      <w:r>
        <w:rPr>
          <w:rFonts w:cstheme="minorHAnsi"/>
        </w:rPr>
        <w:t xml:space="preserve">their </w:t>
      </w:r>
      <w:r w:rsidRPr="000B100D">
        <w:rPr>
          <w:rFonts w:cstheme="minorHAnsi"/>
        </w:rPr>
        <w:t xml:space="preserve">personnel operate, </w:t>
      </w:r>
      <w:r w:rsidR="00DC0374">
        <w:rPr>
          <w:rFonts w:cstheme="minorHAnsi"/>
        </w:rPr>
        <w:t xml:space="preserve">the type of information that will be used and how that information will be accessed </w:t>
      </w:r>
      <w:r w:rsidRPr="000B100D">
        <w:rPr>
          <w:rFonts w:cstheme="minorHAnsi"/>
        </w:rPr>
        <w:t>as th</w:t>
      </w:r>
      <w:r>
        <w:rPr>
          <w:rFonts w:cstheme="minorHAnsi"/>
        </w:rPr>
        <w:t>ese</w:t>
      </w:r>
      <w:r w:rsidRPr="000B100D">
        <w:rPr>
          <w:rFonts w:cstheme="minorHAnsi"/>
        </w:rPr>
        <w:t xml:space="preserve"> can vary and may have a significant impact on security requirements.</w:t>
      </w:r>
    </w:p>
    <w:p w:rsidR="00F61E54" w:rsidRDefault="00F61E54" w:rsidP="00F61E54">
      <w:pPr>
        <w:pStyle w:val="Heading4"/>
      </w:pPr>
      <w:r>
        <w:t>Mobile computing and communications</w:t>
      </w:r>
    </w:p>
    <w:p w:rsidR="00F61E54" w:rsidRPr="0006487A" w:rsidRDefault="00F61E54" w:rsidP="001D7DF5">
      <w:pPr>
        <w:pStyle w:val="Listbullet1"/>
      </w:pPr>
      <w:r w:rsidRPr="0006487A">
        <w:t xml:space="preserve">Mobile </w:t>
      </w:r>
      <w:r w:rsidRPr="00592A73">
        <w:t xml:space="preserve">computing and communications </w:t>
      </w:r>
      <w:r>
        <w:t>encompasses</w:t>
      </w:r>
      <w:r w:rsidRPr="00592A73">
        <w:t xml:space="preserve"> work using po</w:t>
      </w:r>
      <w:r>
        <w:t xml:space="preserve">rtable computing and communications </w:t>
      </w:r>
      <w:r w:rsidRPr="00592A73">
        <w:t>devices</w:t>
      </w:r>
      <w:r>
        <w:t>,</w:t>
      </w:r>
      <w:r w:rsidRPr="00592A73">
        <w:t xml:space="preserve"> such as laptops, notebooks, tablets, smart mobile phones and </w:t>
      </w:r>
      <w:r>
        <w:t>personal digital assistants</w:t>
      </w:r>
      <w:r w:rsidRPr="00592A73">
        <w:t xml:space="preserve">. </w:t>
      </w:r>
      <w:r>
        <w:t>M</w:t>
      </w:r>
      <w:r w:rsidRPr="0006487A">
        <w:t xml:space="preserve">obile computing locations </w:t>
      </w:r>
      <w:r>
        <w:t xml:space="preserve">may include airport lounges, hotel rooms and conference facilities, as well as other entities’ office facilities or work sites. Many mobile computing locations are public access areas with few or no protective security measures in place and would be rated no greater than a </w:t>
      </w:r>
      <w:r w:rsidRPr="00FF2ABD">
        <w:t>Zone One security area</w:t>
      </w:r>
      <w:r w:rsidRPr="0006487A">
        <w:t xml:space="preserve">. </w:t>
      </w:r>
      <w:r>
        <w:t>To effectively protect entity resources in these instances, the Attorney</w:t>
      </w:r>
      <w:r>
        <w:noBreakHyphen/>
        <w:t xml:space="preserve">General’s Department recommends that personnel carry </w:t>
      </w:r>
      <w:r w:rsidRPr="00592A73">
        <w:t>po</w:t>
      </w:r>
      <w:r>
        <w:t>rtable computing and communications devices with them at all times and not leave them unattended.</w:t>
      </w:r>
    </w:p>
    <w:p w:rsidR="00F61E54" w:rsidRDefault="00F61E54" w:rsidP="001D7DF5">
      <w:pPr>
        <w:pStyle w:val="Listbullet1"/>
      </w:pPr>
      <w:r w:rsidRPr="00592A73">
        <w:t xml:space="preserve">It </w:t>
      </w:r>
      <w:r w:rsidRPr="00BF56DA">
        <w:t>may</w:t>
      </w:r>
      <w:r w:rsidRPr="00592A73">
        <w:t xml:space="preserve"> not be possible to apply suitable physical security measures to satisfy a higher </w:t>
      </w:r>
      <w:r>
        <w:t>s</w:t>
      </w:r>
      <w:r w:rsidRPr="00592A73">
        <w:t xml:space="preserve">ecurity </w:t>
      </w:r>
      <w:r>
        <w:t>z</w:t>
      </w:r>
      <w:r w:rsidRPr="00592A73">
        <w:t>one requirement for mobile computing and communications</w:t>
      </w:r>
      <w:r>
        <w:t>.</w:t>
      </w:r>
      <w:r w:rsidRPr="00592A73">
        <w:t xml:space="preserve"> </w:t>
      </w:r>
      <w:r>
        <w:t>Entities</w:t>
      </w:r>
      <w:r w:rsidRPr="00592A73">
        <w:t xml:space="preserve"> </w:t>
      </w:r>
      <w:r>
        <w:t>may need to</w:t>
      </w:r>
      <w:r w:rsidRPr="00592A73">
        <w:t xml:space="preserve"> rely on administrative and ICT logical security controls to protect</w:t>
      </w:r>
      <w:r>
        <w:t xml:space="preserve"> their information and assets. Refer to </w:t>
      </w:r>
      <w:r w:rsidRPr="00592A73">
        <w:t xml:space="preserve">the </w:t>
      </w:r>
      <w:hyperlink r:id="rId43" w:history="1">
        <w:r w:rsidRPr="00B0371F">
          <w:rPr>
            <w:color w:val="0000FF"/>
            <w:u w:val="single"/>
          </w:rPr>
          <w:t>ISM</w:t>
        </w:r>
      </w:hyperlink>
      <w:r w:rsidRPr="00592A73">
        <w:t xml:space="preserve"> for logical controls.</w:t>
      </w:r>
    </w:p>
    <w:p w:rsidR="00F61E54" w:rsidRPr="00A77FD8" w:rsidRDefault="00F61E54" w:rsidP="00F61E54">
      <w:pPr>
        <w:pStyle w:val="Heading4"/>
      </w:pPr>
      <w:bookmarkStart w:id="12" w:name="_Teleworking"/>
      <w:bookmarkStart w:id="13" w:name="_Ref520106113"/>
      <w:bookmarkEnd w:id="12"/>
      <w:r w:rsidRPr="00A77FD8">
        <w:t>Teleworking</w:t>
      </w:r>
      <w:bookmarkEnd w:id="13"/>
    </w:p>
    <w:p w:rsidR="00F61E54" w:rsidRPr="0006487A" w:rsidRDefault="00F61E54" w:rsidP="001D7DF5">
      <w:pPr>
        <w:pStyle w:val="Listbullet1"/>
      </w:pPr>
      <w:r w:rsidRPr="00BF56DA">
        <w:t>Teleworking</w:t>
      </w:r>
      <w:r w:rsidRPr="00CF6A04">
        <w:t xml:space="preserve"> </w:t>
      </w:r>
      <w:r>
        <w:t>allows</w:t>
      </w:r>
      <w:r w:rsidRPr="00CF6A04">
        <w:t xml:space="preserve"> </w:t>
      </w:r>
      <w:r>
        <w:t>personnel</w:t>
      </w:r>
      <w:r w:rsidRPr="00CF6A04">
        <w:t xml:space="preserve"> to work </w:t>
      </w:r>
      <w:r>
        <w:t xml:space="preserve">away from the office facilities and </w:t>
      </w:r>
      <w:r w:rsidRPr="00CF6A04">
        <w:t xml:space="preserve">from alternate locations. </w:t>
      </w:r>
      <w:r w:rsidRPr="0006487A">
        <w:t xml:space="preserve">Teleworking </w:t>
      </w:r>
      <w:r>
        <w:t>requires using</w:t>
      </w:r>
      <w:r w:rsidRPr="0006487A">
        <w:t xml:space="preserve"> remote ICT systems in fixed locations such as:</w:t>
      </w:r>
    </w:p>
    <w:p w:rsidR="00F61E54" w:rsidRPr="002313EA" w:rsidRDefault="00F61E54" w:rsidP="00521E37">
      <w:pPr>
        <w:pStyle w:val="ListBullet2"/>
        <w:numPr>
          <w:ilvl w:val="0"/>
          <w:numId w:val="39"/>
        </w:numPr>
      </w:pPr>
      <w:r w:rsidRPr="002313EA">
        <w:t>working from personal residences on a regular basis, and</w:t>
      </w:r>
    </w:p>
    <w:p w:rsidR="00F61E54" w:rsidRPr="002313EA" w:rsidRDefault="00F61E54" w:rsidP="00521E37">
      <w:pPr>
        <w:pStyle w:val="ListBullet2"/>
        <w:numPr>
          <w:ilvl w:val="0"/>
          <w:numId w:val="39"/>
        </w:numPr>
      </w:pPr>
      <w:r w:rsidRPr="002313EA">
        <w:t>working from an alternative office space:</w:t>
      </w:r>
    </w:p>
    <w:p w:rsidR="00F61E54" w:rsidRDefault="00F61E54" w:rsidP="006E5650">
      <w:pPr>
        <w:pStyle w:val="ListBullet3"/>
        <w:numPr>
          <w:ilvl w:val="0"/>
          <w:numId w:val="12"/>
        </w:numPr>
      </w:pPr>
      <w:r>
        <w:t>within entity facilities in another location—for example regional sites</w:t>
      </w:r>
    </w:p>
    <w:p w:rsidR="00F61E54" w:rsidRDefault="00F61E54" w:rsidP="00F61E54">
      <w:pPr>
        <w:pStyle w:val="ListBullet3"/>
      </w:pPr>
      <w:r>
        <w:t>located in another Australian, state or territory government entity’s facilities</w:t>
      </w:r>
    </w:p>
    <w:p w:rsidR="00F61E54" w:rsidRDefault="00F61E54" w:rsidP="00F61E54">
      <w:pPr>
        <w:pStyle w:val="ListBullet3"/>
      </w:pPr>
      <w:r>
        <w:t>provided to the entity in premises where the entity has some capability to provide protective security, for example offices operated by an entity’s client or by a service provider contracted by the entity.</w:t>
      </w:r>
    </w:p>
    <w:p w:rsidR="00F61E54" w:rsidRDefault="00630D3C" w:rsidP="001D7DF5">
      <w:pPr>
        <w:pStyle w:val="Listbullet1"/>
      </w:pPr>
      <w:r w:rsidRPr="00630D3C">
        <w:lastRenderedPageBreak/>
        <w:t xml:space="preserve"> </w:t>
      </w:r>
      <w:r>
        <w:t>W</w:t>
      </w:r>
      <w:r w:rsidRPr="00817087">
        <w:t>ithout significant modifica</w:t>
      </w:r>
      <w:r>
        <w:t>tions to the teleworking site</w:t>
      </w:r>
      <w:r w:rsidRPr="003C78A6" w:rsidDel="00630D3C">
        <w:rPr>
          <w:rFonts w:cstheme="minorHAnsi"/>
        </w:rPr>
        <w:t xml:space="preserve"> </w:t>
      </w:r>
      <w:r>
        <w:rPr>
          <w:rFonts w:cstheme="minorHAnsi"/>
        </w:rPr>
        <w:t>many</w:t>
      </w:r>
      <w:r w:rsidR="0074446C">
        <w:rPr>
          <w:rFonts w:cstheme="minorHAnsi"/>
        </w:rPr>
        <w:t xml:space="preserve"> </w:t>
      </w:r>
      <w:r>
        <w:rPr>
          <w:rFonts w:cstheme="minorHAnsi"/>
        </w:rPr>
        <w:t>t</w:t>
      </w:r>
      <w:r w:rsidR="00F61E54">
        <w:t>ele</w:t>
      </w:r>
      <w:r w:rsidR="00F61E54" w:rsidRPr="00817087">
        <w:t xml:space="preserve">working locations will meet </w:t>
      </w:r>
      <w:r w:rsidR="00F61E54" w:rsidRPr="00630D3C">
        <w:t>Zone Two</w:t>
      </w:r>
      <w:r w:rsidR="00F61E54" w:rsidRPr="004D6DD7">
        <w:t xml:space="preserve"> physical</w:t>
      </w:r>
      <w:r w:rsidR="00F61E54" w:rsidRPr="00817087">
        <w:t xml:space="preserve"> security requirements</w:t>
      </w:r>
      <w:r w:rsidR="00F61E54">
        <w:t>.</w:t>
      </w:r>
    </w:p>
    <w:p w:rsidR="00F61E54" w:rsidRDefault="00F61E54" w:rsidP="00F61E54">
      <w:pPr>
        <w:pStyle w:val="Heading4"/>
      </w:pPr>
      <w:r>
        <w:t>Protecting resources while working away from the office</w:t>
      </w:r>
    </w:p>
    <w:p w:rsidR="00F61E54" w:rsidRPr="0006487A" w:rsidRDefault="001340C3" w:rsidP="001D7DF5">
      <w:pPr>
        <w:pStyle w:val="Listbullet1"/>
      </w:pPr>
      <w:hyperlink w:anchor="_Supporting_requirements" w:history="1">
        <w:r w:rsidR="00F61E54" w:rsidRPr="0074446C">
          <w:rPr>
            <w:b/>
          </w:rPr>
          <w:t>Requirement 1</w:t>
        </w:r>
      </w:hyperlink>
      <w:r w:rsidR="00F61E54" w:rsidRPr="0006487A">
        <w:rPr>
          <w:rFonts w:cstheme="minorHAnsi"/>
        </w:rPr>
        <w:t xml:space="preserve"> </w:t>
      </w:r>
      <w:r w:rsidR="00F61E54">
        <w:rPr>
          <w:rFonts w:cstheme="minorHAnsi"/>
        </w:rPr>
        <w:t xml:space="preserve">mandates that </w:t>
      </w:r>
      <w:r w:rsidR="00F61E54" w:rsidRPr="0006487A">
        <w:rPr>
          <w:rFonts w:cstheme="minorHAnsi"/>
        </w:rPr>
        <w:t>entities</w:t>
      </w:r>
      <w:r w:rsidR="00F61E54">
        <w:t xml:space="preserve"> </w:t>
      </w:r>
      <w:r w:rsidR="00F61E54" w:rsidRPr="00817087">
        <w:t xml:space="preserve">protect </w:t>
      </w:r>
      <w:r w:rsidR="00F61E54">
        <w:t>their</w:t>
      </w:r>
      <w:r w:rsidR="00F61E54" w:rsidRPr="00817087">
        <w:t xml:space="preserve"> resources commensurate with the assessed business impact </w:t>
      </w:r>
      <w:r w:rsidR="00F61E54">
        <w:t xml:space="preserve">level </w:t>
      </w:r>
      <w:r w:rsidR="00F61E54" w:rsidRPr="00817087">
        <w:t>of their compromise, loss or damage</w:t>
      </w:r>
      <w:r w:rsidR="00F61E54">
        <w:t xml:space="preserve">. The Attorney-General’s Department recommends entities determine procedures to ensure appropriate accreditation of proposed work sites outside of the office. This may require a security inspection of the proposed work site. </w:t>
      </w:r>
      <w:r w:rsidR="00F61E54" w:rsidRPr="0006487A">
        <w:t xml:space="preserve">Prior to authorising </w:t>
      </w:r>
      <w:r w:rsidR="00F61E54">
        <w:t xml:space="preserve">such </w:t>
      </w:r>
      <w:r w:rsidR="00F61E54" w:rsidRPr="0006487A">
        <w:t>work</w:t>
      </w:r>
      <w:r w:rsidR="00F61E54">
        <w:t xml:space="preserve"> arrangements the Attorney</w:t>
      </w:r>
      <w:r w:rsidR="00F61E54">
        <w:noBreakHyphen/>
      </w:r>
      <w:r w:rsidR="00F61E54" w:rsidRPr="0006487A">
        <w:t>General’s Department recommends that entit</w:t>
      </w:r>
      <w:r w:rsidR="00F61E54">
        <w:t>ies</w:t>
      </w:r>
      <w:r w:rsidR="00F61E54" w:rsidRPr="0006487A">
        <w:t xml:space="preserve"> </w:t>
      </w:r>
      <w:r w:rsidR="00F61E54">
        <w:t>consider the resources that will be used or stored</w:t>
      </w:r>
      <w:r w:rsidR="00F61E54" w:rsidRPr="0006487A">
        <w:t xml:space="preserve"> </w:t>
      </w:r>
      <w:r w:rsidR="00F61E54">
        <w:t>in</w:t>
      </w:r>
      <w:r w:rsidR="00F61E54" w:rsidRPr="0006487A">
        <w:t xml:space="preserve"> the work space </w:t>
      </w:r>
      <w:r w:rsidR="00F61E54">
        <w:t>to determine</w:t>
      </w:r>
      <w:r w:rsidR="00F61E54" w:rsidRPr="0006487A">
        <w:t>:</w:t>
      </w:r>
    </w:p>
    <w:p w:rsidR="00F61E54" w:rsidRPr="002313EA" w:rsidRDefault="00F61E54" w:rsidP="00521E37">
      <w:pPr>
        <w:pStyle w:val="ListBullet2"/>
        <w:numPr>
          <w:ilvl w:val="0"/>
          <w:numId w:val="40"/>
        </w:numPr>
      </w:pPr>
      <w:r w:rsidRPr="002313EA">
        <w:t xml:space="preserve">if sensitive or classified information can be appropriately secured </w:t>
      </w:r>
    </w:p>
    <w:p w:rsidR="00F61E54" w:rsidRPr="002313EA" w:rsidRDefault="00F61E54" w:rsidP="00521E37">
      <w:pPr>
        <w:pStyle w:val="ListBullet2"/>
        <w:numPr>
          <w:ilvl w:val="0"/>
          <w:numId w:val="40"/>
        </w:numPr>
      </w:pPr>
      <w:r w:rsidRPr="002313EA">
        <w:t xml:space="preserve">if the work space can be independently secured </w:t>
      </w:r>
    </w:p>
    <w:p w:rsidR="00F61E54" w:rsidRPr="002313EA" w:rsidRDefault="00F61E54" w:rsidP="00521E37">
      <w:pPr>
        <w:pStyle w:val="ListBullet2"/>
        <w:numPr>
          <w:ilvl w:val="0"/>
          <w:numId w:val="40"/>
        </w:numPr>
      </w:pPr>
      <w:r w:rsidRPr="002313EA">
        <w:t>if the work space can be protected from oversight, or overhearing, by other people, including family and children</w:t>
      </w:r>
    </w:p>
    <w:p w:rsidR="00F61E54" w:rsidRPr="002313EA" w:rsidRDefault="00F61E54" w:rsidP="00521E37">
      <w:pPr>
        <w:pStyle w:val="ListBullet2"/>
        <w:numPr>
          <w:ilvl w:val="0"/>
          <w:numId w:val="40"/>
        </w:numPr>
      </w:pPr>
      <w:r w:rsidRPr="002313EA">
        <w:t>if the ICT equipment being used can be secured or segregated from the entity’s ICT system.</w:t>
      </w:r>
    </w:p>
    <w:p w:rsidR="00F61E54" w:rsidRPr="00550B13" w:rsidRDefault="00F61E54" w:rsidP="001D7DF5">
      <w:pPr>
        <w:pStyle w:val="Listbullet1"/>
      </w:pPr>
      <w:r w:rsidRPr="00550B13">
        <w:t xml:space="preserve">Minimum protections for storage of </w:t>
      </w:r>
      <w:r w:rsidR="00630D3C">
        <w:t>s</w:t>
      </w:r>
      <w:r w:rsidRPr="00550B13">
        <w:t xml:space="preserve">ensitive and security classified information used for working away from the office are set out in PSPF policy: </w:t>
      </w:r>
      <w:hyperlink r:id="rId44" w:history="1">
        <w:r w:rsidR="00C91014">
          <w:rPr>
            <w:rStyle w:val="Hyperlink"/>
          </w:rPr>
          <w:t>Sensitive and classified information</w:t>
        </w:r>
      </w:hyperlink>
      <w:r w:rsidRPr="00C91014">
        <w:rPr>
          <w:szCs w:val="20"/>
        </w:rPr>
        <w:t xml:space="preserve"> </w:t>
      </w:r>
      <w:r w:rsidR="00504135">
        <w:rPr>
          <w:b/>
          <w:szCs w:val="20"/>
        </w:rPr>
        <w:t>Annexes A-E</w:t>
      </w:r>
      <w:r w:rsidRPr="00550B13">
        <w:t xml:space="preserve">. Additionally, PSPF policy: </w:t>
      </w:r>
      <w:hyperlink r:id="rId45" w:history="1">
        <w:r w:rsidR="00C91014">
          <w:rPr>
            <w:rStyle w:val="Hyperlink"/>
          </w:rPr>
          <w:t>Entity facilities</w:t>
        </w:r>
      </w:hyperlink>
      <w:r w:rsidRPr="00550B13">
        <w:t xml:space="preserve"> </w:t>
      </w:r>
      <w:r w:rsidRPr="0074446C">
        <w:rPr>
          <w:b/>
        </w:rPr>
        <w:t>Requirement 7</w:t>
      </w:r>
      <w:r w:rsidRPr="00550B13">
        <w:t xml:space="preserve"> mandates that entities obtain ASIO-T4 certification for any security areas used to store TOP SECRET information.</w:t>
      </w:r>
    </w:p>
    <w:p w:rsidR="00F61E54" w:rsidRPr="00527A4B" w:rsidRDefault="00F61E54" w:rsidP="001D7DF5">
      <w:pPr>
        <w:pStyle w:val="Listbullet1"/>
      </w:pPr>
      <w:r>
        <w:t xml:space="preserve">Entity physical assets are vulnerable to loss outside of government facilities. The Attorney-General’s Department recommends that appropriate protections and procedures are put in place. </w:t>
      </w:r>
      <w:r w:rsidRPr="00527A4B">
        <w:t>These protections and procedures may include:</w:t>
      </w:r>
    </w:p>
    <w:p w:rsidR="00F61E54" w:rsidRPr="002313EA" w:rsidRDefault="00F61E54" w:rsidP="00521E37">
      <w:pPr>
        <w:pStyle w:val="ListBullet2"/>
        <w:numPr>
          <w:ilvl w:val="0"/>
          <w:numId w:val="41"/>
        </w:numPr>
      </w:pPr>
      <w:r w:rsidRPr="002313EA">
        <w:t>asset controls</w:t>
      </w:r>
      <w:r w:rsidR="0074446C" w:rsidRPr="002313EA">
        <w:t>,</w:t>
      </w:r>
      <w:r w:rsidRPr="002313EA">
        <w:t xml:space="preserve"> </w:t>
      </w:r>
      <w:r w:rsidR="0074446C" w:rsidRPr="002313EA">
        <w:t>see</w:t>
      </w:r>
      <w:r w:rsidRPr="002313EA">
        <w:t xml:space="preserve"> </w:t>
      </w:r>
      <w:r w:rsidR="00C91014" w:rsidRPr="002313EA">
        <w:fldChar w:fldCharType="begin"/>
      </w:r>
      <w:r w:rsidR="00C91014" w:rsidRPr="002313EA">
        <w:instrText xml:space="preserve"> REF _Ref520106176 \r \h </w:instrText>
      </w:r>
      <w:r w:rsidR="002313EA">
        <w:instrText xml:space="preserve"> \* MERGEFORMAT </w:instrText>
      </w:r>
      <w:r w:rsidR="00C91014" w:rsidRPr="002313EA">
        <w:fldChar w:fldCharType="separate"/>
      </w:r>
      <w:r w:rsidR="004B478D" w:rsidRPr="002313EA">
        <w:t>C.1.3.1</w:t>
      </w:r>
      <w:r w:rsidR="00C91014" w:rsidRPr="002313EA">
        <w:fldChar w:fldCharType="end"/>
      </w:r>
    </w:p>
    <w:p w:rsidR="00F61E54" w:rsidRPr="002313EA" w:rsidRDefault="00F61E54" w:rsidP="00521E37">
      <w:pPr>
        <w:pStyle w:val="ListBullet2"/>
        <w:numPr>
          <w:ilvl w:val="0"/>
          <w:numId w:val="41"/>
        </w:numPr>
      </w:pPr>
      <w:r w:rsidRPr="002313EA">
        <w:t>limiting assets to be removed from facilities to those necessary for performance of the out-of-the-office duties</w:t>
      </w:r>
    </w:p>
    <w:p w:rsidR="00F61E54" w:rsidRPr="002313EA" w:rsidRDefault="00F61E54" w:rsidP="00521E37">
      <w:pPr>
        <w:pStyle w:val="ListBullet2"/>
        <w:numPr>
          <w:ilvl w:val="0"/>
          <w:numId w:val="41"/>
        </w:numPr>
      </w:pPr>
      <w:r w:rsidRPr="002313EA">
        <w:t>evaluating the need for a portable security alarm system (refer to ASIO-T4 Protective Security Circular 162 Private residence physical security assessment).</w:t>
      </w:r>
    </w:p>
    <w:p w:rsidR="00F61E54" w:rsidRPr="00D7077C" w:rsidRDefault="00F61E54" w:rsidP="00F61E54">
      <w:pPr>
        <w:pStyle w:val="Heading5"/>
        <w:numPr>
          <w:ilvl w:val="3"/>
          <w:numId w:val="3"/>
        </w:numPr>
      </w:pPr>
      <w:r>
        <w:t>Physical security of official information in facilities not managed by the entity</w:t>
      </w:r>
    </w:p>
    <w:p w:rsidR="00DC0374" w:rsidRDefault="00F61E54" w:rsidP="001D7DF5">
      <w:pPr>
        <w:pStyle w:val="Listbullet1"/>
      </w:pPr>
      <w:r>
        <w:t>It</w:t>
      </w:r>
      <w:r w:rsidRPr="0012535F">
        <w:t xml:space="preserve"> may </w:t>
      </w:r>
      <w:r>
        <w:t>be</w:t>
      </w:r>
      <w:r w:rsidRPr="0012535F">
        <w:t xml:space="preserve"> difficult to secure entity information when </w:t>
      </w:r>
      <w:r>
        <w:t xml:space="preserve">the working environment is not </w:t>
      </w:r>
      <w:r w:rsidR="00DC0374">
        <w:t xml:space="preserve">controlled or </w:t>
      </w:r>
      <w:r>
        <w:t>managed by the entity. For example the work environment</w:t>
      </w:r>
      <w:r w:rsidR="00BE0C77">
        <w:t xml:space="preserve"> is:</w:t>
      </w:r>
    </w:p>
    <w:p w:rsidR="00DC0374" w:rsidRPr="002313EA" w:rsidRDefault="00F61E54" w:rsidP="00521E37">
      <w:pPr>
        <w:pStyle w:val="ListBullet2"/>
        <w:numPr>
          <w:ilvl w:val="0"/>
          <w:numId w:val="42"/>
        </w:numPr>
      </w:pPr>
      <w:r w:rsidRPr="002313EA">
        <w:t>located inside commercial facilities or in private client facilities for which the entity is providing services</w:t>
      </w:r>
    </w:p>
    <w:p w:rsidR="00DC0374" w:rsidRPr="002313EA" w:rsidRDefault="00DC0374" w:rsidP="00521E37">
      <w:pPr>
        <w:pStyle w:val="ListBullet2"/>
        <w:numPr>
          <w:ilvl w:val="0"/>
          <w:numId w:val="42"/>
        </w:numPr>
      </w:pPr>
      <w:r w:rsidRPr="002313EA">
        <w:t>the private residence of the entity’s personnel</w:t>
      </w:r>
    </w:p>
    <w:p w:rsidR="00DC0374" w:rsidRPr="002313EA" w:rsidRDefault="004F6742" w:rsidP="00521E37">
      <w:pPr>
        <w:pStyle w:val="ListBullet2"/>
        <w:numPr>
          <w:ilvl w:val="0"/>
          <w:numId w:val="42"/>
        </w:numPr>
      </w:pPr>
      <w:r w:rsidRPr="002313EA">
        <w:t xml:space="preserve">the facility of an </w:t>
      </w:r>
      <w:r w:rsidR="00DC0374" w:rsidRPr="002313EA">
        <w:t>industry providing services to the entity to collect, use and/or store official information or other security protected Commonwealth resources.</w:t>
      </w:r>
    </w:p>
    <w:p w:rsidR="004644FD" w:rsidRDefault="00F61E54" w:rsidP="001D7DF5">
      <w:pPr>
        <w:pStyle w:val="Listbullet1"/>
      </w:pPr>
      <w:r>
        <w:t>T</w:t>
      </w:r>
      <w:r w:rsidRPr="00527A4B">
        <w:t xml:space="preserve">he Attorney-General’s Department recommends entities treat any non-Australian Government facilities as Zone One areas for </w:t>
      </w:r>
      <w:r w:rsidR="00DC0374">
        <w:t>storage and/or use of Commonwealth information and assets unless the entity</w:t>
      </w:r>
      <w:r w:rsidR="004F6742">
        <w:t xml:space="preserve"> has</w:t>
      </w:r>
      <w:r w:rsidR="002313EA">
        <w:t>:</w:t>
      </w:r>
    </w:p>
    <w:p w:rsidR="004644FD" w:rsidRPr="002313EA" w:rsidRDefault="00F61E54" w:rsidP="00521E37">
      <w:pPr>
        <w:pStyle w:val="ListBullet2"/>
        <w:numPr>
          <w:ilvl w:val="0"/>
          <w:numId w:val="43"/>
        </w:numPr>
      </w:pPr>
      <w:r w:rsidRPr="002313EA">
        <w:t>full control over the work space</w:t>
      </w:r>
      <w:r w:rsidR="004644FD" w:rsidRPr="002313EA">
        <w:t xml:space="preserve"> occupied by their personnel in commercial and client facilities</w:t>
      </w:r>
    </w:p>
    <w:p w:rsidR="00F61E54" w:rsidRPr="002313EA" w:rsidRDefault="004644FD" w:rsidP="00521E37">
      <w:pPr>
        <w:pStyle w:val="ListBullet2"/>
        <w:numPr>
          <w:ilvl w:val="0"/>
          <w:numId w:val="43"/>
        </w:numPr>
      </w:pPr>
      <w:r w:rsidRPr="002313EA">
        <w:t xml:space="preserve">confirmed appropriate physical and procedural security measures are in place for a higher level </w:t>
      </w:r>
      <w:r w:rsidR="0074446C" w:rsidRPr="002313EA">
        <w:t>z</w:t>
      </w:r>
      <w:r w:rsidRPr="002313EA">
        <w:t>one</w:t>
      </w:r>
      <w:r w:rsidR="00F61E54" w:rsidRPr="002313EA">
        <w:t>.</w:t>
      </w:r>
    </w:p>
    <w:p w:rsidR="00B95357" w:rsidRDefault="00E127AD" w:rsidP="00B95357">
      <w:pPr>
        <w:pStyle w:val="Heading2"/>
      </w:pPr>
      <w:r>
        <w:t>Find out more</w:t>
      </w:r>
    </w:p>
    <w:p w:rsidR="00F61E54" w:rsidRPr="00243CEB" w:rsidRDefault="00F61E54" w:rsidP="001D7DF5">
      <w:pPr>
        <w:pStyle w:val="Listbullet1"/>
      </w:pPr>
      <w:r w:rsidRPr="002E3BD9">
        <w:t>Other</w:t>
      </w:r>
      <w:r w:rsidRPr="001C006B">
        <w:rPr>
          <w:lang w:eastAsia="en-AU"/>
        </w:rPr>
        <w:t xml:space="preserve"> </w:t>
      </w:r>
      <w:r>
        <w:rPr>
          <w:lang w:eastAsia="en-AU"/>
        </w:rPr>
        <w:t>information</w:t>
      </w:r>
      <w:r w:rsidRPr="001C006B">
        <w:rPr>
          <w:lang w:eastAsia="en-AU"/>
        </w:rPr>
        <w:t xml:space="preserve"> and policies:</w:t>
      </w:r>
    </w:p>
    <w:p w:rsidR="00F61E54" w:rsidRPr="002313EA" w:rsidRDefault="00F61E54" w:rsidP="00521E37">
      <w:pPr>
        <w:pStyle w:val="ListBullet2"/>
        <w:numPr>
          <w:ilvl w:val="0"/>
          <w:numId w:val="44"/>
        </w:numPr>
      </w:pPr>
      <w:r w:rsidRPr="002313EA">
        <w:t xml:space="preserve">ASIO-T4 publications—available for Australian Government security personnel only from the </w:t>
      </w:r>
      <w:r w:rsidR="008E1FD6">
        <w:t>p</w:t>
      </w:r>
      <w:r w:rsidRPr="002313EA">
        <w:t xml:space="preserve">rotective </w:t>
      </w:r>
      <w:r w:rsidR="008E1FD6">
        <w:t>s</w:t>
      </w:r>
      <w:r w:rsidRPr="002313EA">
        <w:t xml:space="preserve">ecurity </w:t>
      </w:r>
      <w:r w:rsidR="008E1FD6">
        <w:t>p</w:t>
      </w:r>
      <w:r w:rsidRPr="002313EA">
        <w:t xml:space="preserve">olicy community on </w:t>
      </w:r>
      <w:r w:rsidR="00F95CD6">
        <w:t>GovTEAMS</w:t>
      </w:r>
      <w:r w:rsidRPr="002313EA">
        <w:t>:</w:t>
      </w:r>
    </w:p>
    <w:p w:rsidR="00F61E54" w:rsidRPr="004A1C08" w:rsidRDefault="00F61E54" w:rsidP="006E5650">
      <w:pPr>
        <w:pStyle w:val="ListBullet3"/>
        <w:numPr>
          <w:ilvl w:val="0"/>
          <w:numId w:val="13"/>
        </w:numPr>
      </w:pPr>
      <w:r w:rsidRPr="004A1C08">
        <w:t>ASIO Technical Note</w:t>
      </w:r>
      <w:r>
        <w:t>s</w:t>
      </w:r>
    </w:p>
    <w:p w:rsidR="00F61E54" w:rsidRPr="004A1C08" w:rsidRDefault="00F61E54" w:rsidP="00F61E54">
      <w:pPr>
        <w:pStyle w:val="ListBullet3"/>
      </w:pPr>
      <w:r w:rsidRPr="004A1C08">
        <w:lastRenderedPageBreak/>
        <w:t>Security Equipment Evaluated Products List</w:t>
      </w:r>
    </w:p>
    <w:p w:rsidR="00F61E54" w:rsidRPr="004A1C08" w:rsidRDefault="00F61E54" w:rsidP="00F61E54">
      <w:pPr>
        <w:pStyle w:val="ListBullet3"/>
      </w:pPr>
      <w:r w:rsidRPr="004A1C08">
        <w:t>Security Equipment Guides (SEGs)</w:t>
      </w:r>
    </w:p>
    <w:p w:rsidR="00F61E54" w:rsidRPr="004A1C08" w:rsidRDefault="00F61E54" w:rsidP="00521E37">
      <w:pPr>
        <w:pStyle w:val="ListBullet2"/>
        <w:numPr>
          <w:ilvl w:val="0"/>
          <w:numId w:val="44"/>
        </w:numPr>
        <w:rPr>
          <w:rFonts w:cstheme="minorHAnsi"/>
          <w:bCs/>
          <w:szCs w:val="20"/>
        </w:rPr>
      </w:pPr>
      <w:r>
        <w:rPr>
          <w:rFonts w:eastAsia="Times New Roman" w:cstheme="minorHAnsi"/>
          <w:szCs w:val="20"/>
          <w:lang w:eastAsia="en-AU"/>
        </w:rPr>
        <w:t>O</w:t>
      </w:r>
      <w:r w:rsidRPr="004A1C08">
        <w:rPr>
          <w:rFonts w:cstheme="minorHAnsi"/>
          <w:bCs/>
          <w:szCs w:val="20"/>
        </w:rPr>
        <w:t xml:space="preserve">ther PSPF policy and guidelines available on the </w:t>
      </w:r>
      <w:hyperlink r:id="rId46" w:history="1">
        <w:r w:rsidRPr="004A1C08">
          <w:rPr>
            <w:rStyle w:val="Hyperlink"/>
            <w:rFonts w:cstheme="minorHAnsi"/>
            <w:bCs/>
            <w:szCs w:val="20"/>
          </w:rPr>
          <w:t>Protective Security Policy</w:t>
        </w:r>
      </w:hyperlink>
      <w:r w:rsidRPr="004A1C08">
        <w:rPr>
          <w:rFonts w:cstheme="minorHAnsi"/>
          <w:bCs/>
          <w:szCs w:val="20"/>
        </w:rPr>
        <w:t xml:space="preserve"> website:</w:t>
      </w:r>
    </w:p>
    <w:p w:rsidR="00F61E54" w:rsidRPr="00F61E54" w:rsidRDefault="00F61E54" w:rsidP="006E5650">
      <w:pPr>
        <w:pStyle w:val="ListBullet3"/>
        <w:numPr>
          <w:ilvl w:val="0"/>
          <w:numId w:val="14"/>
        </w:numPr>
        <w:rPr>
          <w:bCs/>
        </w:rPr>
      </w:pPr>
      <w:r w:rsidRPr="004A1C08">
        <w:t xml:space="preserve">PSPF policy: </w:t>
      </w:r>
      <w:hyperlink r:id="rId47" w:history="1">
        <w:r w:rsidR="0074446C">
          <w:rPr>
            <w:rStyle w:val="Hyperlink"/>
          </w:rPr>
          <w:t>Sensitive and classified information</w:t>
        </w:r>
      </w:hyperlink>
    </w:p>
    <w:p w:rsidR="00F61E54" w:rsidRPr="004A1C08" w:rsidRDefault="00F61E54" w:rsidP="00F61E54">
      <w:pPr>
        <w:pStyle w:val="ListBullet3"/>
        <w:rPr>
          <w:bCs/>
        </w:rPr>
      </w:pPr>
      <w:r w:rsidRPr="004A1C08">
        <w:rPr>
          <w:bCs/>
        </w:rPr>
        <w:t xml:space="preserve">PSPF policy: </w:t>
      </w:r>
      <w:hyperlink r:id="rId48" w:history="1">
        <w:r w:rsidRPr="00832943">
          <w:rPr>
            <w:rStyle w:val="Hyperlink"/>
            <w:rFonts w:cstheme="minorHAnsi"/>
            <w:bCs/>
            <w:szCs w:val="20"/>
          </w:rPr>
          <w:t>Security planning and risk management</w:t>
        </w:r>
      </w:hyperlink>
    </w:p>
    <w:p w:rsidR="00F61E54" w:rsidRPr="004A1C08" w:rsidRDefault="00F61E54" w:rsidP="00F61E54">
      <w:pPr>
        <w:pStyle w:val="ListBullet3"/>
        <w:rPr>
          <w:bCs/>
          <w:sz w:val="18"/>
          <w:szCs w:val="18"/>
        </w:rPr>
      </w:pPr>
      <w:r w:rsidRPr="004A1C08">
        <w:rPr>
          <w:bCs/>
        </w:rPr>
        <w:t xml:space="preserve">PSPF policy: </w:t>
      </w:r>
      <w:hyperlink r:id="rId49" w:history="1">
        <w:r w:rsidRPr="00832943">
          <w:rPr>
            <w:rStyle w:val="Hyperlink"/>
            <w:rFonts w:cstheme="minorHAnsi"/>
            <w:bCs/>
            <w:szCs w:val="20"/>
          </w:rPr>
          <w:t>Entity facilities</w:t>
        </w:r>
      </w:hyperlink>
    </w:p>
    <w:p w:rsidR="00F61E54" w:rsidRPr="006B48E1" w:rsidRDefault="001340C3" w:rsidP="00521E37">
      <w:pPr>
        <w:pStyle w:val="ListBullet2"/>
        <w:numPr>
          <w:ilvl w:val="0"/>
          <w:numId w:val="44"/>
        </w:numPr>
        <w:rPr>
          <w:szCs w:val="20"/>
        </w:rPr>
      </w:pPr>
      <w:hyperlink r:id="rId50" w:history="1">
        <w:r w:rsidR="00F61E54" w:rsidRPr="00F07BAC">
          <w:rPr>
            <w:rStyle w:val="Hyperlink"/>
            <w:rFonts w:cstheme="minorHAnsi"/>
            <w:szCs w:val="20"/>
          </w:rPr>
          <w:t>Work Health and Safety A</w:t>
        </w:r>
        <w:r w:rsidR="00F61E54">
          <w:rPr>
            <w:rStyle w:val="Hyperlink"/>
            <w:rFonts w:cstheme="minorHAnsi"/>
            <w:szCs w:val="20"/>
          </w:rPr>
          <w:t>ct</w:t>
        </w:r>
        <w:r w:rsidR="00F61E54" w:rsidRPr="00F07BAC">
          <w:rPr>
            <w:rStyle w:val="Hyperlink"/>
            <w:rFonts w:cstheme="minorHAnsi"/>
            <w:szCs w:val="20"/>
          </w:rPr>
          <w:t xml:space="preserve"> 2011</w:t>
        </w:r>
      </w:hyperlink>
    </w:p>
    <w:p w:rsidR="00F61E54" w:rsidRPr="004A1C08" w:rsidRDefault="001340C3" w:rsidP="00521E37">
      <w:pPr>
        <w:pStyle w:val="ListBullet2"/>
        <w:numPr>
          <w:ilvl w:val="0"/>
          <w:numId w:val="44"/>
        </w:numPr>
        <w:rPr>
          <w:szCs w:val="20"/>
        </w:rPr>
      </w:pPr>
      <w:hyperlink r:id="rId51" w:history="1">
        <w:r w:rsidR="00F61E54" w:rsidRPr="004A1C08">
          <w:rPr>
            <w:rStyle w:val="Hyperlink"/>
            <w:rFonts w:cstheme="minorHAnsi"/>
            <w:szCs w:val="20"/>
          </w:rPr>
          <w:t>Australian Government Information Security Manual</w:t>
        </w:r>
      </w:hyperlink>
      <w:r w:rsidR="0074446C">
        <w:t>.</w:t>
      </w:r>
    </w:p>
    <w:p w:rsidR="00DE0F69" w:rsidRDefault="00DE0F69" w:rsidP="00DE0F69">
      <w:pPr>
        <w:pStyle w:val="Heading3"/>
      </w:pPr>
      <w:r>
        <w:t>Change log</w:t>
      </w:r>
    </w:p>
    <w:p w:rsidR="00DE0F69" w:rsidRPr="00116E26" w:rsidRDefault="00DE0F69" w:rsidP="00DE0F69">
      <w:pPr>
        <w:pStyle w:val="Caption"/>
      </w:pPr>
      <w:r w:rsidRPr="00FB5CFE">
        <w:t xml:space="preserve">Table </w:t>
      </w:r>
      <w:r w:rsidR="005C252B">
        <w:rPr>
          <w:noProof/>
        </w:rPr>
        <w:fldChar w:fldCharType="begin"/>
      </w:r>
      <w:r w:rsidR="005C252B">
        <w:rPr>
          <w:noProof/>
        </w:rPr>
        <w:instrText xml:space="preserve"> SEQ Table \* ARABIC </w:instrText>
      </w:r>
      <w:r w:rsidR="005C252B">
        <w:rPr>
          <w:noProof/>
        </w:rPr>
        <w:fldChar w:fldCharType="separate"/>
      </w:r>
      <w:r w:rsidR="004B478D">
        <w:rPr>
          <w:noProof/>
        </w:rPr>
        <w:t>6</w:t>
      </w:r>
      <w:r w:rsidR="005C252B">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Version v2018.0&#10;Amendments not applicable. This is the first issue of this policy."/>
      </w:tblPr>
      <w:tblGrid>
        <w:gridCol w:w="1384"/>
        <w:gridCol w:w="1559"/>
        <w:gridCol w:w="1418"/>
        <w:gridCol w:w="6321"/>
      </w:tblGrid>
      <w:tr w:rsidR="00DE0F69" w:rsidTr="004E53E1">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rsidR="00DE0F69" w:rsidRPr="00424209" w:rsidRDefault="00DE0F69" w:rsidP="004E53E1">
            <w:pPr>
              <w:rPr>
                <w:rStyle w:val="Strong"/>
                <w:b/>
              </w:rPr>
            </w:pPr>
            <w:r w:rsidRPr="00424209">
              <w:rPr>
                <w:rStyle w:val="Strong"/>
                <w:b/>
              </w:rPr>
              <w:t>Version</w:t>
            </w:r>
          </w:p>
        </w:tc>
        <w:tc>
          <w:tcPr>
            <w:tcW w:w="1559" w:type="dxa"/>
          </w:tcPr>
          <w:p w:rsidR="00DE0F69" w:rsidRPr="00424209" w:rsidRDefault="00DE0F69" w:rsidP="004E53E1">
            <w:pPr>
              <w:cnfStyle w:val="100000000000" w:firstRow="1" w:lastRow="0" w:firstColumn="0" w:lastColumn="0" w:oddVBand="0" w:evenVBand="0" w:oddHBand="0" w:evenHBand="0" w:firstRowFirstColumn="0" w:firstRowLastColumn="0" w:lastRowFirstColumn="0" w:lastRowLastColumn="0"/>
              <w:rPr>
                <w:rStyle w:val="Strong"/>
                <w:b/>
              </w:rPr>
            </w:pPr>
            <w:r w:rsidRPr="00424209">
              <w:rPr>
                <w:rStyle w:val="Strong"/>
                <w:b/>
              </w:rPr>
              <w:t>Date</w:t>
            </w:r>
          </w:p>
        </w:tc>
        <w:tc>
          <w:tcPr>
            <w:tcW w:w="1418" w:type="dxa"/>
          </w:tcPr>
          <w:p w:rsidR="00DE0F69" w:rsidRPr="00424209" w:rsidRDefault="00DE0F69" w:rsidP="004E53E1">
            <w:pPr>
              <w:cnfStyle w:val="100000000000" w:firstRow="1" w:lastRow="0" w:firstColumn="0" w:lastColumn="0" w:oddVBand="0" w:evenVBand="0" w:oddHBand="0" w:evenHBand="0" w:firstRowFirstColumn="0" w:firstRowLastColumn="0" w:lastRowFirstColumn="0" w:lastRowLastColumn="0"/>
              <w:rPr>
                <w:rStyle w:val="Strong"/>
                <w:b/>
              </w:rPr>
            </w:pPr>
            <w:r w:rsidRPr="00424209">
              <w:rPr>
                <w:rStyle w:val="Strong"/>
                <w:b/>
              </w:rPr>
              <w:t>Section</w:t>
            </w:r>
          </w:p>
        </w:tc>
        <w:tc>
          <w:tcPr>
            <w:tcW w:w="6321" w:type="dxa"/>
          </w:tcPr>
          <w:p w:rsidR="00DE0F69" w:rsidRPr="00424209" w:rsidRDefault="00DE0F69" w:rsidP="004E53E1">
            <w:pPr>
              <w:cnfStyle w:val="100000000000" w:firstRow="1" w:lastRow="0" w:firstColumn="0" w:lastColumn="0" w:oddVBand="0" w:evenVBand="0" w:oddHBand="0" w:evenHBand="0" w:firstRowFirstColumn="0" w:firstRowLastColumn="0" w:lastRowFirstColumn="0" w:lastRowLastColumn="0"/>
              <w:rPr>
                <w:rStyle w:val="Strong"/>
                <w:bCs w:val="0"/>
              </w:rPr>
            </w:pPr>
            <w:r w:rsidRPr="00424209">
              <w:rPr>
                <w:rStyle w:val="Strong"/>
                <w:b/>
              </w:rPr>
              <w:t>Amendment</w:t>
            </w:r>
          </w:p>
        </w:tc>
      </w:tr>
      <w:tr w:rsidR="00DE0F69" w:rsidTr="004E53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rsidR="00DE0F69" w:rsidRPr="00424209" w:rsidRDefault="00D32FED" w:rsidP="004E53E1">
            <w:pPr>
              <w:pStyle w:val="Tablebody"/>
              <w:rPr>
                <w:b w:val="0"/>
              </w:rPr>
            </w:pPr>
            <w:r>
              <w:rPr>
                <w:b w:val="0"/>
              </w:rPr>
              <w:t>v2018.1</w:t>
            </w:r>
            <w:r w:rsidR="00DE0F69" w:rsidRPr="00424209">
              <w:rPr>
                <w:b w:val="0"/>
              </w:rPr>
              <w:t xml:space="preserve"> </w:t>
            </w:r>
          </w:p>
        </w:tc>
        <w:tc>
          <w:tcPr>
            <w:tcW w:w="1559" w:type="dxa"/>
          </w:tcPr>
          <w:p w:rsidR="00DE0F69" w:rsidRPr="00424209" w:rsidRDefault="00D32FED" w:rsidP="004E53E1">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rsidR="00DE0F69" w:rsidRPr="00424209" w:rsidRDefault="00DE0F69" w:rsidP="004E53E1">
            <w:pPr>
              <w:pStyle w:val="Tablebody"/>
              <w:cnfStyle w:val="000000100000" w:firstRow="0" w:lastRow="0" w:firstColumn="0" w:lastColumn="0" w:oddVBand="0" w:evenVBand="0" w:oddHBand="1" w:evenHBand="0" w:firstRowFirstColumn="0" w:firstRowLastColumn="0" w:lastRowFirstColumn="0" w:lastRowLastColumn="0"/>
            </w:pPr>
            <w:r w:rsidRPr="00424209">
              <w:t>Throughout</w:t>
            </w:r>
          </w:p>
        </w:tc>
        <w:tc>
          <w:tcPr>
            <w:tcW w:w="6321" w:type="dxa"/>
          </w:tcPr>
          <w:p w:rsidR="00DE0F69" w:rsidRPr="00424209" w:rsidRDefault="00DE0F69" w:rsidP="004E53E1">
            <w:pPr>
              <w:pStyle w:val="Tablebody"/>
              <w:cnfStyle w:val="000000100000" w:firstRow="0" w:lastRow="0" w:firstColumn="0" w:lastColumn="0" w:oddVBand="0" w:evenVBand="0" w:oddHBand="1" w:evenHBand="0" w:firstRowFirstColumn="0" w:firstRowLastColumn="0" w:lastRowFirstColumn="0" w:lastRowLastColumn="0"/>
            </w:pPr>
            <w:r w:rsidRPr="00424209">
              <w:t>Not applicable. This is the first issue of this policy</w:t>
            </w:r>
          </w:p>
        </w:tc>
      </w:tr>
      <w:tr w:rsidR="00521E37" w:rsidTr="004E53E1">
        <w:trPr>
          <w:jc w:val="center"/>
        </w:trPr>
        <w:tc>
          <w:tcPr>
            <w:cnfStyle w:val="001000000000" w:firstRow="0" w:lastRow="0" w:firstColumn="1" w:lastColumn="0" w:oddVBand="0" w:evenVBand="0" w:oddHBand="0" w:evenHBand="0" w:firstRowFirstColumn="0" w:firstRowLastColumn="0" w:lastRowFirstColumn="0" w:lastRowLastColumn="0"/>
            <w:tcW w:w="1384" w:type="dxa"/>
          </w:tcPr>
          <w:p w:rsidR="00521E37" w:rsidRDefault="00D927EA" w:rsidP="004E53E1">
            <w:pPr>
              <w:pStyle w:val="Tablebody"/>
            </w:pPr>
            <w:r>
              <w:t>V2018.2</w:t>
            </w:r>
          </w:p>
        </w:tc>
        <w:tc>
          <w:tcPr>
            <w:tcW w:w="1559" w:type="dxa"/>
          </w:tcPr>
          <w:p w:rsidR="00521E37" w:rsidRDefault="00D927EA" w:rsidP="004E53E1">
            <w:pPr>
              <w:pStyle w:val="Tablebody"/>
              <w:cnfStyle w:val="000000000000" w:firstRow="0" w:lastRow="0" w:firstColumn="0" w:lastColumn="0" w:oddVBand="0" w:evenVBand="0" w:oddHBand="0" w:evenHBand="0" w:firstRowFirstColumn="0" w:firstRowLastColumn="0" w:lastRowFirstColumn="0" w:lastRowLastColumn="0"/>
            </w:pPr>
            <w:r>
              <w:t>May 2019</w:t>
            </w:r>
          </w:p>
        </w:tc>
        <w:tc>
          <w:tcPr>
            <w:tcW w:w="1418" w:type="dxa"/>
          </w:tcPr>
          <w:p w:rsidR="00521E37" w:rsidRPr="00424209" w:rsidRDefault="00D927EA" w:rsidP="004E53E1">
            <w:pPr>
              <w:pStyle w:val="Tablebody"/>
              <w:cnfStyle w:val="000000000000" w:firstRow="0" w:lastRow="0" w:firstColumn="0" w:lastColumn="0" w:oddVBand="0" w:evenVBand="0" w:oddHBand="0" w:evenHBand="0" w:firstRowFirstColumn="0" w:firstRowLastColumn="0" w:lastRowFirstColumn="0" w:lastRowLastColumn="0"/>
            </w:pPr>
            <w:r>
              <w:t>C.5.1</w:t>
            </w:r>
          </w:p>
        </w:tc>
        <w:tc>
          <w:tcPr>
            <w:tcW w:w="6321" w:type="dxa"/>
          </w:tcPr>
          <w:p w:rsidR="00521E37" w:rsidRPr="00424209" w:rsidRDefault="00D927EA" w:rsidP="004E53E1">
            <w:pPr>
              <w:pStyle w:val="Tablebody"/>
              <w:cnfStyle w:val="000000000000" w:firstRow="0" w:lastRow="0" w:firstColumn="0" w:lastColumn="0" w:oddVBand="0" w:evenVBand="0" w:oddHBand="0" w:evenHBand="0" w:firstRowFirstColumn="0" w:firstRowLastColumn="0" w:lastRowFirstColumn="0" w:lastRowLastColumn="0"/>
            </w:pPr>
            <w:r>
              <w:t xml:space="preserve">Table 4 relocated </w:t>
            </w:r>
            <w:r w:rsidRPr="00013891">
              <w:rPr>
                <w:color w:val="auto"/>
              </w:rPr>
              <w:t xml:space="preserve">from </w:t>
            </w:r>
            <w:r w:rsidR="00E9474F" w:rsidRPr="00013891">
              <w:rPr>
                <w:color w:val="auto"/>
              </w:rPr>
              <w:t>C.</w:t>
            </w:r>
            <w:r w:rsidRPr="00013891">
              <w:rPr>
                <w:color w:val="auto"/>
              </w:rPr>
              <w:t xml:space="preserve">5.1.1 to </w:t>
            </w:r>
            <w:r w:rsidR="00E9474F" w:rsidRPr="00013891">
              <w:rPr>
                <w:color w:val="auto"/>
              </w:rPr>
              <w:t>C.</w:t>
            </w:r>
            <w:r w:rsidRPr="00013891">
              <w:rPr>
                <w:color w:val="auto"/>
              </w:rPr>
              <w:t>5.1 for clarity</w:t>
            </w:r>
          </w:p>
        </w:tc>
      </w:tr>
    </w:tbl>
    <w:p w:rsidR="006C4952" w:rsidRDefault="006C4952">
      <w:pPr>
        <w:pStyle w:val="Listbullet1"/>
        <w:numPr>
          <w:ilvl w:val="0"/>
          <w:numId w:val="0"/>
        </w:numPr>
        <w:sectPr w:rsidR="006C4952" w:rsidSect="000E2A27">
          <w:type w:val="continuous"/>
          <w:pgSz w:w="11906" w:h="16838"/>
          <w:pgMar w:top="822" w:right="720" w:bottom="720" w:left="720" w:header="0" w:footer="0" w:gutter="0"/>
          <w:cols w:space="708"/>
          <w:docGrid w:linePitch="360"/>
        </w:sectPr>
      </w:pPr>
    </w:p>
    <w:p w:rsidR="006C4952" w:rsidRDefault="00690842" w:rsidP="001B671D">
      <w:pPr>
        <w:pStyle w:val="Annexheading"/>
        <w:numPr>
          <w:ilvl w:val="0"/>
          <w:numId w:val="6"/>
        </w:numPr>
      </w:pPr>
      <w:bookmarkStart w:id="14" w:name="_Ref520116970"/>
      <w:r>
        <w:lastRenderedPageBreak/>
        <w:t>Historical business impact levels</w:t>
      </w:r>
      <w:bookmarkEnd w:id="14"/>
    </w:p>
    <w:p w:rsidR="00F61E54" w:rsidRPr="0098738C" w:rsidRDefault="00ED4DDD" w:rsidP="00ED4DDD">
      <w:pPr>
        <w:pStyle w:val="Caption"/>
      </w:pPr>
      <w:r>
        <w:fldChar w:fldCharType="begin"/>
      </w:r>
      <w:r>
        <w:instrText xml:space="preserve"> REF _Ref520116970 \r \h </w:instrText>
      </w:r>
      <w:r>
        <w:fldChar w:fldCharType="separate"/>
      </w:r>
      <w:r w:rsidR="004B478D">
        <w:t>Annex A</w:t>
      </w:r>
      <w:r>
        <w:fldChar w:fldCharType="end"/>
      </w:r>
      <w:r>
        <w:t xml:space="preserve"> Table </w:t>
      </w:r>
      <w:r w:rsidR="005C252B">
        <w:rPr>
          <w:noProof/>
        </w:rPr>
        <w:fldChar w:fldCharType="begin"/>
      </w:r>
      <w:r w:rsidR="005C252B">
        <w:rPr>
          <w:noProof/>
        </w:rPr>
        <w:instrText xml:space="preserve"> SEQ Annex_A_Table \* ARABIC </w:instrText>
      </w:r>
      <w:r w:rsidR="005C252B">
        <w:rPr>
          <w:noProof/>
        </w:rPr>
        <w:fldChar w:fldCharType="separate"/>
      </w:r>
      <w:r w:rsidR="004B478D">
        <w:rPr>
          <w:noProof/>
        </w:rPr>
        <w:t>1</w:t>
      </w:r>
      <w:r w:rsidR="005C252B">
        <w:rPr>
          <w:noProof/>
        </w:rPr>
        <w:fldChar w:fldCharType="end"/>
      </w:r>
      <w:r>
        <w:t xml:space="preserve"> </w:t>
      </w:r>
      <w:r w:rsidR="00F61E54" w:rsidRPr="0098738C">
        <w:t>Business Impact Level 3A – Significant damage to the national interest, organisations or individuals</w:t>
      </w:r>
    </w:p>
    <w:tbl>
      <w:tblPr>
        <w:tblStyle w:val="LightShading-Accent4"/>
        <w:tblW w:w="10598" w:type="dxa"/>
        <w:tblLook w:val="04A0" w:firstRow="1" w:lastRow="0" w:firstColumn="1" w:lastColumn="0" w:noHBand="0" w:noVBand="1"/>
        <w:tblCaption w:val="Business Impact Level 3A – Significant damage to the national interest, organisations or individuals"/>
        <w:tblDescription w:val="This table describes significant damage to the national interest, organisations or indiviuals across nine sub-impact categories. The table has two columns, the first being the sub-impact category, and the second being a description of significant damage.&#10;&#10;Impacts on national security&#10;Significant damage is causing damage to national security.&#10;&#10;Impacts on entity operations&#10;Significant damage is:&#10;a. causing a severe degradation in, or loss of, organisational capacity to an extent and duration that the entity cannot perform one or more of its functions for an extended time&#10;b. resulting in major long term harm to entity assets.&#10;&#10;Australian financial and economic impacts&#10;Significant damage is:&#10;a. undermining the financial viability of, or causing substantial financial damage to a number of major Australian-based or Australian-owned organisations or companies.&#10;b. causing long term damage to the Australian economy to an estimated total of $10 to $20 billion. &#10;c. causing major short term damage to global trade or commerce, leading to short term recession or hyperinflation in Australia. &#10;&#10;Impacts on government policies&#10;Significant damage is:&#10;a. significantly disadvantaging Australia in international negotiations or strategy.&#10;The damage also includes temporarily damaging the internal stability of Australia or friendly countries, and causing significant damage or disruption to diplomatic relations, including resulting in formal protest or retaliatory action.&#10;Impacts on personal safety that result in endangering small groups of individuals. The compromise of information could lead to serious harm or potentially life threatening injuries to a small group of individuals. &#10;Impacts on crime prevent causing major, long term impairment to the ability to investigate serious offences, i.e. offences resulting in two or more years imprisionment.&#10;Impacts on defence operations causing damage to the operational effectiveness or security of Australian or allied forces that could result in risk to life.&#10;Impacts on intelligence operations causing damage to Australian or allied intelligence capability. Impacts on national infrastructure damaging or disrupting significant national infrastructure."/>
      </w:tblPr>
      <w:tblGrid>
        <w:gridCol w:w="2235"/>
        <w:gridCol w:w="8363"/>
      </w:tblGrid>
      <w:tr w:rsidR="00F61E54" w:rsidRPr="000B4CD1" w:rsidTr="00F61E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F61E54" w:rsidRPr="007A235C" w:rsidRDefault="00F61E54" w:rsidP="00975276">
            <w:pPr>
              <w:pStyle w:val="Tablebody"/>
              <w:rPr>
                <w:rStyle w:val="Strong"/>
                <w:b/>
              </w:rPr>
            </w:pPr>
            <w:r>
              <w:rPr>
                <w:rStyle w:val="Strong"/>
                <w:b/>
              </w:rPr>
              <w:t>Sub-impact categories</w:t>
            </w:r>
          </w:p>
        </w:tc>
        <w:tc>
          <w:tcPr>
            <w:tcW w:w="8363" w:type="dxa"/>
          </w:tcPr>
          <w:p w:rsidR="00F61E54" w:rsidRPr="007A235C" w:rsidRDefault="00F61E54" w:rsidP="00975276">
            <w:pPr>
              <w:pStyle w:val="Tablebody"/>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Significant damage is:</w:t>
            </w:r>
          </w:p>
        </w:tc>
      </w:tr>
      <w:tr w:rsidR="00F61E54" w:rsidRPr="000B4CD1" w:rsidTr="00F61E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Impacts on national security</w:t>
            </w:r>
          </w:p>
        </w:tc>
        <w:tc>
          <w:tcPr>
            <w:tcW w:w="8363" w:type="dxa"/>
          </w:tcPr>
          <w:p w:rsidR="00F61E54" w:rsidRPr="00D15D47" w:rsidRDefault="00F61E54" w:rsidP="00F61E54">
            <w:pPr>
              <w:pStyle w:val="Tablebody"/>
              <w:cnfStyle w:val="000000100000" w:firstRow="0" w:lastRow="0" w:firstColumn="0" w:lastColumn="0" w:oddVBand="0" w:evenVBand="0" w:oddHBand="1" w:evenHBand="0" w:firstRowFirstColumn="0" w:firstRowLastColumn="0" w:lastRowFirstColumn="0" w:lastRowLastColumn="0"/>
              <w:rPr>
                <w:b/>
              </w:rPr>
            </w:pPr>
            <w:r w:rsidRPr="00D15D47">
              <w:t>causing damage to national security</w:t>
            </w:r>
          </w:p>
        </w:tc>
      </w:tr>
      <w:tr w:rsidR="00F61E54" w:rsidRPr="000B4CD1" w:rsidTr="00F61E54">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Impacts on entity operations</w:t>
            </w:r>
          </w:p>
        </w:tc>
        <w:tc>
          <w:tcPr>
            <w:tcW w:w="8363" w:type="dxa"/>
          </w:tcPr>
          <w:p w:rsidR="00F61E54" w:rsidRPr="00827745" w:rsidRDefault="00F61E54" w:rsidP="006E5650">
            <w:pPr>
              <w:pStyle w:val="Tablebodybullet1"/>
              <w:numPr>
                <w:ilvl w:val="0"/>
                <w:numId w:val="45"/>
              </w:numPr>
              <w:ind w:left="495"/>
              <w:cnfStyle w:val="000000000000" w:firstRow="0" w:lastRow="0" w:firstColumn="0" w:lastColumn="0" w:oddVBand="0" w:evenVBand="0" w:oddHBand="0" w:evenHBand="0" w:firstRowFirstColumn="0" w:firstRowLastColumn="0" w:lastRowFirstColumn="0" w:lastRowLastColumn="0"/>
            </w:pPr>
            <w:r w:rsidRPr="00827745">
              <w:t>causing a severe degradation in, or loss of, organisational capability to an extent and duration that the entity cannot perform one or more of its functions for an extended time</w:t>
            </w:r>
          </w:p>
          <w:p w:rsidR="00F61E54" w:rsidRPr="00827745" w:rsidRDefault="00F61E54" w:rsidP="006E5650">
            <w:pPr>
              <w:pStyle w:val="Tablebodybullet1"/>
              <w:numPr>
                <w:ilvl w:val="0"/>
                <w:numId w:val="45"/>
              </w:numPr>
              <w:ind w:left="495"/>
              <w:cnfStyle w:val="000000000000" w:firstRow="0" w:lastRow="0" w:firstColumn="0" w:lastColumn="0" w:oddVBand="0" w:evenVBand="0" w:oddHBand="0" w:evenHBand="0" w:firstRowFirstColumn="0" w:firstRowLastColumn="0" w:lastRowFirstColumn="0" w:lastRowLastColumn="0"/>
              <w:rPr>
                <w:bCs/>
              </w:rPr>
            </w:pPr>
            <w:r w:rsidRPr="00827745">
              <w:t>resulting in major long term harm to entity assets</w:t>
            </w:r>
            <w:r w:rsidR="00690842">
              <w:t>.</w:t>
            </w:r>
          </w:p>
        </w:tc>
      </w:tr>
      <w:tr w:rsidR="00F61E54" w:rsidRPr="000B4CD1" w:rsidTr="00F61E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Australian financial and economic impacts</w:t>
            </w:r>
          </w:p>
        </w:tc>
        <w:tc>
          <w:tcPr>
            <w:tcW w:w="8363" w:type="dxa"/>
          </w:tcPr>
          <w:p w:rsidR="00F61E54" w:rsidRPr="00827745" w:rsidRDefault="00F61E54" w:rsidP="006E5650">
            <w:pPr>
              <w:pStyle w:val="Tablebodybullet1"/>
              <w:numPr>
                <w:ilvl w:val="0"/>
                <w:numId w:val="46"/>
              </w:numPr>
              <w:ind w:left="495"/>
              <w:cnfStyle w:val="000000100000" w:firstRow="0" w:lastRow="0" w:firstColumn="0" w:lastColumn="0" w:oddVBand="0" w:evenVBand="0" w:oddHBand="1" w:evenHBand="0" w:firstRowFirstColumn="0" w:firstRowLastColumn="0" w:lastRowFirstColumn="0" w:lastRowLastColumn="0"/>
            </w:pPr>
            <w:r w:rsidRPr="00827745">
              <w:t>undermining the financial viability of, or causing substantial financial damage to, a number of major Australia-based or Australian-owned organisations or companies</w:t>
            </w:r>
          </w:p>
          <w:p w:rsidR="00F61E54" w:rsidRPr="00827745" w:rsidRDefault="00F61E54" w:rsidP="006E5650">
            <w:pPr>
              <w:pStyle w:val="Tablebodybullet1"/>
              <w:numPr>
                <w:ilvl w:val="0"/>
                <w:numId w:val="46"/>
              </w:numPr>
              <w:ind w:left="495"/>
              <w:cnfStyle w:val="000000100000" w:firstRow="0" w:lastRow="0" w:firstColumn="0" w:lastColumn="0" w:oddVBand="0" w:evenVBand="0" w:oddHBand="1" w:evenHBand="0" w:firstRowFirstColumn="0" w:firstRowLastColumn="0" w:lastRowFirstColumn="0" w:lastRowLastColumn="0"/>
            </w:pPr>
            <w:r w:rsidRPr="00827745">
              <w:t>causing long term damage to the Australian economy to an estimated total of $10 to $20</w:t>
            </w:r>
            <w:r w:rsidR="00D54799">
              <w:t> </w:t>
            </w:r>
            <w:r w:rsidRPr="00827745">
              <w:t>billion</w:t>
            </w:r>
          </w:p>
          <w:p w:rsidR="00F61E54" w:rsidRPr="00827745" w:rsidRDefault="00F61E54" w:rsidP="006E5650">
            <w:pPr>
              <w:pStyle w:val="Tablebodybullet1"/>
              <w:numPr>
                <w:ilvl w:val="0"/>
                <w:numId w:val="46"/>
              </w:numPr>
              <w:ind w:left="495"/>
              <w:cnfStyle w:val="000000100000" w:firstRow="0" w:lastRow="0" w:firstColumn="0" w:lastColumn="0" w:oddVBand="0" w:evenVBand="0" w:oddHBand="1" w:evenHBand="0" w:firstRowFirstColumn="0" w:firstRowLastColumn="0" w:lastRowFirstColumn="0" w:lastRowLastColumn="0"/>
              <w:rPr>
                <w:bCs/>
              </w:rPr>
            </w:pPr>
            <w:r w:rsidRPr="00827745">
              <w:t>causing major, short term damage to global trade or commerce, leading to short term recession or hyperinflation in Australia</w:t>
            </w:r>
            <w:r w:rsidR="00690842">
              <w:t>.</w:t>
            </w:r>
          </w:p>
        </w:tc>
      </w:tr>
      <w:tr w:rsidR="00F61E54" w:rsidRPr="000B4CD1" w:rsidTr="00F61E54">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Impacts on government policies</w:t>
            </w:r>
          </w:p>
        </w:tc>
        <w:tc>
          <w:tcPr>
            <w:tcW w:w="8363" w:type="dxa"/>
          </w:tcPr>
          <w:p w:rsidR="00F61E54" w:rsidRPr="00827745" w:rsidRDefault="00F61E54" w:rsidP="006E5650">
            <w:pPr>
              <w:pStyle w:val="Tablebodybullet1"/>
              <w:numPr>
                <w:ilvl w:val="0"/>
                <w:numId w:val="47"/>
              </w:numPr>
              <w:ind w:left="495"/>
              <w:cnfStyle w:val="000000000000" w:firstRow="0" w:lastRow="0" w:firstColumn="0" w:lastColumn="0" w:oddVBand="0" w:evenVBand="0" w:oddHBand="0" w:evenHBand="0" w:firstRowFirstColumn="0" w:firstRowLastColumn="0" w:lastRowFirstColumn="0" w:lastRowLastColumn="0"/>
            </w:pPr>
            <w:r w:rsidRPr="00827745">
              <w:t>significantly disadvantaging Australia in international negotiations or strategy</w:t>
            </w:r>
          </w:p>
          <w:p w:rsidR="00F61E54" w:rsidRPr="00827745" w:rsidRDefault="00F61E54" w:rsidP="006E5650">
            <w:pPr>
              <w:pStyle w:val="Tablebodybullet1"/>
              <w:numPr>
                <w:ilvl w:val="0"/>
                <w:numId w:val="47"/>
              </w:numPr>
              <w:ind w:left="495"/>
              <w:cnfStyle w:val="000000000000" w:firstRow="0" w:lastRow="0" w:firstColumn="0" w:lastColumn="0" w:oddVBand="0" w:evenVBand="0" w:oddHBand="0" w:evenHBand="0" w:firstRowFirstColumn="0" w:firstRowLastColumn="0" w:lastRowFirstColumn="0" w:lastRowLastColumn="0"/>
            </w:pPr>
            <w:r w:rsidRPr="00827745">
              <w:t>temporarily damaging the internal stability of Australia or friendly countries</w:t>
            </w:r>
          </w:p>
          <w:p w:rsidR="00F61E54" w:rsidRPr="00827745" w:rsidRDefault="00F61E54" w:rsidP="006E5650">
            <w:pPr>
              <w:pStyle w:val="Tablebodybullet1"/>
              <w:numPr>
                <w:ilvl w:val="0"/>
                <w:numId w:val="47"/>
              </w:numPr>
              <w:ind w:left="495"/>
              <w:cnfStyle w:val="000000000000" w:firstRow="0" w:lastRow="0" w:firstColumn="0" w:lastColumn="0" w:oddVBand="0" w:evenVBand="0" w:oddHBand="0" w:evenHBand="0" w:firstRowFirstColumn="0" w:firstRowLastColumn="0" w:lastRowFirstColumn="0" w:lastRowLastColumn="0"/>
              <w:rPr>
                <w:bCs/>
              </w:rPr>
            </w:pPr>
            <w:r w:rsidRPr="00827745">
              <w:t>causing significant damage or disruption to diplomatic relations, including resulting in formal protest or retaliatory action</w:t>
            </w:r>
            <w:r w:rsidR="00690842">
              <w:t>.</w:t>
            </w:r>
          </w:p>
        </w:tc>
      </w:tr>
      <w:tr w:rsidR="00F61E54" w:rsidRPr="000B4CD1" w:rsidTr="00F61E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Impacts on personal safety</w:t>
            </w:r>
          </w:p>
        </w:tc>
        <w:tc>
          <w:tcPr>
            <w:tcW w:w="8363" w:type="dxa"/>
          </w:tcPr>
          <w:p w:rsidR="00F61E54" w:rsidRPr="00827745" w:rsidRDefault="00F61E54" w:rsidP="00F61E54">
            <w:pPr>
              <w:pStyle w:val="Tablebody"/>
              <w:cnfStyle w:val="000000100000" w:firstRow="0" w:lastRow="0" w:firstColumn="0" w:lastColumn="0" w:oddVBand="0" w:evenVBand="0" w:oddHBand="1" w:evenHBand="0" w:firstRowFirstColumn="0" w:firstRowLastColumn="0" w:lastRowFirstColumn="0" w:lastRowLastColumn="0"/>
            </w:pPr>
            <w:r w:rsidRPr="00827745">
              <w:t>endangering small groups of individuals – the compromise of information could lead to serious harm or potentially life threatening injuries to a small group of individuals</w:t>
            </w:r>
            <w:r w:rsidR="00690842">
              <w:t>.</w:t>
            </w:r>
          </w:p>
        </w:tc>
      </w:tr>
      <w:tr w:rsidR="00F61E54" w:rsidRPr="000B4CD1" w:rsidTr="00F61E54">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Impacts on crime prevention</w:t>
            </w:r>
          </w:p>
        </w:tc>
        <w:tc>
          <w:tcPr>
            <w:tcW w:w="8363" w:type="dxa"/>
          </w:tcPr>
          <w:p w:rsidR="00F61E54" w:rsidRPr="00827745" w:rsidRDefault="00F61E54" w:rsidP="00D54799">
            <w:pPr>
              <w:pStyle w:val="Tablebody"/>
              <w:cnfStyle w:val="000000000000" w:firstRow="0" w:lastRow="0" w:firstColumn="0" w:lastColumn="0" w:oddVBand="0" w:evenVBand="0" w:oddHBand="0" w:evenHBand="0" w:firstRowFirstColumn="0" w:firstRowLastColumn="0" w:lastRowFirstColumn="0" w:lastRowLastColumn="0"/>
            </w:pPr>
            <w:r w:rsidRPr="00827745">
              <w:t>causing major, long</w:t>
            </w:r>
            <w:r w:rsidR="00D54799">
              <w:t>-</w:t>
            </w:r>
            <w:r w:rsidRPr="00827745">
              <w:t>term impairment to the ability to investigate serious offences</w:t>
            </w:r>
            <w:r w:rsidR="00D54799">
              <w:t xml:space="preserve"> (</w:t>
            </w:r>
            <w:r w:rsidRPr="00827745">
              <w:t xml:space="preserve">ie offences resulting in </w:t>
            </w:r>
            <w:r w:rsidR="00D54799">
              <w:t>two</w:t>
            </w:r>
            <w:r w:rsidRPr="00827745">
              <w:t xml:space="preserve"> or more years imprisonment</w:t>
            </w:r>
            <w:r w:rsidR="00D54799">
              <w:t>)</w:t>
            </w:r>
            <w:r w:rsidR="00690842">
              <w:t>.</w:t>
            </w:r>
          </w:p>
        </w:tc>
      </w:tr>
      <w:tr w:rsidR="00F61E54" w:rsidRPr="000B4CD1" w:rsidTr="00F61E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Impacts on defence operations</w:t>
            </w:r>
          </w:p>
        </w:tc>
        <w:tc>
          <w:tcPr>
            <w:tcW w:w="8363" w:type="dxa"/>
          </w:tcPr>
          <w:p w:rsidR="00F61E54" w:rsidRPr="00827745" w:rsidRDefault="00F61E54" w:rsidP="00F61E54">
            <w:pPr>
              <w:pStyle w:val="Tablebody"/>
              <w:cnfStyle w:val="000000100000" w:firstRow="0" w:lastRow="0" w:firstColumn="0" w:lastColumn="0" w:oddVBand="0" w:evenVBand="0" w:oddHBand="1" w:evenHBand="0" w:firstRowFirstColumn="0" w:firstRowLastColumn="0" w:lastRowFirstColumn="0" w:lastRowLastColumn="0"/>
            </w:pPr>
            <w:r w:rsidRPr="00827745">
              <w:t>causing damage to the operational effectiveness or security of Australian or allied forces that could result in risk to life</w:t>
            </w:r>
            <w:r w:rsidR="00690842">
              <w:t>.</w:t>
            </w:r>
          </w:p>
        </w:tc>
      </w:tr>
      <w:tr w:rsidR="00F61E54" w:rsidRPr="000B4CD1" w:rsidTr="00F61E54">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Impacts on intelligence operations</w:t>
            </w:r>
          </w:p>
        </w:tc>
        <w:tc>
          <w:tcPr>
            <w:tcW w:w="8363" w:type="dxa"/>
          </w:tcPr>
          <w:p w:rsidR="00F61E54" w:rsidRPr="00827745" w:rsidRDefault="00F61E54" w:rsidP="00F61E54">
            <w:pPr>
              <w:pStyle w:val="Tablebody"/>
              <w:cnfStyle w:val="000000000000" w:firstRow="0" w:lastRow="0" w:firstColumn="0" w:lastColumn="0" w:oddVBand="0" w:evenVBand="0" w:oddHBand="0" w:evenHBand="0" w:firstRowFirstColumn="0" w:firstRowLastColumn="0" w:lastRowFirstColumn="0" w:lastRowLastColumn="0"/>
            </w:pPr>
            <w:r w:rsidRPr="00827745">
              <w:t>causing damage to Australian or allied intelligence capability</w:t>
            </w:r>
            <w:r w:rsidR="00690842">
              <w:t>.</w:t>
            </w:r>
          </w:p>
        </w:tc>
      </w:tr>
      <w:tr w:rsidR="00F61E54" w:rsidRPr="000B4CD1" w:rsidTr="00F61E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F61E54" w:rsidRPr="00827745" w:rsidRDefault="00F61E54" w:rsidP="00F61E54">
            <w:pPr>
              <w:pStyle w:val="Tablebody"/>
            </w:pPr>
            <w:r w:rsidRPr="00827745">
              <w:t>Impacts on national infrastructure</w:t>
            </w:r>
          </w:p>
        </w:tc>
        <w:tc>
          <w:tcPr>
            <w:tcW w:w="8363" w:type="dxa"/>
          </w:tcPr>
          <w:p w:rsidR="00F61E54" w:rsidRPr="00827745" w:rsidRDefault="00F61E54" w:rsidP="00F61E54">
            <w:pPr>
              <w:pStyle w:val="Tablebody"/>
              <w:cnfStyle w:val="000000100000" w:firstRow="0" w:lastRow="0" w:firstColumn="0" w:lastColumn="0" w:oddVBand="0" w:evenVBand="0" w:oddHBand="1" w:evenHBand="0" w:firstRowFirstColumn="0" w:firstRowLastColumn="0" w:lastRowFirstColumn="0" w:lastRowLastColumn="0"/>
            </w:pPr>
            <w:r w:rsidRPr="00827745">
              <w:t>damaging or disrupting significant national infrastructure</w:t>
            </w:r>
            <w:r w:rsidR="00690842">
              <w:t>.</w:t>
            </w:r>
          </w:p>
        </w:tc>
      </w:tr>
    </w:tbl>
    <w:p w:rsidR="00F61E54" w:rsidRDefault="00F61E54" w:rsidP="001D7DF5">
      <w:pPr>
        <w:pStyle w:val="Annextext"/>
      </w:pPr>
    </w:p>
    <w:sectPr w:rsidR="00F61E54" w:rsidSect="00690842">
      <w:footerReference w:type="default" r:id="rId52"/>
      <w:pgSz w:w="11906" w:h="16838"/>
      <w:pgMar w:top="821" w:right="720" w:bottom="720" w:left="720"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0C3" w:rsidRDefault="001340C3" w:rsidP="007D070A">
      <w:pPr>
        <w:spacing w:after="0"/>
      </w:pPr>
      <w:r>
        <w:separator/>
      </w:r>
    </w:p>
  </w:endnote>
  <w:endnote w:type="continuationSeparator" w:id="0">
    <w:p w:rsidR="001340C3" w:rsidRDefault="001340C3" w:rsidP="007D070A">
      <w:pPr>
        <w:spacing w:after="0"/>
      </w:pPr>
      <w:r>
        <w:continuationSeparator/>
      </w:r>
    </w:p>
  </w:endnote>
  <w:endnote w:id="1">
    <w:p w:rsidR="00504135" w:rsidRDefault="00504135" w:rsidP="000E2A27">
      <w:pPr>
        <w:pStyle w:val="Tablenotes"/>
      </w:pPr>
      <w:r>
        <w:rPr>
          <w:rStyle w:val="EndnoteReference"/>
        </w:rPr>
        <w:endnoteRef/>
      </w:r>
      <w:r>
        <w:t xml:space="preserve"> Information </w:t>
      </w:r>
      <w:r w:rsidRPr="003D1291">
        <w:t>compromise</w:t>
      </w:r>
      <w:r>
        <w:t xml:space="preserve"> i</w:t>
      </w:r>
      <w:r w:rsidRPr="003D1291">
        <w:t xml:space="preserve">s defined in PSPF policy: </w:t>
      </w:r>
      <w:hyperlink r:id="rId1" w:history="1">
        <w:r>
          <w:rPr>
            <w:rStyle w:val="Hyperlink"/>
          </w:rPr>
          <w:t>Sensitive and classified information</w:t>
        </w:r>
      </w:hyperlink>
      <w:r w:rsidRPr="003D1291">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192118"/>
      <w:docPartObj>
        <w:docPartGallery w:val="Page Numbers (Bottom of Page)"/>
        <w:docPartUnique/>
      </w:docPartObj>
    </w:sdtPr>
    <w:sdtEndPr>
      <w:rPr>
        <w:noProof/>
        <w:sz w:val="20"/>
        <w:szCs w:val="20"/>
      </w:rPr>
    </w:sdtEndPr>
    <w:sdtContent>
      <w:p w:rsidR="00504135" w:rsidRPr="00563082" w:rsidRDefault="001340C3"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1155073298"/>
            <w:docPartObj>
              <w:docPartGallery w:val="Page Numbers (Bottom of Page)"/>
              <w:docPartUnique/>
            </w:docPartObj>
          </w:sdtPr>
          <w:sdtEndPr>
            <w:rPr>
              <w:noProof/>
            </w:rPr>
          </w:sdtEndPr>
          <w:sdtContent>
            <w:r w:rsidR="00504135">
              <w:rPr>
                <w:sz w:val="20"/>
                <w:szCs w:val="20"/>
              </w:rPr>
              <w:t>v2018.2</w:t>
            </w:r>
            <w:r w:rsidR="00504135" w:rsidRPr="006F61B7">
              <w:rPr>
                <w:sz w:val="20"/>
                <w:szCs w:val="20"/>
              </w:rPr>
              <w:tab/>
            </w:r>
            <w:r w:rsidR="00504135" w:rsidRPr="006F61B7">
              <w:rPr>
                <w:noProof/>
                <w:w w:val="100"/>
                <w:sz w:val="20"/>
                <w:szCs w:val="20"/>
                <w:lang w:eastAsia="en-AU"/>
              </w:rPr>
              <mc:AlternateContent>
                <mc:Choice Requires="wps">
                  <w:drawing>
                    <wp:anchor distT="0" distB="0" distL="114300" distR="114300" simplePos="0" relativeHeight="251651072" behindDoc="0" locked="0" layoutInCell="1" allowOverlap="1" wp14:anchorId="286EA18A" wp14:editId="3737FDEE">
                      <wp:simplePos x="0" y="0"/>
                      <wp:positionH relativeFrom="column">
                        <wp:posOffset>0</wp:posOffset>
                      </wp:positionH>
                      <wp:positionV relativeFrom="paragraph">
                        <wp:posOffset>-73660</wp:posOffset>
                      </wp:positionV>
                      <wp:extent cx="6648450" cy="47625"/>
                      <wp:effectExtent l="0" t="0" r="0" b="9525"/>
                      <wp:wrapNone/>
                      <wp:docPr id="6" name="Rectangle 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9D36E1" id="Rectangle 6" o:spid="_x0000_s1026" style="position:absolute;margin-left:0;margin-top:-5.8pt;width:523.5pt;height:3.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lx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GtNaXGUAgAAhAUAAA4AAAAAAAAAAAAAAAAALgIAAGRycy9lMm9Eb2MueG1sUEsB&#10;Ai0AFAAGAAgAAAAhAATLDOraAAAACAEAAA8AAAAAAAAAAAAAAAAA7gQAAGRycy9kb3ducmV2Lnht&#10;bFBLBQYAAAAABAAEAPMAAAD1BQAAAAA=&#10;" fillcolor="#483a70" stroked="f" strokeweight="2pt"/>
                  </w:pict>
                </mc:Fallback>
              </mc:AlternateContent>
            </w:r>
            <w:r w:rsidR="00504135" w:rsidRPr="006F61B7">
              <w:rPr>
                <w:noProof/>
                <w:w w:val="100"/>
                <w:sz w:val="20"/>
                <w:szCs w:val="20"/>
                <w:lang w:eastAsia="en-AU"/>
              </w:rPr>
              <mc:AlternateContent>
                <mc:Choice Requires="wps">
                  <w:drawing>
                    <wp:anchor distT="0" distB="0" distL="114300" distR="114300" simplePos="0" relativeHeight="251654144" behindDoc="0" locked="0" layoutInCell="1" allowOverlap="1" wp14:anchorId="7A156248" wp14:editId="216867A8">
                      <wp:simplePos x="0" y="0"/>
                      <wp:positionH relativeFrom="column">
                        <wp:posOffset>0</wp:posOffset>
                      </wp:positionH>
                      <wp:positionV relativeFrom="paragraph">
                        <wp:posOffset>-73660</wp:posOffset>
                      </wp:positionV>
                      <wp:extent cx="6648450" cy="47625"/>
                      <wp:effectExtent l="0" t="0" r="0" b="9525"/>
                      <wp:wrapNone/>
                      <wp:docPr id="7" name="Rectangle 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F57C9E" id="Rectangle 7" o:spid="_x0000_s1026" style="position:absolute;margin-left:0;margin-top:-5.8pt;width:523.5pt;height:3.7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DTxTSSUAgAAhAUAAA4AAAAAAAAAAAAAAAAALgIAAGRycy9lMm9Eb2MueG1sUEsB&#10;Ai0AFAAGAAgAAAAhAATLDOraAAAACAEAAA8AAAAAAAAAAAAAAAAA7gQAAGRycy9kb3ducmV2Lnht&#10;bFBLBQYAAAAABAAEAPMAAAD1BQAAAAA=&#10;" fillcolor="#483a70" stroked="f" strokeweight="2pt"/>
                  </w:pict>
                </mc:Fallback>
              </mc:AlternateContent>
            </w:r>
            <w:r w:rsidR="00504135" w:rsidRPr="006F61B7">
              <w:rPr>
                <w:sz w:val="20"/>
                <w:szCs w:val="20"/>
              </w:rPr>
              <w:fldChar w:fldCharType="begin"/>
            </w:r>
            <w:r w:rsidR="00504135" w:rsidRPr="006F61B7">
              <w:rPr>
                <w:sz w:val="20"/>
                <w:szCs w:val="20"/>
              </w:rPr>
              <w:instrText xml:space="preserve"> REF _Ref513635588 \h </w:instrText>
            </w:r>
            <w:r w:rsidR="00504135">
              <w:rPr>
                <w:sz w:val="20"/>
                <w:szCs w:val="20"/>
              </w:rPr>
              <w:instrText xml:space="preserve"> \* MERGEFORMAT </w:instrText>
            </w:r>
            <w:r w:rsidR="00504135" w:rsidRPr="006F61B7">
              <w:rPr>
                <w:sz w:val="20"/>
                <w:szCs w:val="20"/>
              </w:rPr>
            </w:r>
            <w:r w:rsidR="00504135" w:rsidRPr="006F61B7">
              <w:rPr>
                <w:sz w:val="20"/>
                <w:szCs w:val="20"/>
              </w:rPr>
              <w:fldChar w:fldCharType="separate"/>
            </w:r>
            <w:r w:rsidR="00504135" w:rsidRPr="004F6742">
              <w:rPr>
                <w:sz w:val="20"/>
                <w:szCs w:val="20"/>
              </w:rPr>
              <w:t>15 Physical security for entity resources</w:t>
            </w:r>
            <w:r w:rsidR="00504135" w:rsidRPr="006F61B7">
              <w:rPr>
                <w:sz w:val="20"/>
                <w:szCs w:val="20"/>
              </w:rPr>
              <w:fldChar w:fldCharType="end"/>
            </w:r>
            <w:r w:rsidR="00504135" w:rsidRPr="006F61B7">
              <w:rPr>
                <w:noProof/>
                <w:w w:val="100"/>
                <w:sz w:val="20"/>
                <w:szCs w:val="20"/>
                <w:lang w:eastAsia="en-AU"/>
              </w:rPr>
              <mc:AlternateContent>
                <mc:Choice Requires="wps">
                  <w:drawing>
                    <wp:anchor distT="0" distB="0" distL="114300" distR="114300" simplePos="0" relativeHeight="251644928" behindDoc="0" locked="0" layoutInCell="1" allowOverlap="1" wp14:anchorId="3D5D697B" wp14:editId="43A4582B">
                      <wp:simplePos x="0" y="0"/>
                      <wp:positionH relativeFrom="column">
                        <wp:posOffset>0</wp:posOffset>
                      </wp:positionH>
                      <wp:positionV relativeFrom="paragraph">
                        <wp:posOffset>-73660</wp:posOffset>
                      </wp:positionV>
                      <wp:extent cx="6648450" cy="47625"/>
                      <wp:effectExtent l="0" t="0" r="0" b="9525"/>
                      <wp:wrapNone/>
                      <wp:docPr id="8" name="Rectangle 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FF629B" id="Rectangle 8" o:spid="_x0000_s1026" style="position:absolute;margin-left:0;margin-top:-5.8pt;width:523.5pt;height:3.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MqdZCUAgAAhAUAAA4AAAAAAAAAAAAAAAAALgIAAGRycy9lMm9Eb2MueG1sUEsB&#10;Ai0AFAAGAAgAAAAhAATLDOraAAAACAEAAA8AAAAAAAAAAAAAAAAA7gQAAGRycy9kb3ducmV2Lnht&#10;bFBLBQYAAAAABAAEAPMAAAD1BQAAAAA=&#10;" fillcolor="#483a70" stroked="f" strokeweight="2pt"/>
                  </w:pict>
                </mc:Fallback>
              </mc:AlternateContent>
            </w:r>
            <w:r w:rsidR="00504135" w:rsidRPr="006F61B7">
              <w:rPr>
                <w:noProof/>
                <w:w w:val="100"/>
                <w:sz w:val="20"/>
                <w:szCs w:val="20"/>
                <w:lang w:eastAsia="en-AU"/>
              </w:rPr>
              <mc:AlternateContent>
                <mc:Choice Requires="wps">
                  <w:drawing>
                    <wp:anchor distT="0" distB="0" distL="114300" distR="114300" simplePos="0" relativeHeight="251648000" behindDoc="0" locked="0" layoutInCell="1" allowOverlap="1" wp14:anchorId="12D74436" wp14:editId="6760963E">
                      <wp:simplePos x="0" y="0"/>
                      <wp:positionH relativeFrom="column">
                        <wp:posOffset>0</wp:posOffset>
                      </wp:positionH>
                      <wp:positionV relativeFrom="paragraph">
                        <wp:posOffset>-73660</wp:posOffset>
                      </wp:positionV>
                      <wp:extent cx="6648450" cy="47625"/>
                      <wp:effectExtent l="0" t="0" r="0" b="9525"/>
                      <wp:wrapNone/>
                      <wp:docPr id="9" name="Rectangle 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555659" id="Rectangle 9" o:spid="_x0000_s1026" style="position:absolute;margin-left:0;margin-top:-5.8pt;width:523.5pt;height:3.7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HF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IyWUcWUAgAAhAUAAA4AAAAAAAAAAAAAAAAALgIAAGRycy9lMm9Eb2MueG1sUEsB&#10;Ai0AFAAGAAgAAAAhAATLDOraAAAACAEAAA8AAAAAAAAAAAAAAAAA7gQAAGRycy9kb3ducmV2Lnht&#10;bFBLBQYAAAAABAAEAPMAAAD1BQAAAAA=&#10;" fillcolor="#483a70" stroked="f" strokeweight="2pt"/>
                  </w:pict>
                </mc:Fallback>
              </mc:AlternateContent>
            </w:r>
            <w:r w:rsidR="00504135" w:rsidRPr="006F61B7">
              <w:rPr>
                <w:sz w:val="20"/>
                <w:szCs w:val="20"/>
              </w:rPr>
              <w:tab/>
            </w:r>
            <w:r w:rsidR="00504135">
              <w:rPr>
                <w:sz w:val="20"/>
                <w:szCs w:val="20"/>
              </w:rPr>
              <w:tab/>
            </w:r>
            <w:r w:rsidR="00504135">
              <w:rPr>
                <w:sz w:val="20"/>
                <w:szCs w:val="20"/>
              </w:rPr>
              <w:tab/>
            </w:r>
            <w:r w:rsidR="00504135" w:rsidRPr="006F61B7">
              <w:rPr>
                <w:sz w:val="20"/>
                <w:szCs w:val="20"/>
              </w:rPr>
              <w:fldChar w:fldCharType="begin"/>
            </w:r>
            <w:r w:rsidR="00504135" w:rsidRPr="006F61B7">
              <w:rPr>
                <w:sz w:val="20"/>
                <w:szCs w:val="20"/>
              </w:rPr>
              <w:instrText xml:space="preserve"> PAGE   \* MERGEFORMAT </w:instrText>
            </w:r>
            <w:r w:rsidR="00504135" w:rsidRPr="006F61B7">
              <w:rPr>
                <w:sz w:val="20"/>
                <w:szCs w:val="20"/>
              </w:rPr>
              <w:fldChar w:fldCharType="separate"/>
            </w:r>
            <w:r w:rsidR="00E30DBF">
              <w:rPr>
                <w:noProof/>
                <w:sz w:val="20"/>
                <w:szCs w:val="20"/>
              </w:rPr>
              <w:t>4</w:t>
            </w:r>
            <w:r w:rsidR="00504135" w:rsidRPr="006F61B7">
              <w:rPr>
                <w:noProof/>
                <w:sz w:val="20"/>
                <w:szCs w:val="20"/>
              </w:rPr>
              <w:fldChar w:fldCharType="end"/>
            </w:r>
          </w:sdtContent>
        </w:sdt>
        <w:r w:rsidR="00504135" w:rsidRPr="006F61B7">
          <w:rPr>
            <w:noProof/>
            <w:sz w:val="20"/>
            <w:szCs w:val="20"/>
          </w:rPr>
          <w:b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143556"/>
      <w:docPartObj>
        <w:docPartGallery w:val="Page Numbers (Bottom of Page)"/>
        <w:docPartUnique/>
      </w:docPartObj>
    </w:sdtPr>
    <w:sdtEndPr>
      <w:rPr>
        <w:noProof/>
        <w:sz w:val="20"/>
        <w:szCs w:val="20"/>
      </w:rPr>
    </w:sdtEndPr>
    <w:sdtContent>
      <w:p w:rsidR="00504135" w:rsidRPr="00563082" w:rsidRDefault="001340C3" w:rsidP="00FE1482">
        <w:pPr>
          <w:pStyle w:val="Footer"/>
          <w:tabs>
            <w:tab w:val="clear" w:pos="4513"/>
            <w:tab w:val="clear" w:pos="9026"/>
            <w:tab w:val="center" w:pos="5529"/>
            <w:tab w:val="left" w:pos="8222"/>
            <w:tab w:val="left" w:pos="10065"/>
          </w:tabs>
          <w:jc w:val="both"/>
          <w:rPr>
            <w:noProof/>
            <w:sz w:val="20"/>
            <w:szCs w:val="20"/>
          </w:rPr>
        </w:pPr>
        <w:sdt>
          <w:sdtPr>
            <w:rPr>
              <w:sz w:val="20"/>
              <w:szCs w:val="20"/>
            </w:rPr>
            <w:id w:val="-1473136259"/>
            <w:docPartObj>
              <w:docPartGallery w:val="Page Numbers (Bottom of Page)"/>
              <w:docPartUnique/>
            </w:docPartObj>
          </w:sdtPr>
          <w:sdtEndPr>
            <w:rPr>
              <w:noProof/>
            </w:rPr>
          </w:sdtEndPr>
          <w:sdtContent>
            <w:r w:rsidR="00504135">
              <w:rPr>
                <w:sz w:val="20"/>
                <w:szCs w:val="20"/>
              </w:rPr>
              <w:t>v2018.1</w:t>
            </w:r>
            <w:r w:rsidR="00504135" w:rsidRPr="006F61B7">
              <w:rPr>
                <w:sz w:val="20"/>
                <w:szCs w:val="20"/>
              </w:rPr>
              <w:tab/>
            </w:r>
            <w:r w:rsidR="00504135" w:rsidRPr="006F61B7">
              <w:rPr>
                <w:noProof/>
                <w:w w:val="100"/>
                <w:sz w:val="20"/>
                <w:szCs w:val="20"/>
                <w:lang w:eastAsia="en-AU"/>
              </w:rPr>
              <mc:AlternateContent>
                <mc:Choice Requires="wps">
                  <w:drawing>
                    <wp:anchor distT="0" distB="0" distL="114300" distR="114300" simplePos="0" relativeHeight="251669504" behindDoc="0" locked="0" layoutInCell="1" allowOverlap="1" wp14:anchorId="4CC60050" wp14:editId="6306E151">
                      <wp:simplePos x="0" y="0"/>
                      <wp:positionH relativeFrom="column">
                        <wp:posOffset>0</wp:posOffset>
                      </wp:positionH>
                      <wp:positionV relativeFrom="paragraph">
                        <wp:posOffset>-73660</wp:posOffset>
                      </wp:positionV>
                      <wp:extent cx="6648450" cy="47625"/>
                      <wp:effectExtent l="0" t="0" r="0" b="9525"/>
                      <wp:wrapNone/>
                      <wp:docPr id="10" name="Rectangle 1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152BC2" id="Rectangle 10" o:spid="_x0000_s1026" style="position:absolute;margin-left:0;margin-top:-5.8pt;width:523.5pt;height:3.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axlA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EE3NrGUAgAAhgUAAA4AAAAAAAAAAAAAAAAALgIAAGRycy9lMm9Eb2MueG1sUEsB&#10;Ai0AFAAGAAgAAAAhAATLDOraAAAACAEAAA8AAAAAAAAAAAAAAAAA7gQAAGRycy9kb3ducmV2Lnht&#10;bFBLBQYAAAAABAAEAPMAAAD1BQAAAAA=&#10;" fillcolor="#483a70" stroked="f" strokeweight="2pt"/>
                  </w:pict>
                </mc:Fallback>
              </mc:AlternateContent>
            </w:r>
            <w:r w:rsidR="00504135" w:rsidRPr="006F61B7">
              <w:rPr>
                <w:noProof/>
                <w:w w:val="100"/>
                <w:sz w:val="20"/>
                <w:szCs w:val="20"/>
                <w:lang w:eastAsia="en-AU"/>
              </w:rPr>
              <mc:AlternateContent>
                <mc:Choice Requires="wps">
                  <w:drawing>
                    <wp:anchor distT="0" distB="0" distL="114300" distR="114300" simplePos="0" relativeHeight="251672576" behindDoc="0" locked="0" layoutInCell="1" allowOverlap="1" wp14:anchorId="19FEBB9E" wp14:editId="5C70520C">
                      <wp:simplePos x="0" y="0"/>
                      <wp:positionH relativeFrom="column">
                        <wp:posOffset>0</wp:posOffset>
                      </wp:positionH>
                      <wp:positionV relativeFrom="paragraph">
                        <wp:posOffset>-73660</wp:posOffset>
                      </wp:positionV>
                      <wp:extent cx="6648450" cy="47625"/>
                      <wp:effectExtent l="0" t="0" r="0" b="9525"/>
                      <wp:wrapNone/>
                      <wp:docPr id="11" name="Rectangle 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FC3680" id="Rectangle 11" o:spid="_x0000_s1026" style="position:absolute;margin-left:0;margin-top:-5.8pt;width:523.5pt;height:3.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X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b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qB+pmyS8doH8zxqB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XlbXlQIAAIYFAAAOAAAAAAAAAAAAAAAAAC4CAABkcnMvZTJvRG9jLnhtbFBL&#10;AQItABQABgAIAAAAIQAEywzq2gAAAAgBAAAPAAAAAAAAAAAAAAAAAO8EAABkcnMvZG93bnJldi54&#10;bWxQSwUGAAAAAAQABADzAAAA9gUAAAAA&#10;" fillcolor="#483a70" stroked="f" strokeweight="2pt"/>
                  </w:pict>
                </mc:Fallback>
              </mc:AlternateContent>
            </w:r>
            <w:r w:rsidR="00504135" w:rsidRPr="006F61B7">
              <w:rPr>
                <w:sz w:val="20"/>
                <w:szCs w:val="20"/>
              </w:rPr>
              <w:fldChar w:fldCharType="begin"/>
            </w:r>
            <w:r w:rsidR="00504135" w:rsidRPr="006F61B7">
              <w:rPr>
                <w:sz w:val="20"/>
                <w:szCs w:val="20"/>
              </w:rPr>
              <w:instrText xml:space="preserve"> REF _Ref513635588 \h </w:instrText>
            </w:r>
            <w:r w:rsidR="00504135">
              <w:rPr>
                <w:sz w:val="20"/>
                <w:szCs w:val="20"/>
              </w:rPr>
              <w:instrText xml:space="preserve"> \* MERGEFORMAT </w:instrText>
            </w:r>
            <w:r w:rsidR="00504135" w:rsidRPr="006F61B7">
              <w:rPr>
                <w:sz w:val="20"/>
                <w:szCs w:val="20"/>
              </w:rPr>
            </w:r>
            <w:r w:rsidR="00504135" w:rsidRPr="006F61B7">
              <w:rPr>
                <w:sz w:val="20"/>
                <w:szCs w:val="20"/>
              </w:rPr>
              <w:fldChar w:fldCharType="separate"/>
            </w:r>
            <w:r w:rsidR="00504135" w:rsidRPr="004F6742">
              <w:rPr>
                <w:sz w:val="20"/>
                <w:szCs w:val="20"/>
              </w:rPr>
              <w:t>15 Physical security for entity resources</w:t>
            </w:r>
            <w:r w:rsidR="00504135" w:rsidRPr="006F61B7">
              <w:rPr>
                <w:sz w:val="20"/>
                <w:szCs w:val="20"/>
              </w:rPr>
              <w:fldChar w:fldCharType="end"/>
            </w:r>
            <w:r w:rsidR="00504135" w:rsidRPr="006F61B7">
              <w:rPr>
                <w:noProof/>
                <w:w w:val="100"/>
                <w:sz w:val="20"/>
                <w:szCs w:val="20"/>
                <w:lang w:eastAsia="en-AU"/>
              </w:rPr>
              <mc:AlternateContent>
                <mc:Choice Requires="wps">
                  <w:drawing>
                    <wp:anchor distT="0" distB="0" distL="114300" distR="114300" simplePos="0" relativeHeight="251663360" behindDoc="0" locked="0" layoutInCell="1" allowOverlap="1" wp14:anchorId="5C08724C" wp14:editId="4B15A294">
                      <wp:simplePos x="0" y="0"/>
                      <wp:positionH relativeFrom="column">
                        <wp:posOffset>0</wp:posOffset>
                      </wp:positionH>
                      <wp:positionV relativeFrom="paragraph">
                        <wp:posOffset>-73660</wp:posOffset>
                      </wp:positionV>
                      <wp:extent cx="6648450" cy="47625"/>
                      <wp:effectExtent l="0" t="0" r="0" b="9525"/>
                      <wp:wrapNone/>
                      <wp:docPr id="13" name="Rectangle 1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53BEA2" id="Rectangle 13" o:spid="_x0000_s1026" style="position:absolute;margin-left:0;margin-top:-5.8pt;width:523.5pt;height:3.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JYb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AjJYblQIAAIYFAAAOAAAAAAAAAAAAAAAAAC4CAABkcnMvZTJvRG9jLnhtbFBL&#10;AQItABQABgAIAAAAIQAEywzq2gAAAAgBAAAPAAAAAAAAAAAAAAAAAO8EAABkcnMvZG93bnJldi54&#10;bWxQSwUGAAAAAAQABADzAAAA9gUAAAAA&#10;" fillcolor="#483a70" stroked="f" strokeweight="2pt"/>
                  </w:pict>
                </mc:Fallback>
              </mc:AlternateContent>
            </w:r>
            <w:r w:rsidR="00504135" w:rsidRPr="006F61B7">
              <w:rPr>
                <w:noProof/>
                <w:w w:val="100"/>
                <w:sz w:val="20"/>
                <w:szCs w:val="20"/>
                <w:lang w:eastAsia="en-AU"/>
              </w:rPr>
              <mc:AlternateContent>
                <mc:Choice Requires="wps">
                  <w:drawing>
                    <wp:anchor distT="0" distB="0" distL="114300" distR="114300" simplePos="0" relativeHeight="251666432" behindDoc="0" locked="0" layoutInCell="1" allowOverlap="1" wp14:anchorId="180AE0DC" wp14:editId="74610A45">
                      <wp:simplePos x="0" y="0"/>
                      <wp:positionH relativeFrom="column">
                        <wp:posOffset>0</wp:posOffset>
                      </wp:positionH>
                      <wp:positionV relativeFrom="paragraph">
                        <wp:posOffset>-73660</wp:posOffset>
                      </wp:positionV>
                      <wp:extent cx="6648450" cy="47625"/>
                      <wp:effectExtent l="0" t="0" r="0" b="9525"/>
                      <wp:wrapNone/>
                      <wp:docPr id="15" name="Rectangle 1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D354A7" id="Rectangle 15" o:spid="_x0000_s1026" style="position:absolute;margin-left:0;margin-top:-5.8pt;width:523.5pt;height:3.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" fillcolor="#483a70" stroked="f" strokeweight="2pt"/>
                  </w:pict>
                </mc:Fallback>
              </mc:AlternateContent>
            </w:r>
            <w:r w:rsidR="00504135" w:rsidRPr="006F61B7">
              <w:rPr>
                <w:sz w:val="20"/>
                <w:szCs w:val="20"/>
              </w:rPr>
              <w:tab/>
            </w:r>
            <w:r w:rsidR="00504135">
              <w:rPr>
                <w:sz w:val="20"/>
                <w:szCs w:val="20"/>
              </w:rPr>
              <w:tab/>
            </w:r>
            <w:r w:rsidR="00504135">
              <w:rPr>
                <w:sz w:val="20"/>
                <w:szCs w:val="20"/>
              </w:rPr>
              <w:tab/>
            </w:r>
            <w:r w:rsidR="00504135" w:rsidRPr="006F61B7">
              <w:rPr>
                <w:sz w:val="20"/>
                <w:szCs w:val="20"/>
              </w:rPr>
              <w:fldChar w:fldCharType="begin"/>
            </w:r>
            <w:r w:rsidR="00504135" w:rsidRPr="006F61B7">
              <w:rPr>
                <w:sz w:val="20"/>
                <w:szCs w:val="20"/>
              </w:rPr>
              <w:instrText xml:space="preserve"> PAGE   \* MERGEFORMAT </w:instrText>
            </w:r>
            <w:r w:rsidR="00504135" w:rsidRPr="006F61B7">
              <w:rPr>
                <w:sz w:val="20"/>
                <w:szCs w:val="20"/>
              </w:rPr>
              <w:fldChar w:fldCharType="separate"/>
            </w:r>
            <w:r w:rsidR="00E30DBF">
              <w:rPr>
                <w:noProof/>
                <w:sz w:val="20"/>
                <w:szCs w:val="20"/>
              </w:rPr>
              <w:t>1</w:t>
            </w:r>
            <w:r w:rsidR="00504135" w:rsidRPr="006F61B7">
              <w:rPr>
                <w:noProof/>
                <w:sz w:val="20"/>
                <w:szCs w:val="20"/>
              </w:rPr>
              <w:fldChar w:fldCharType="end"/>
            </w:r>
          </w:sdtContent>
        </w:sdt>
        <w:r w:rsidR="00504135" w:rsidRPr="006F61B7">
          <w:rPr>
            <w:noProof/>
            <w:sz w:val="20"/>
            <w:szCs w:val="20"/>
          </w:rPr>
          <w:b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106198198"/>
      <w:docPartObj>
        <w:docPartGallery w:val="Page Numbers (Bottom of Page)"/>
        <w:docPartUnique/>
      </w:docPartObj>
    </w:sdtPr>
    <w:sdtEndPr>
      <w:rPr>
        <w:noProof/>
      </w:rPr>
    </w:sdtEndPr>
    <w:sdtContent>
      <w:p w:rsidR="00504135" w:rsidRPr="006F61B7" w:rsidRDefault="001340C3" w:rsidP="00D24E4D">
        <w:pPr>
          <w:pStyle w:val="Footer"/>
          <w:tabs>
            <w:tab w:val="clear" w:pos="4513"/>
            <w:tab w:val="clear" w:pos="9026"/>
            <w:tab w:val="center" w:pos="5529"/>
            <w:tab w:val="left" w:pos="8222"/>
            <w:tab w:val="left" w:pos="9498"/>
          </w:tabs>
          <w:ind w:right="-24"/>
          <w:jc w:val="both"/>
          <w:rPr>
            <w:sz w:val="20"/>
            <w:szCs w:val="20"/>
          </w:rPr>
        </w:pPr>
        <w:sdt>
          <w:sdtPr>
            <w:rPr>
              <w:sz w:val="20"/>
              <w:szCs w:val="20"/>
            </w:rPr>
            <w:id w:val="-1896112714"/>
            <w:docPartObj>
              <w:docPartGallery w:val="Page Numbers (Bottom of Page)"/>
              <w:docPartUnique/>
            </w:docPartObj>
          </w:sdtPr>
          <w:sdtEndPr>
            <w:rPr>
              <w:noProof/>
            </w:rPr>
          </w:sdtEndPr>
          <w:sdtContent>
            <w:r w:rsidR="00504135">
              <w:rPr>
                <w:sz w:val="20"/>
                <w:szCs w:val="20"/>
              </w:rPr>
              <w:t>v2018.2</w:t>
            </w:r>
            <w:r w:rsidR="00504135" w:rsidRPr="006F61B7">
              <w:rPr>
                <w:sz w:val="20"/>
                <w:szCs w:val="20"/>
              </w:rPr>
              <w:tab/>
            </w:r>
            <w:r w:rsidR="00504135" w:rsidRPr="006F61B7">
              <w:rPr>
                <w:noProof/>
                <w:w w:val="100"/>
                <w:sz w:val="20"/>
                <w:szCs w:val="20"/>
                <w:lang w:eastAsia="en-AU"/>
              </w:rPr>
              <mc:AlternateContent>
                <mc:Choice Requires="wps">
                  <w:drawing>
                    <wp:anchor distT="0" distB="0" distL="114300" distR="114300" simplePos="0" relativeHeight="251698176" behindDoc="0" locked="0" layoutInCell="1" allowOverlap="1" wp14:anchorId="1E875404" wp14:editId="48AEDA38">
                      <wp:simplePos x="0" y="0"/>
                      <wp:positionH relativeFrom="column">
                        <wp:posOffset>0</wp:posOffset>
                      </wp:positionH>
                      <wp:positionV relativeFrom="paragraph">
                        <wp:posOffset>-73660</wp:posOffset>
                      </wp:positionV>
                      <wp:extent cx="6648450" cy="47625"/>
                      <wp:effectExtent l="0" t="0" r="0" b="9525"/>
                      <wp:wrapNone/>
                      <wp:docPr id="32" name="Rectangle 3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DD60A1" id="Rectangle 32" o:spid="_x0000_s1026" style="position:absolute;margin-left:0;margin-top:-5.8pt;width:523.5pt;height:3.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8n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wl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Y9o8TqZjtA/meNQIzTOtjWWMSiphJcUuuAx4FK5CtyNo8Ui1XCYzGlgn&#10;wq19dDKCR1ZjXz7tnwW6vnkDdf0dHOdWzN/0cGcbPS0stw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dvo/J5YCAACGBQAADgAAAAAAAAAAAAAAAAAuAgAAZHJzL2Uyb0RvYy54bWxQ&#10;SwECLQAUAAYACAAAACEABMsM6toAAAAIAQAADwAAAAAAAAAAAAAAAADwBAAAZHJzL2Rvd25yZXYu&#10;eG1sUEsFBgAAAAAEAAQA8wAAAPcFAAAAAA==&#10;" fillcolor="#483a70" stroked="f" strokeweight="2pt"/>
                  </w:pict>
                </mc:Fallback>
              </mc:AlternateContent>
            </w:r>
            <w:r w:rsidR="00504135" w:rsidRPr="006F61B7">
              <w:rPr>
                <w:noProof/>
                <w:w w:val="100"/>
                <w:sz w:val="20"/>
                <w:szCs w:val="20"/>
                <w:lang w:eastAsia="en-AU"/>
              </w:rPr>
              <mc:AlternateContent>
                <mc:Choice Requires="wps">
                  <w:drawing>
                    <wp:anchor distT="0" distB="0" distL="114300" distR="114300" simplePos="0" relativeHeight="251699200" behindDoc="0" locked="0" layoutInCell="1" allowOverlap="1" wp14:anchorId="76F67C18" wp14:editId="6903982E">
                      <wp:simplePos x="0" y="0"/>
                      <wp:positionH relativeFrom="column">
                        <wp:posOffset>0</wp:posOffset>
                      </wp:positionH>
                      <wp:positionV relativeFrom="paragraph">
                        <wp:posOffset>-73660</wp:posOffset>
                      </wp:positionV>
                      <wp:extent cx="6648450" cy="47625"/>
                      <wp:effectExtent l="0" t="0" r="0" b="9525"/>
                      <wp:wrapNone/>
                      <wp:docPr id="33" name="Rectangle 3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78A791" id="Rectangle 33" o:spid="_x0000_s1026" style="position:absolute;margin-left:0;margin-top:-5.8pt;width:523.5pt;height:3.7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9B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CZNfQZYCAACGBQAADgAAAAAAAAAAAAAAAAAuAgAAZHJzL2Uyb0RvYy54bWxQ&#10;SwECLQAUAAYACAAAACEABMsM6toAAAAIAQAADwAAAAAAAAAAAAAAAADwBAAAZHJzL2Rvd25yZXYu&#10;eG1sUEsFBgAAAAAEAAQA8wAAAPcFAAAAAA==&#10;" fillcolor="#483a70" stroked="f" strokeweight="2pt"/>
                  </w:pict>
                </mc:Fallback>
              </mc:AlternateContent>
            </w:r>
            <w:r w:rsidR="00504135" w:rsidRPr="006F61B7">
              <w:rPr>
                <w:sz w:val="20"/>
                <w:szCs w:val="20"/>
              </w:rPr>
              <w:fldChar w:fldCharType="begin"/>
            </w:r>
            <w:r w:rsidR="00504135" w:rsidRPr="006F61B7">
              <w:rPr>
                <w:sz w:val="20"/>
                <w:szCs w:val="20"/>
              </w:rPr>
              <w:instrText xml:space="preserve"> REF _Ref513635588 \h </w:instrText>
            </w:r>
            <w:r w:rsidR="00504135">
              <w:rPr>
                <w:sz w:val="20"/>
                <w:szCs w:val="20"/>
              </w:rPr>
              <w:instrText xml:space="preserve"> \* MERGEFORMAT </w:instrText>
            </w:r>
            <w:r w:rsidR="00504135" w:rsidRPr="006F61B7">
              <w:rPr>
                <w:sz w:val="20"/>
                <w:szCs w:val="20"/>
              </w:rPr>
            </w:r>
            <w:r w:rsidR="00504135" w:rsidRPr="006F61B7">
              <w:rPr>
                <w:sz w:val="20"/>
                <w:szCs w:val="20"/>
              </w:rPr>
              <w:fldChar w:fldCharType="separate"/>
            </w:r>
            <w:r w:rsidR="00504135" w:rsidRPr="004F6742">
              <w:rPr>
                <w:sz w:val="20"/>
                <w:szCs w:val="20"/>
              </w:rPr>
              <w:t>15 Physical security for entity resources</w:t>
            </w:r>
            <w:r w:rsidR="00504135" w:rsidRPr="006F61B7">
              <w:rPr>
                <w:sz w:val="20"/>
                <w:szCs w:val="20"/>
              </w:rPr>
              <w:fldChar w:fldCharType="end"/>
            </w:r>
            <w:r w:rsidR="00504135">
              <w:rPr>
                <w:sz w:val="20"/>
                <w:szCs w:val="20"/>
              </w:rPr>
              <w:tab/>
            </w:r>
            <w:r w:rsidR="00504135" w:rsidRPr="006F61B7">
              <w:rPr>
                <w:noProof/>
                <w:w w:val="100"/>
                <w:sz w:val="20"/>
                <w:szCs w:val="20"/>
                <w:lang w:eastAsia="en-AU"/>
              </w:rPr>
              <mc:AlternateContent>
                <mc:Choice Requires="wps">
                  <w:drawing>
                    <wp:anchor distT="0" distB="0" distL="114300" distR="114300" simplePos="0" relativeHeight="251685888" behindDoc="0" locked="0" layoutInCell="1" allowOverlap="1" wp14:anchorId="49F21977" wp14:editId="67C7D4A0">
                      <wp:simplePos x="0" y="0"/>
                      <wp:positionH relativeFrom="column">
                        <wp:posOffset>0</wp:posOffset>
                      </wp:positionH>
                      <wp:positionV relativeFrom="paragraph">
                        <wp:posOffset>-73660</wp:posOffset>
                      </wp:positionV>
                      <wp:extent cx="6648450" cy="47625"/>
                      <wp:effectExtent l="0" t="0" r="0" b="9525"/>
                      <wp:wrapNone/>
                      <wp:docPr id="24" name="Rectangle 2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EBF83B" id="Rectangle 24" o:spid="_x0000_s1026" style="position:absolute;margin-left:0;margin-top:-5.8pt;width:523.5pt;height: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9Np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Sc6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xh9NplQIAAIYFAAAOAAAAAAAAAAAAAAAAAC4CAABkcnMvZTJvRG9jLnhtbFBL&#10;AQItABQABgAIAAAAIQAEywzq2gAAAAgBAAAPAAAAAAAAAAAAAAAAAO8EAABkcnMvZG93bnJldi54&#10;bWxQSwUGAAAAAAQABADzAAAA9gUAAAAA&#10;" fillcolor="#483a70" stroked="f" strokeweight="2pt"/>
                  </w:pict>
                </mc:Fallback>
              </mc:AlternateContent>
            </w:r>
            <w:r w:rsidR="00504135" w:rsidRPr="006F61B7">
              <w:rPr>
                <w:noProof/>
                <w:w w:val="100"/>
                <w:sz w:val="20"/>
                <w:szCs w:val="20"/>
                <w:lang w:eastAsia="en-AU"/>
              </w:rPr>
              <mc:AlternateContent>
                <mc:Choice Requires="wps">
                  <w:drawing>
                    <wp:anchor distT="0" distB="0" distL="114300" distR="114300" simplePos="0" relativeHeight="251686912" behindDoc="0" locked="0" layoutInCell="1" allowOverlap="1" wp14:anchorId="7834FBA0" wp14:editId="23A632D8">
                      <wp:simplePos x="0" y="0"/>
                      <wp:positionH relativeFrom="column">
                        <wp:posOffset>0</wp:posOffset>
                      </wp:positionH>
                      <wp:positionV relativeFrom="paragraph">
                        <wp:posOffset>-73660</wp:posOffset>
                      </wp:positionV>
                      <wp:extent cx="6648450" cy="47625"/>
                      <wp:effectExtent l="0" t="0" r="0" b="9525"/>
                      <wp:wrapNone/>
                      <wp:docPr id="25" name="Rectangle 2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433273" id="Rectangle 25" o:spid="_x0000_s1026" style="position:absolute;margin-left:0;margin-top:-5.8pt;width:523.5pt;height:3.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" fillcolor="#483a70" stroked="f" strokeweight="2pt"/>
                  </w:pict>
                </mc:Fallback>
              </mc:AlternateContent>
            </w:r>
            <w:r w:rsidR="00504135" w:rsidRPr="006F61B7">
              <w:rPr>
                <w:sz w:val="20"/>
                <w:szCs w:val="20"/>
              </w:rPr>
              <w:tab/>
            </w:r>
            <w:r w:rsidR="00504135">
              <w:rPr>
                <w:sz w:val="20"/>
                <w:szCs w:val="20"/>
              </w:rPr>
              <w:fldChar w:fldCharType="begin"/>
            </w:r>
            <w:r w:rsidR="00504135">
              <w:rPr>
                <w:sz w:val="20"/>
                <w:szCs w:val="20"/>
              </w:rPr>
              <w:instrText xml:space="preserve"> REF _Ref520116970 \r \h </w:instrText>
            </w:r>
            <w:r w:rsidR="00504135">
              <w:rPr>
                <w:sz w:val="20"/>
                <w:szCs w:val="20"/>
              </w:rPr>
            </w:r>
            <w:r w:rsidR="00504135">
              <w:rPr>
                <w:sz w:val="20"/>
                <w:szCs w:val="20"/>
              </w:rPr>
              <w:fldChar w:fldCharType="separate"/>
            </w:r>
            <w:r w:rsidR="00504135">
              <w:rPr>
                <w:sz w:val="20"/>
                <w:szCs w:val="20"/>
              </w:rPr>
              <w:t>Annex A</w:t>
            </w:r>
            <w:r w:rsidR="00504135">
              <w:rPr>
                <w:sz w:val="20"/>
                <w:szCs w:val="20"/>
              </w:rPr>
              <w:fldChar w:fldCharType="end"/>
            </w:r>
            <w:r w:rsidR="00504135" w:rsidRPr="006F61B7">
              <w:rPr>
                <w:sz w:val="20"/>
                <w:szCs w:val="20"/>
              </w:rPr>
              <w:t>-</w:t>
            </w:r>
            <w:r w:rsidR="00504135" w:rsidRPr="006F61B7">
              <w:rPr>
                <w:sz w:val="20"/>
                <w:szCs w:val="20"/>
              </w:rPr>
              <w:fldChar w:fldCharType="begin"/>
            </w:r>
            <w:r w:rsidR="00504135" w:rsidRPr="006F61B7">
              <w:rPr>
                <w:sz w:val="20"/>
                <w:szCs w:val="20"/>
              </w:rPr>
              <w:instrText xml:space="preserve"> PAGE   \* MERGEFORMAT </w:instrText>
            </w:r>
            <w:r w:rsidR="00504135" w:rsidRPr="006F61B7">
              <w:rPr>
                <w:sz w:val="20"/>
                <w:szCs w:val="20"/>
              </w:rPr>
              <w:fldChar w:fldCharType="separate"/>
            </w:r>
            <w:r w:rsidR="00E30DBF">
              <w:rPr>
                <w:noProof/>
                <w:sz w:val="20"/>
                <w:szCs w:val="20"/>
              </w:rPr>
              <w:t>1</w:t>
            </w:r>
            <w:r w:rsidR="00504135" w:rsidRPr="006F61B7">
              <w:rPr>
                <w:noProof/>
                <w:sz w:val="20"/>
                <w:szCs w:val="20"/>
              </w:rPr>
              <w:fldChar w:fldCharType="end"/>
            </w:r>
          </w:sdtContent>
        </w:sdt>
        <w:r w:rsidR="00504135" w:rsidRPr="006F61B7">
          <w:rPr>
            <w:noProof/>
            <w:sz w:val="20"/>
            <w:szCs w:val="20"/>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0C3" w:rsidRDefault="001340C3" w:rsidP="007D070A">
      <w:pPr>
        <w:spacing w:after="0"/>
      </w:pPr>
      <w:r>
        <w:separator/>
      </w:r>
    </w:p>
  </w:footnote>
  <w:footnote w:type="continuationSeparator" w:id="0">
    <w:p w:rsidR="001340C3" w:rsidRDefault="001340C3" w:rsidP="007D070A">
      <w:pPr>
        <w:spacing w:after="0"/>
      </w:pPr>
      <w:r>
        <w:continuationSeparator/>
      </w:r>
    </w:p>
  </w:footnote>
  <w:footnote w:id="1">
    <w:p w:rsidR="00504135" w:rsidRDefault="00504135" w:rsidP="00AF38FE">
      <w:pPr>
        <w:pStyle w:val="Footnote"/>
      </w:pPr>
      <w:r>
        <w:rPr>
          <w:rStyle w:val="FootnoteReference"/>
        </w:rPr>
        <w:footnoteRef/>
      </w:r>
      <w:r>
        <w:t xml:space="preserve"> Prior versions of the PSPF included the business impact level of ‘significant business impact’. For reference, this level (3A) is provided at </w:t>
      </w:r>
      <w:r w:rsidRPr="00920EB6">
        <w:rPr>
          <w:b/>
        </w:rPr>
        <w:fldChar w:fldCharType="begin"/>
      </w:r>
      <w:r w:rsidRPr="00920EB6">
        <w:rPr>
          <w:b/>
        </w:rPr>
        <w:instrText xml:space="preserve"> REF _Ref520116970 \r \h  \* MERGEFORMAT </w:instrText>
      </w:r>
      <w:r w:rsidRPr="00920EB6">
        <w:rPr>
          <w:b/>
        </w:rPr>
      </w:r>
      <w:r w:rsidRPr="00920EB6">
        <w:rPr>
          <w:b/>
        </w:rPr>
        <w:fldChar w:fldCharType="separate"/>
      </w:r>
      <w:r w:rsidRPr="00920EB6">
        <w:rPr>
          <w:b/>
        </w:rPr>
        <w:t>Annex A</w:t>
      </w:r>
      <w:r w:rsidRPr="00920EB6">
        <w:rPr>
          <w:b/>
        </w:rPr>
        <w:fldChar w:fldCharType="end"/>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135" w:rsidRDefault="00504135" w:rsidP="00DE000A">
    <w:pPr>
      <w:pStyle w:val="Header"/>
      <w:spacing w:before="240"/>
    </w:pPr>
    <w:r w:rsidRPr="006F61B7">
      <w:rPr>
        <w:sz w:val="20"/>
        <w:szCs w:val="20"/>
      </w:rPr>
      <w:t>Protective Security Policy Framework</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135" w:rsidRDefault="00504135" w:rsidP="00FE1482">
    <w:pPr>
      <w:pStyle w:val="Header"/>
    </w:pPr>
    <w:r>
      <w:rPr>
        <w:noProof/>
        <w:w w:val="100"/>
        <w:lang w:eastAsia="en-AU"/>
      </w:rPr>
      <mc:AlternateContent>
        <mc:Choice Requires="wps">
          <w:drawing>
            <wp:anchor distT="0" distB="0" distL="114300" distR="114300" simplePos="0" relativeHeight="251660288" behindDoc="0" locked="0" layoutInCell="1" allowOverlap="1" wp14:anchorId="7F70C56D" wp14:editId="2452DEEF">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4135" w:rsidRPr="00361D34" w:rsidRDefault="00504135" w:rsidP="00FE14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70C56D" id="_x0000_t202" coordsize="21600,21600" o:spt="202" path="m,l,21600r21600,l21600,xe">
              <v:stroke joinstyle="miter"/>
              <v:path gradientshapeok="t" o:connecttype="rect"/>
            </v:shapetype>
            <v:shape id="Text Box 36" o:spid="_x0000_s1026" type="#_x0000_t202" style="position:absolute;margin-left:159pt;margin-top:80.25pt;width:409.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rsidR="00504135" w:rsidRPr="00361D34" w:rsidRDefault="00504135" w:rsidP="00FE14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56192" behindDoc="1" locked="0" layoutInCell="1" allowOverlap="1" wp14:anchorId="1A3F45BA" wp14:editId="0862AE51">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2" name="Picture 2"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15:restartNumberingAfterBreak="0">
    <w:nsid w:val="02DF4923"/>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C4324CC"/>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35CC8"/>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13375EDE"/>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4D61C4C"/>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1B6A68D3"/>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206B4FDF"/>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23576C6F"/>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28673F78"/>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2E8844B4"/>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2F342811"/>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34722FC1"/>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354970F4"/>
    <w:multiLevelType w:val="hybridMultilevel"/>
    <w:tmpl w:val="CBC6F9C6"/>
    <w:lvl w:ilvl="0" w:tplc="E0E42EB2">
      <w:start w:val="1"/>
      <w:numFmt w:val="decimal"/>
      <w:pStyle w:val="Numberedparagraph"/>
      <w:lvlText w:val="%1."/>
      <w:lvlJc w:val="left"/>
      <w:pPr>
        <w:ind w:left="360" w:hanging="360"/>
      </w:pPr>
      <w:rPr>
        <w:rFonts w:ascii="Arial Narrow" w:hAnsi="Arial Narrow" w:hint="default"/>
        <w:b w:val="0"/>
        <w:sz w:val="18"/>
        <w:szCs w:val="18"/>
      </w:rPr>
    </w:lvl>
    <w:lvl w:ilvl="1" w:tplc="0C090019">
      <w:start w:val="1"/>
      <w:numFmt w:val="lowerLetter"/>
      <w:lvlText w:val="%2."/>
      <w:lvlJc w:val="left"/>
      <w:pPr>
        <w:ind w:left="928" w:hanging="360"/>
      </w:pPr>
      <w:rPr>
        <w:rFonts w:hint="default"/>
        <w:b w:val="0"/>
        <w:sz w:val="20"/>
        <w:szCs w:val="20"/>
      </w:rPr>
    </w:lvl>
    <w:lvl w:ilvl="2" w:tplc="0C09001B">
      <w:start w:val="1"/>
      <w:numFmt w:val="lowerRoman"/>
      <w:lvlText w:val="%3."/>
      <w:lvlJc w:val="right"/>
      <w:pPr>
        <w:ind w:left="1315" w:hanging="180"/>
      </w:pPr>
    </w:lvl>
    <w:lvl w:ilvl="3" w:tplc="0C090017">
      <w:start w:val="1"/>
      <w:numFmt w:val="lowerLetter"/>
      <w:lvlText w:val="%4)"/>
      <w:lvlJc w:val="left"/>
      <w:pPr>
        <w:ind w:left="2735" w:hanging="360"/>
      </w:pPr>
    </w:lvl>
    <w:lvl w:ilvl="4" w:tplc="0C090019" w:tentative="1">
      <w:start w:val="1"/>
      <w:numFmt w:val="lowerLetter"/>
      <w:lvlText w:val="%5."/>
      <w:lvlJc w:val="left"/>
      <w:pPr>
        <w:ind w:left="3455" w:hanging="360"/>
      </w:pPr>
    </w:lvl>
    <w:lvl w:ilvl="5" w:tplc="0C09001B" w:tentative="1">
      <w:start w:val="1"/>
      <w:numFmt w:val="lowerRoman"/>
      <w:lvlText w:val="%6."/>
      <w:lvlJc w:val="right"/>
      <w:pPr>
        <w:ind w:left="4175" w:hanging="180"/>
      </w:pPr>
    </w:lvl>
    <w:lvl w:ilvl="6" w:tplc="0C09000F" w:tentative="1">
      <w:start w:val="1"/>
      <w:numFmt w:val="decimal"/>
      <w:lvlText w:val="%7."/>
      <w:lvlJc w:val="left"/>
      <w:pPr>
        <w:ind w:left="4895" w:hanging="360"/>
      </w:pPr>
    </w:lvl>
    <w:lvl w:ilvl="7" w:tplc="0C090019" w:tentative="1">
      <w:start w:val="1"/>
      <w:numFmt w:val="lowerLetter"/>
      <w:lvlText w:val="%8."/>
      <w:lvlJc w:val="left"/>
      <w:pPr>
        <w:ind w:left="5615" w:hanging="360"/>
      </w:pPr>
    </w:lvl>
    <w:lvl w:ilvl="8" w:tplc="0C09001B" w:tentative="1">
      <w:start w:val="1"/>
      <w:numFmt w:val="lowerRoman"/>
      <w:lvlText w:val="%9."/>
      <w:lvlJc w:val="right"/>
      <w:pPr>
        <w:ind w:left="6335" w:hanging="180"/>
      </w:pPr>
    </w:lvl>
  </w:abstractNum>
  <w:abstractNum w:abstractNumId="15" w15:restartNumberingAfterBreak="0">
    <w:nsid w:val="369C2CC0"/>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6A04AD9"/>
    <w:multiLevelType w:val="hybridMultilevel"/>
    <w:tmpl w:val="485AFAC6"/>
    <w:lvl w:ilvl="0" w:tplc="D75678AC">
      <w:start w:val="1"/>
      <w:numFmt w:val="bullet"/>
      <w:lvlText w:val=""/>
      <w:lvlJc w:val="left"/>
      <w:pPr>
        <w:ind w:left="993" w:hanging="360"/>
      </w:pPr>
      <w:rPr>
        <w:rFonts w:ascii="Symbol" w:hAnsi="Symbol" w:hint="default"/>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pStyle w:val="Dot3"/>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7" w15:restartNumberingAfterBreak="0">
    <w:nsid w:val="36C31BC2"/>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3D790473"/>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3F240F73"/>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444F5D65"/>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22" w15:restartNumberingAfterBreak="0">
    <w:nsid w:val="47403149"/>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 w15:restartNumberingAfterBreak="0">
    <w:nsid w:val="49534074"/>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D9C2255"/>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50175312"/>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 w15:restartNumberingAfterBreak="0">
    <w:nsid w:val="504E7A51"/>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 w15:restartNumberingAfterBreak="0">
    <w:nsid w:val="50D074EF"/>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54AC01EF"/>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5E8A2278"/>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5F115487"/>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33" w15:restartNumberingAfterBreak="0">
    <w:nsid w:val="612E7CE9"/>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4" w15:restartNumberingAfterBreak="0">
    <w:nsid w:val="63A15FB9"/>
    <w:multiLevelType w:val="multilevel"/>
    <w:tmpl w:val="8B108E1E"/>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B7F2B49"/>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7" w15:restartNumberingAfterBreak="0">
    <w:nsid w:val="74CE614E"/>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8" w15:restartNumberingAfterBreak="0">
    <w:nsid w:val="74ED6DDD"/>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9" w15:restartNumberingAfterBreak="0">
    <w:nsid w:val="75686220"/>
    <w:multiLevelType w:val="hybridMultilevel"/>
    <w:tmpl w:val="461AA046"/>
    <w:lvl w:ilvl="0" w:tplc="0F348542">
      <w:start w:val="1"/>
      <w:numFmt w:val="lowerLetter"/>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79546DB9"/>
    <w:multiLevelType w:val="hybridMultilevel"/>
    <w:tmpl w:val="00E00C52"/>
    <w:lvl w:ilvl="0" w:tplc="0DA494EC">
      <w:start w:val="1"/>
      <w:numFmt w:val="lowerLetter"/>
      <w:pStyle w:val="ListBullet2"/>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1" w15:restartNumberingAfterBreak="0">
    <w:nsid w:val="7AEF6BCD"/>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2" w15:restartNumberingAfterBreak="0">
    <w:nsid w:val="7FFA78A9"/>
    <w:multiLevelType w:val="hybridMultilevel"/>
    <w:tmpl w:val="B5BA557E"/>
    <w:lvl w:ilvl="0" w:tplc="211EEB94">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34"/>
  </w:num>
  <w:num w:numId="2">
    <w:abstractNumId w:val="3"/>
  </w:num>
  <w:num w:numId="3">
    <w:abstractNumId w:val="35"/>
  </w:num>
  <w:num w:numId="4">
    <w:abstractNumId w:val="39"/>
  </w:num>
  <w:num w:numId="5">
    <w:abstractNumId w:val="0"/>
  </w:num>
  <w:num w:numId="6">
    <w:abstractNumId w:val="24"/>
  </w:num>
  <w:num w:numId="7">
    <w:abstractNumId w:val="27"/>
  </w:num>
  <w:num w:numId="8">
    <w:abstractNumId w:val="21"/>
  </w:num>
  <w:num w:numId="9">
    <w:abstractNumId w:val="32"/>
  </w:num>
  <w:num w:numId="1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1"/>
    <w:lvlOverride w:ilvl="0">
      <w:startOverride w:val="1"/>
    </w:lvlOverride>
  </w:num>
  <w:num w:numId="13">
    <w:abstractNumId w:val="21"/>
    <w:lvlOverride w:ilvl="0">
      <w:startOverride w:val="1"/>
    </w:lvlOverride>
  </w:num>
  <w:num w:numId="14">
    <w:abstractNumId w:val="21"/>
    <w:lvlOverride w:ilvl="0">
      <w:startOverride w:val="1"/>
    </w:lvlOverride>
  </w:num>
  <w:num w:numId="15">
    <w:abstractNumId w:val="27"/>
    <w:lvlOverride w:ilvl="0">
      <w:startOverride w:val="1"/>
    </w:lvlOverride>
  </w:num>
  <w:num w:numId="16">
    <w:abstractNumId w:val="30"/>
  </w:num>
  <w:num w:numId="17">
    <w:abstractNumId w:val="2"/>
  </w:num>
  <w:num w:numId="18">
    <w:abstractNumId w:val="5"/>
  </w:num>
  <w:num w:numId="19">
    <w:abstractNumId w:val="15"/>
  </w:num>
  <w:num w:numId="20">
    <w:abstractNumId w:val="19"/>
  </w:num>
  <w:num w:numId="21">
    <w:abstractNumId w:val="38"/>
  </w:num>
  <w:num w:numId="22">
    <w:abstractNumId w:val="42"/>
  </w:num>
  <w:num w:numId="23">
    <w:abstractNumId w:val="18"/>
  </w:num>
  <w:num w:numId="24">
    <w:abstractNumId w:val="33"/>
  </w:num>
  <w:num w:numId="25">
    <w:abstractNumId w:val="20"/>
  </w:num>
  <w:num w:numId="26">
    <w:abstractNumId w:val="13"/>
  </w:num>
  <w:num w:numId="27">
    <w:abstractNumId w:val="10"/>
  </w:num>
  <w:num w:numId="28">
    <w:abstractNumId w:val="17"/>
  </w:num>
  <w:num w:numId="29">
    <w:abstractNumId w:val="31"/>
  </w:num>
  <w:num w:numId="30">
    <w:abstractNumId w:val="37"/>
  </w:num>
  <w:num w:numId="31">
    <w:abstractNumId w:val="22"/>
  </w:num>
  <w:num w:numId="32">
    <w:abstractNumId w:val="11"/>
  </w:num>
  <w:num w:numId="33">
    <w:abstractNumId w:val="25"/>
  </w:num>
  <w:num w:numId="34">
    <w:abstractNumId w:val="8"/>
  </w:num>
  <w:num w:numId="35">
    <w:abstractNumId w:val="40"/>
  </w:num>
  <w:num w:numId="36">
    <w:abstractNumId w:val="23"/>
  </w:num>
  <w:num w:numId="37">
    <w:abstractNumId w:val="12"/>
  </w:num>
  <w:num w:numId="38">
    <w:abstractNumId w:val="36"/>
  </w:num>
  <w:num w:numId="39">
    <w:abstractNumId w:val="7"/>
  </w:num>
  <w:num w:numId="40">
    <w:abstractNumId w:val="6"/>
  </w:num>
  <w:num w:numId="41">
    <w:abstractNumId w:val="41"/>
  </w:num>
  <w:num w:numId="42">
    <w:abstractNumId w:val="26"/>
  </w:num>
  <w:num w:numId="43">
    <w:abstractNumId w:val="1"/>
  </w:num>
  <w:num w:numId="44">
    <w:abstractNumId w:val="9"/>
  </w:num>
  <w:num w:numId="45">
    <w:abstractNumId w:val="4"/>
  </w:num>
  <w:num w:numId="46">
    <w:abstractNumId w:val="28"/>
  </w:num>
  <w:num w:numId="47">
    <w:abstractNumId w:val="29"/>
  </w:num>
  <w:num w:numId="48">
    <w:abstractNumId w:val="34"/>
  </w:num>
  <w:num w:numId="49">
    <w:abstractNumId w:val="34"/>
  </w:num>
  <w:num w:numId="50">
    <w:abstractNumId w:val="34"/>
  </w:num>
  <w:num w:numId="51">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ttachedTemplate r:id="rId1"/>
  <w:defaultTabStop w:val="720"/>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8A0"/>
    <w:rsid w:val="00013891"/>
    <w:rsid w:val="00032AA3"/>
    <w:rsid w:val="00051865"/>
    <w:rsid w:val="000B60A9"/>
    <w:rsid w:val="000E2A27"/>
    <w:rsid w:val="00102781"/>
    <w:rsid w:val="00104039"/>
    <w:rsid w:val="00112957"/>
    <w:rsid w:val="00116E26"/>
    <w:rsid w:val="001340C3"/>
    <w:rsid w:val="0018725A"/>
    <w:rsid w:val="001A66C9"/>
    <w:rsid w:val="001B671D"/>
    <w:rsid w:val="001D527B"/>
    <w:rsid w:val="001D7DF5"/>
    <w:rsid w:val="001E1E54"/>
    <w:rsid w:val="002002FE"/>
    <w:rsid w:val="00227A31"/>
    <w:rsid w:val="002313EA"/>
    <w:rsid w:val="00242F34"/>
    <w:rsid w:val="002467E3"/>
    <w:rsid w:val="0028047D"/>
    <w:rsid w:val="002B74C0"/>
    <w:rsid w:val="002C6FE3"/>
    <w:rsid w:val="002D0D7F"/>
    <w:rsid w:val="002F6FC7"/>
    <w:rsid w:val="003041A9"/>
    <w:rsid w:val="00321AAA"/>
    <w:rsid w:val="00332602"/>
    <w:rsid w:val="003353F1"/>
    <w:rsid w:val="00353D53"/>
    <w:rsid w:val="00361D34"/>
    <w:rsid w:val="003658C8"/>
    <w:rsid w:val="00375231"/>
    <w:rsid w:val="003833DB"/>
    <w:rsid w:val="003A1E66"/>
    <w:rsid w:val="003C306F"/>
    <w:rsid w:val="003C3957"/>
    <w:rsid w:val="00412BA8"/>
    <w:rsid w:val="0044340A"/>
    <w:rsid w:val="004540EF"/>
    <w:rsid w:val="004644FD"/>
    <w:rsid w:val="00494ED2"/>
    <w:rsid w:val="004A71B0"/>
    <w:rsid w:val="004B478D"/>
    <w:rsid w:val="004D0C20"/>
    <w:rsid w:val="004D6DD7"/>
    <w:rsid w:val="004D75F6"/>
    <w:rsid w:val="004E53E1"/>
    <w:rsid w:val="004F6742"/>
    <w:rsid w:val="00501184"/>
    <w:rsid w:val="00504135"/>
    <w:rsid w:val="00521E37"/>
    <w:rsid w:val="00524711"/>
    <w:rsid w:val="00555668"/>
    <w:rsid w:val="00563082"/>
    <w:rsid w:val="00570DD5"/>
    <w:rsid w:val="00572AA1"/>
    <w:rsid w:val="00583024"/>
    <w:rsid w:val="005939F8"/>
    <w:rsid w:val="005B028C"/>
    <w:rsid w:val="005B28C9"/>
    <w:rsid w:val="005C252B"/>
    <w:rsid w:val="005F46FF"/>
    <w:rsid w:val="00630D3C"/>
    <w:rsid w:val="0064735D"/>
    <w:rsid w:val="00675F97"/>
    <w:rsid w:val="0068552B"/>
    <w:rsid w:val="00690842"/>
    <w:rsid w:val="00693A88"/>
    <w:rsid w:val="006A13FF"/>
    <w:rsid w:val="006A207B"/>
    <w:rsid w:val="006A62AB"/>
    <w:rsid w:val="006A6FDD"/>
    <w:rsid w:val="006C0917"/>
    <w:rsid w:val="006C3E3D"/>
    <w:rsid w:val="006C4952"/>
    <w:rsid w:val="006C6589"/>
    <w:rsid w:val="006C703A"/>
    <w:rsid w:val="006D06BF"/>
    <w:rsid w:val="006E5650"/>
    <w:rsid w:val="006E739A"/>
    <w:rsid w:val="006F61B7"/>
    <w:rsid w:val="007216E6"/>
    <w:rsid w:val="007423F9"/>
    <w:rsid w:val="0074446C"/>
    <w:rsid w:val="00794775"/>
    <w:rsid w:val="007A01AA"/>
    <w:rsid w:val="007A0D74"/>
    <w:rsid w:val="007A273A"/>
    <w:rsid w:val="007A64ED"/>
    <w:rsid w:val="007B450D"/>
    <w:rsid w:val="007D070A"/>
    <w:rsid w:val="007D6C5D"/>
    <w:rsid w:val="007F7821"/>
    <w:rsid w:val="008010A1"/>
    <w:rsid w:val="00802EEB"/>
    <w:rsid w:val="0082515F"/>
    <w:rsid w:val="00833A56"/>
    <w:rsid w:val="008524C3"/>
    <w:rsid w:val="008B268B"/>
    <w:rsid w:val="008B3F3E"/>
    <w:rsid w:val="008E1FD6"/>
    <w:rsid w:val="00920EB6"/>
    <w:rsid w:val="00944990"/>
    <w:rsid w:val="0095477F"/>
    <w:rsid w:val="00963508"/>
    <w:rsid w:val="009736A7"/>
    <w:rsid w:val="00975276"/>
    <w:rsid w:val="009D5C37"/>
    <w:rsid w:val="009F034B"/>
    <w:rsid w:val="009F0A03"/>
    <w:rsid w:val="00A013AF"/>
    <w:rsid w:val="00A01CB4"/>
    <w:rsid w:val="00A01E03"/>
    <w:rsid w:val="00A05362"/>
    <w:rsid w:val="00A116E1"/>
    <w:rsid w:val="00A3006A"/>
    <w:rsid w:val="00A65978"/>
    <w:rsid w:val="00A742F1"/>
    <w:rsid w:val="00AB2E30"/>
    <w:rsid w:val="00AD6609"/>
    <w:rsid w:val="00AE420A"/>
    <w:rsid w:val="00AF0947"/>
    <w:rsid w:val="00AF38FE"/>
    <w:rsid w:val="00B12627"/>
    <w:rsid w:val="00B5653A"/>
    <w:rsid w:val="00B649DD"/>
    <w:rsid w:val="00B92107"/>
    <w:rsid w:val="00B95357"/>
    <w:rsid w:val="00B965B1"/>
    <w:rsid w:val="00BC62A7"/>
    <w:rsid w:val="00BE0C77"/>
    <w:rsid w:val="00C166C3"/>
    <w:rsid w:val="00C476D5"/>
    <w:rsid w:val="00C55025"/>
    <w:rsid w:val="00C80ED8"/>
    <w:rsid w:val="00C91014"/>
    <w:rsid w:val="00CA7C8A"/>
    <w:rsid w:val="00CD13CA"/>
    <w:rsid w:val="00CE1D87"/>
    <w:rsid w:val="00D06CDC"/>
    <w:rsid w:val="00D11ABB"/>
    <w:rsid w:val="00D24426"/>
    <w:rsid w:val="00D24E4D"/>
    <w:rsid w:val="00D318A0"/>
    <w:rsid w:val="00D32FED"/>
    <w:rsid w:val="00D47E88"/>
    <w:rsid w:val="00D54799"/>
    <w:rsid w:val="00D575DF"/>
    <w:rsid w:val="00D61220"/>
    <w:rsid w:val="00D75316"/>
    <w:rsid w:val="00D927EA"/>
    <w:rsid w:val="00D9331D"/>
    <w:rsid w:val="00DA5924"/>
    <w:rsid w:val="00DC0374"/>
    <w:rsid w:val="00DC4297"/>
    <w:rsid w:val="00DE000A"/>
    <w:rsid w:val="00DE0F69"/>
    <w:rsid w:val="00E127AD"/>
    <w:rsid w:val="00E30DBF"/>
    <w:rsid w:val="00E40E5F"/>
    <w:rsid w:val="00E52CD5"/>
    <w:rsid w:val="00E56A7A"/>
    <w:rsid w:val="00E70E9D"/>
    <w:rsid w:val="00E73A5C"/>
    <w:rsid w:val="00E75D3F"/>
    <w:rsid w:val="00E8299A"/>
    <w:rsid w:val="00E9474F"/>
    <w:rsid w:val="00ED4DDD"/>
    <w:rsid w:val="00EE0CF7"/>
    <w:rsid w:val="00F11732"/>
    <w:rsid w:val="00F1300A"/>
    <w:rsid w:val="00F17F69"/>
    <w:rsid w:val="00F552E9"/>
    <w:rsid w:val="00F5763E"/>
    <w:rsid w:val="00F60BF2"/>
    <w:rsid w:val="00F61E54"/>
    <w:rsid w:val="00F62A59"/>
    <w:rsid w:val="00F81F31"/>
    <w:rsid w:val="00F85A60"/>
    <w:rsid w:val="00F95CD6"/>
    <w:rsid w:val="00FB5CFE"/>
    <w:rsid w:val="00FC5A20"/>
    <w:rsid w:val="00FD4A3C"/>
    <w:rsid w:val="00FE1482"/>
    <w:rsid w:val="00FF1BD3"/>
    <w:rsid w:val="00FF2AB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3"/>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3"/>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7D6C5D"/>
    <w:pPr>
      <w:numPr>
        <w:numId w:val="1"/>
      </w:numPr>
    </w:pPr>
  </w:style>
  <w:style w:type="paragraph" w:styleId="ListBullet2">
    <w:name w:val="List Bullet 2"/>
    <w:basedOn w:val="ListBullet"/>
    <w:autoRedefine/>
    <w:uiPriority w:val="99"/>
    <w:unhideWhenUsed/>
    <w:qFormat/>
    <w:rsid w:val="001D7DF5"/>
    <w:pPr>
      <w:numPr>
        <w:numId w:val="35"/>
      </w:numPr>
      <w:contextualSpacing w:val="0"/>
    </w:pPr>
    <w:rPr>
      <w:color w:val="000000" w:themeColor="text1"/>
    </w:r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8"/>
      </w:numPr>
    </w:pPr>
  </w:style>
  <w:style w:type="paragraph" w:styleId="ListBullet4">
    <w:name w:val="List Bullet 4"/>
    <w:basedOn w:val="Normal"/>
    <w:uiPriority w:val="99"/>
    <w:unhideWhenUsed/>
    <w:qFormat/>
    <w:rsid w:val="00C166C3"/>
    <w:pPr>
      <w:numPr>
        <w:numId w:val="9"/>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A742F1"/>
    <w:rPr>
      <w:bCs w:val="0"/>
    </w:rPr>
  </w:style>
  <w:style w:type="paragraph" w:customStyle="1" w:styleId="Tablebodybullet2">
    <w:name w:val="Table body bullet 2"/>
    <w:basedOn w:val="Tablebodybullet1"/>
    <w:qFormat/>
    <w:rsid w:val="00A742F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nhideWhenUsed/>
    <w:rsid w:val="00116E26"/>
    <w:pPr>
      <w:spacing w:after="0"/>
    </w:pPr>
    <w:rPr>
      <w:sz w:val="20"/>
      <w:szCs w:val="20"/>
    </w:rPr>
  </w:style>
  <w:style w:type="character" w:customStyle="1" w:styleId="FootnoteTextChar">
    <w:name w:val="Footnote Text Char"/>
    <w:basedOn w:val="DefaultParagraphFont"/>
    <w:link w:val="FootnoteText"/>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unhideWhenUsed/>
    <w:qFormat/>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ind w:left="0"/>
    </w:p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34"/>
    <w:qFormat/>
    <w:rsid w:val="00D318A0"/>
    <w:pPr>
      <w:spacing w:after="0"/>
      <w:ind w:left="720"/>
      <w:contextualSpacing/>
    </w:pPr>
    <w:rPr>
      <w:rFonts w:ascii="Arial Narrow" w:hAnsi="Arial Narrow" w:cs="Times New Roman"/>
      <w:w w:val="100"/>
      <w:kern w:val="0"/>
      <w:sz w:val="2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34"/>
    <w:locked/>
    <w:rsid w:val="00D318A0"/>
    <w:rPr>
      <w:rFonts w:ascii="Arial Narrow" w:eastAsia="Calibri" w:hAnsi="Arial Narrow" w:cs="Times New Roman"/>
      <w:sz w:val="20"/>
    </w:rPr>
  </w:style>
  <w:style w:type="paragraph" w:customStyle="1" w:styleId="Dot3">
    <w:name w:val="Dot 3"/>
    <w:basedOn w:val="Normal"/>
    <w:uiPriority w:val="99"/>
    <w:qFormat/>
    <w:rsid w:val="00D318A0"/>
    <w:pPr>
      <w:numPr>
        <w:ilvl w:val="2"/>
        <w:numId w:val="10"/>
      </w:numPr>
      <w:spacing w:before="120" w:after="0"/>
      <w:ind w:left="-3622" w:hanging="425"/>
    </w:pPr>
    <w:rPr>
      <w:rFonts w:ascii="Arial Narrow" w:eastAsiaTheme="minorHAnsi" w:hAnsi="Arial Narrow" w:cs="Times New Roman"/>
      <w:w w:val="100"/>
      <w:kern w:val="0"/>
      <w:sz w:val="20"/>
    </w:rPr>
  </w:style>
  <w:style w:type="paragraph" w:customStyle="1" w:styleId="Numberedparagraph">
    <w:name w:val="Numbered paragraph"/>
    <w:basedOn w:val="ListParagraph"/>
    <w:link w:val="NumberedparagraphChar"/>
    <w:qFormat/>
    <w:rsid w:val="00D318A0"/>
    <w:pPr>
      <w:widowControl w:val="0"/>
      <w:numPr>
        <w:numId w:val="11"/>
      </w:numPr>
      <w:tabs>
        <w:tab w:val="left" w:pos="284"/>
      </w:tabs>
    </w:pPr>
    <w:rPr>
      <w:rFonts w:cstheme="minorHAnsi"/>
      <w:szCs w:val="20"/>
    </w:rPr>
  </w:style>
  <w:style w:type="character" w:customStyle="1" w:styleId="NumberedparagraphChar">
    <w:name w:val="Numbered paragraph Char"/>
    <w:link w:val="Numberedparagraph"/>
    <w:rsid w:val="00D318A0"/>
    <w:rPr>
      <w:rFonts w:ascii="Arial Narrow" w:eastAsia="Calibri" w:hAnsi="Arial Narrow" w:cstheme="minorHAnsi"/>
      <w:sz w:val="20"/>
      <w:szCs w:val="20"/>
    </w:rPr>
  </w:style>
  <w:style w:type="paragraph" w:customStyle="1" w:styleId="TableText">
    <w:name w:val="Table Text"/>
    <w:basedOn w:val="Normal"/>
    <w:link w:val="TableTextChar"/>
    <w:qFormat/>
    <w:rsid w:val="00C91014"/>
    <w:pPr>
      <w:spacing w:before="60" w:after="60"/>
    </w:pPr>
    <w:rPr>
      <w:rFonts w:ascii="Arial Narrow" w:eastAsia="Times New Roman" w:hAnsi="Arial Narrow" w:cs="Times New Roman"/>
      <w:w w:val="100"/>
      <w:kern w:val="0"/>
      <w:sz w:val="18"/>
      <w:lang w:val="en-US" w:eastAsia="en-AU" w:bidi="en-US"/>
    </w:rPr>
  </w:style>
  <w:style w:type="character" w:customStyle="1" w:styleId="TableTextChar">
    <w:name w:val="Table Text Char"/>
    <w:link w:val="TableText"/>
    <w:rsid w:val="00C91014"/>
    <w:rPr>
      <w:rFonts w:ascii="Arial Narrow" w:eastAsia="Times New Roman" w:hAnsi="Arial Narrow" w:cs="Times New Roman"/>
      <w:sz w:val="18"/>
      <w:lang w:val="en-US" w:eastAsia="en-AU" w:bidi="en-US"/>
    </w:rPr>
  </w:style>
  <w:style w:type="character" w:styleId="CommentReference">
    <w:name w:val="annotation reference"/>
    <w:basedOn w:val="DefaultParagraphFont"/>
    <w:uiPriority w:val="99"/>
    <w:semiHidden/>
    <w:unhideWhenUsed/>
    <w:rsid w:val="00690842"/>
    <w:rPr>
      <w:sz w:val="16"/>
      <w:szCs w:val="16"/>
    </w:rPr>
  </w:style>
  <w:style w:type="paragraph" w:styleId="CommentText">
    <w:name w:val="annotation text"/>
    <w:basedOn w:val="Normal"/>
    <w:link w:val="CommentTextChar"/>
    <w:uiPriority w:val="99"/>
    <w:semiHidden/>
    <w:unhideWhenUsed/>
    <w:rsid w:val="00690842"/>
    <w:rPr>
      <w:sz w:val="20"/>
      <w:szCs w:val="20"/>
    </w:rPr>
  </w:style>
  <w:style w:type="character" w:customStyle="1" w:styleId="CommentTextChar">
    <w:name w:val="Comment Text Char"/>
    <w:basedOn w:val="DefaultParagraphFont"/>
    <w:link w:val="CommentText"/>
    <w:uiPriority w:val="99"/>
    <w:semiHidden/>
    <w:rsid w:val="00690842"/>
    <w:rPr>
      <w:rFonts w:ascii="Calibri" w:eastAsia="Calibri" w:hAnsi="Calibri" w:cs="Calibri"/>
      <w:w w:val="105"/>
      <w:kern w:val="40"/>
      <w:sz w:val="20"/>
      <w:szCs w:val="20"/>
    </w:rPr>
  </w:style>
  <w:style w:type="paragraph" w:styleId="CommentSubject">
    <w:name w:val="annotation subject"/>
    <w:basedOn w:val="CommentText"/>
    <w:next w:val="CommentText"/>
    <w:link w:val="CommentSubjectChar"/>
    <w:uiPriority w:val="99"/>
    <w:semiHidden/>
    <w:unhideWhenUsed/>
    <w:rsid w:val="00690842"/>
    <w:rPr>
      <w:b/>
      <w:bCs/>
    </w:rPr>
  </w:style>
  <w:style w:type="character" w:customStyle="1" w:styleId="CommentSubjectChar">
    <w:name w:val="Comment Subject Char"/>
    <w:basedOn w:val="CommentTextChar"/>
    <w:link w:val="CommentSubject"/>
    <w:uiPriority w:val="99"/>
    <w:semiHidden/>
    <w:rsid w:val="00690842"/>
    <w:rPr>
      <w:rFonts w:ascii="Calibri" w:eastAsia="Calibri" w:hAnsi="Calibri" w:cs="Calibri"/>
      <w:b/>
      <w:bCs/>
      <w:w w:val="105"/>
      <w:kern w:val="4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www.protectivesecurity.gov.au/information/sensitive-classified-information/Pages/default.aspx" TargetMode="External"/><Relationship Id="rId39" Type="http://schemas.openxmlformats.org/officeDocument/2006/relationships/hyperlink" Target="https://acsc.gov.au/infosec/ism/index.htm" TargetMode="External"/><Relationship Id="rId3" Type="http://schemas.openxmlformats.org/officeDocument/2006/relationships/customXml" Target="../customXml/item3.xml"/><Relationship Id="rId21" Type="http://schemas.openxmlformats.org/officeDocument/2006/relationships/hyperlink" Target="https://www.legislation.gov.au/Details/C2017C00305" TargetMode="External"/><Relationship Id="rId34" Type="http://schemas.openxmlformats.org/officeDocument/2006/relationships/hyperlink" Target="https://www.protectivesecurity.gov.au/physical/entity-facilities/Pages/default.aspx" TargetMode="External"/><Relationship Id="rId42" Type="http://schemas.openxmlformats.org/officeDocument/2006/relationships/hyperlink" Target="https://www.protectivesecurity.gov.au/information/sensitive-classified-information/Pages/default.aspx" TargetMode="External"/><Relationship Id="rId47" Type="http://schemas.openxmlformats.org/officeDocument/2006/relationships/hyperlink" Target="https://www.protectivesecurity.gov.au/information/sensitive-classified-information/Pages/default.aspx" TargetMode="External"/><Relationship Id="rId50" Type="http://schemas.openxmlformats.org/officeDocument/2006/relationships/hyperlink" Target="https://www.legislation.gov.au/Details/C2017C00305"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www.protectivesecurity.gov.au/information/sensitive-classified-information/Pages/default.aspx" TargetMode="External"/><Relationship Id="rId33" Type="http://schemas.openxmlformats.org/officeDocument/2006/relationships/hyperlink" Target="http://author-pspfnew.agdnet.ag.gov.au/information/sensitive-classified-information/Pages/default.aspx" TargetMode="External"/><Relationship Id="rId38" Type="http://schemas.openxmlformats.org/officeDocument/2006/relationships/hyperlink" Target="https://acsc.gov.au/infosec/ism/index.htm" TargetMode="External"/><Relationship Id="rId46" Type="http://schemas.openxmlformats.org/officeDocument/2006/relationships/hyperlink" Target="https://www.protectivesecurity.gov.au/pages/Results.aspx?k=seepl&amp;cs=This%20Site&amp;u=http%3A%2F%2Fwww.protectivesecurity.gov.au%2Fphysicalsecurity"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legislation.gov.au/Details/C2017C00305" TargetMode="External"/><Relationship Id="rId29" Type="http://schemas.openxmlformats.org/officeDocument/2006/relationships/hyperlink" Target="https://www.protectivesecurity.gov.au/physical/entity-facilities/Pages/default.aspx" TargetMode="External"/><Relationship Id="rId41" Type="http://schemas.openxmlformats.org/officeDocument/2006/relationships/hyperlink" Target="https://acsc.gov.au/infosec/ism/index.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emerse\AppData\Roaming\Hewlett-Packard\HP%20TRIM\Offline%20Records%20(AG)\PSPF%20reforms%20-%20PHYSEC%20-%202017\Hyperlink" TargetMode="External"/><Relationship Id="rId32" Type="http://schemas.openxmlformats.org/officeDocument/2006/relationships/hyperlink" Target="https://govdex.gov.au/confluence/display/AGDPSP/ASIO+Technical+Notes" TargetMode="External"/><Relationship Id="rId37" Type="http://schemas.openxmlformats.org/officeDocument/2006/relationships/hyperlink" Target="https://www.protectivesecurity.gov.au/information/robust-ict-systems/Pages/default.aspx" TargetMode="External"/><Relationship Id="rId40" Type="http://schemas.openxmlformats.org/officeDocument/2006/relationships/hyperlink" Target="https://www.protectivesecurity.gov.au/governance/security-planning-risk-management/Pages/default.aspx" TargetMode="External"/><Relationship Id="rId45" Type="http://schemas.openxmlformats.org/officeDocument/2006/relationships/hyperlink" Target="https://www.protectivesecurity.gov.au/physical/entity-facilities/Pages/default.aspx"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protectivesecurity.gov.au/information/sensitive-classified-information/Pages/default.aspx" TargetMode="External"/><Relationship Id="rId28" Type="http://schemas.openxmlformats.org/officeDocument/2006/relationships/hyperlink" Target="https://www.scec.gov.au/" TargetMode="External"/><Relationship Id="rId36" Type="http://schemas.openxmlformats.org/officeDocument/2006/relationships/hyperlink" Target="https://www.protectivesecurity.gov.au/physical/entity-facilities/Pages/default.aspx" TargetMode="External"/><Relationship Id="rId49" Type="http://schemas.openxmlformats.org/officeDocument/2006/relationships/hyperlink" Target="file:///C:\Users\devinr\AppData\Roaming\Hewlett-Packard\HP%20TRIM\Offline%20Records%20(AG)\PHYSEC%20-%202018(4)\Hyperlink" TargetMode="External"/><Relationship Id="rId10" Type="http://schemas.openxmlformats.org/officeDocument/2006/relationships/settings" Target="settings.xml"/><Relationship Id="rId19" Type="http://schemas.openxmlformats.org/officeDocument/2006/relationships/hyperlink" Target="https://www.protectivesecurity.gov.au/governance/security-planning-risk-management/Pages/default.aspx" TargetMode="External"/><Relationship Id="rId31" Type="http://schemas.openxmlformats.org/officeDocument/2006/relationships/hyperlink" Target="https://www.standards.org.au/standards-catalogue/sa-snz/manufacturing/ms-058/as-slash-nzs--3809-1998" TargetMode="External"/><Relationship Id="rId44" Type="http://schemas.openxmlformats.org/officeDocument/2006/relationships/hyperlink" Target="https://www.protectivesecurity.gov.au/information/sensitive-classified-information/Pages/default.aspx"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legislation.gov.au/Details/C2017C00305" TargetMode="External"/><Relationship Id="rId22" Type="http://schemas.openxmlformats.org/officeDocument/2006/relationships/hyperlink" Target="https://www.protectivesecurity.gov.au/physical/entity-facilities/Pages/default.aspx" TargetMode="External"/><Relationship Id="rId27" Type="http://schemas.openxmlformats.org/officeDocument/2006/relationships/hyperlink" Target="https://www.protectivesecurity.gov.au/physical/entity-facilities/Pages/default.aspx" TargetMode="External"/><Relationship Id="rId30" Type="http://schemas.openxmlformats.org/officeDocument/2006/relationships/hyperlink" Target="https://www.protectivesecurity.gov.au/information/sensitive-classified-information/Pages/default.aspx" TargetMode="External"/><Relationship Id="rId35" Type="http://schemas.openxmlformats.org/officeDocument/2006/relationships/hyperlink" Target="https://www.protectivesecurity.gov.au/physical/entity-facilities/Pages/default.aspx" TargetMode="External"/><Relationship Id="rId43" Type="http://schemas.openxmlformats.org/officeDocument/2006/relationships/hyperlink" Target="http://www.asd.gov.au/infosec/ism/index.htm" TargetMode="External"/><Relationship Id="rId48" Type="http://schemas.openxmlformats.org/officeDocument/2006/relationships/hyperlink" Target="https://www.protectivesecurity.gov.au/governance/security-planning-risk-management/Pages/default.aspx" TargetMode="External"/><Relationship Id="rId8" Type="http://schemas.openxmlformats.org/officeDocument/2006/relationships/numbering" Target="numbering.xml"/><Relationship Id="rId51" Type="http://schemas.openxmlformats.org/officeDocument/2006/relationships/hyperlink" Target="https://www.asd.gov.au/infosec/ism/"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s://www.protectivesecurity.gov.au/information/sensitive-classified-information/Pages/default.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st\AppData\Local\Microsoft\Windows\Temporary%20Internet%20Files\Content.Outlook\6LZ6EJ71\PSPF%20Minimum%20Requirements%20and%20Guidance%20-%20Template%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AGD standard document</p:Name>
  <p:Description>This is the template for use in the creation of all AGD document content types</p:Description>
  <p:Statement/>
  <p:PolicyItems>
    <p:PolicyItem featureId="Microsoft.Office.RecordsManagement.PolicyFeatures.PolicyAudit" staticId="0x010100AFB54AE2FFB7AF408B7756CD373CF197|8138272" UniqueId="e7e801f8-3906-4dbd-b968-f95fe503f189">
      <p:Name>Auditing</p:Name>
      <p:Description>Audits user actions on documents and list items to the Audit Log.</p:Description>
      <p:CustomData>
        <Audit>
          <Update/>
          <View/>
          <CheckInOut/>
          <MoveCopy/>
          <DeleteRestore/>
        </Audit>
      </p:CustomData>
    </p:PolicyItem>
  </p:PolicyItems>
</p:Policy>
</file>

<file path=customXml/item2.xml><?xml version="1.0" encoding="utf-8"?>
<?mso-contentType ?>
<SharedContentType xmlns="Microsoft.SharePoint.Taxonomy.ContentTypeSync" SourceId="e339f249-2a4e-491e-850f-2386a2ca010f" ContentTypeId="0x010100AFB54AE2FFB7AF408B7756CD373CF197" PreviousValue="false"/>
</file>

<file path=customXml/item3.xml><?xml version="1.0" encoding="utf-8"?>
<?mso-contentType ?>
<spe:Receivers xmlns:spe="http://schemas.microsoft.com/sharepoint/events">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21/12/2011 12:30:29 AM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21/12/2011 12:30:29 AM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21/12/2011 12:30:29 AM</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f240a0170264e5ca0a4ac4df6a4adf7 xmlns="4f0e3ebe-c64f-4ffc-92d1-60196c9274b5">
      <Terms xmlns="http://schemas.microsoft.com/office/infopath/2007/PartnerControls">
        <TermInfo xmlns="http://schemas.microsoft.com/office/infopath/2007/PartnerControls">
          <TermName xmlns="http://schemas.microsoft.com/office/infopath/2007/PartnerControls">Attorney-General's Department</TermName>
          <TermId xmlns="http://schemas.microsoft.com/office/infopath/2007/PartnerControls">c281c3f2-80ff-44a1-b91f-c6c543d93cc6</TermId>
        </TermInfo>
      </Terms>
    </lf240a0170264e5ca0a4ac4df6a4adf7>
    <File_x0020_Classification xmlns="6b42b109-1ac5-4733-bb0b-b82b76079e3f" xsi:nil="true"/>
    <_dlc_DocId xmlns="938d80d1-dd26-414d-85d8-b25d0f4d0023">7DXNPFMSTJEP-80-519</_dlc_DocId>
    <TaxCatchAll xmlns="6b42b109-1ac5-4733-bb0b-b82b76079e3f">
      <Value>59</Value>
    </TaxCatchAll>
    <_dlc_DocIdUrl xmlns="938d80d1-dd26-414d-85d8-b25d0f4d0023">
      <Url>http://applications.agdnet.ag.gov.au/_layouts/15/DocIdRedir.aspx?ID=7DXNPFMSTJEP-80-519</Url>
      <Description>7DXNPFMSTJEP-80-519</Description>
    </_dlc_DocIdUrl>
    <Function xmlns="4f0e3ebe-c64f-4ffc-92d1-60196c9274b5">General</Function>
  </documentManagement>
</p:properties>
</file>

<file path=customXml/item6.xml><?xml version="1.0" encoding="utf-8"?>
<ct:contentTypeSchema xmlns:ct="http://schemas.microsoft.com/office/2006/metadata/contentType" xmlns:ma="http://schemas.microsoft.com/office/2006/metadata/properties/metaAttributes" ct:_="" ma:_="" ma:contentTypeName="AGD standard document" ma:contentTypeID="0x010100AFB54AE2FFB7AF408B7756CD373CF197001320AC9382E3C646B11655637227D64F" ma:contentTypeVersion="57" ma:contentTypeDescription="This is the configured document type for creation of all AGD document level content types" ma:contentTypeScope="" ma:versionID="1b4d9cf886db0491dedd7412c534d18b">
  <xsd:schema xmlns:xsd="http://www.w3.org/2001/XMLSchema" xmlns:xs="http://www.w3.org/2001/XMLSchema" xmlns:p="http://schemas.microsoft.com/office/2006/metadata/properties" xmlns:ns1="http://schemas.microsoft.com/sharepoint/v3" xmlns:ns2="4f0e3ebe-c64f-4ffc-92d1-60196c9274b5" xmlns:ns3="6b42b109-1ac5-4733-bb0b-b82b76079e3f" xmlns:ns4="938d80d1-dd26-414d-85d8-b25d0f4d0023" targetNamespace="http://schemas.microsoft.com/office/2006/metadata/properties" ma:root="true" ma:fieldsID="8a959250f120c548398b4342d036a723" ns1:_="" ns2:_="" ns3:_="" ns4:_="">
    <xsd:import namespace="http://schemas.microsoft.com/sharepoint/v3"/>
    <xsd:import namespace="4f0e3ebe-c64f-4ffc-92d1-60196c9274b5"/>
    <xsd:import namespace="6b42b109-1ac5-4733-bb0b-b82b76079e3f"/>
    <xsd:import namespace="938d80d1-dd26-414d-85d8-b25d0f4d0023"/>
    <xsd:element name="properties">
      <xsd:complexType>
        <xsd:sequence>
          <xsd:element name="documentManagement">
            <xsd:complexType>
              <xsd:all>
                <xsd:element ref="ns2:Function"/>
                <xsd:element ref="ns2:lf240a0170264e5ca0a4ac4df6a4adf7" minOccurs="0"/>
                <xsd:element ref="ns3:TaxCatchAll" minOccurs="0"/>
                <xsd:element ref="ns1:_dlc_Exempt" minOccurs="0"/>
                <xsd:element ref="ns3:File_x0020_Classification" minOccurs="0"/>
                <xsd:element ref="ns4:_dlc_DocId" minOccurs="0"/>
                <xsd:element ref="ns4:_dlc_DocIdUrl" minOccurs="0"/>
                <xsd:element ref="ns4:_dlc_DocIdPersistId" minOccurs="0"/>
                <xsd:element ref="ns3:TaxCatchAllLabe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8"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0e3ebe-c64f-4ffc-92d1-60196c9274b5" elementFormDefault="qualified">
    <xsd:import namespace="http://schemas.microsoft.com/office/2006/documentManagement/types"/>
    <xsd:import namespace="http://schemas.microsoft.com/office/infopath/2007/PartnerControls"/>
    <xsd:element name="Function" ma:index="2" ma:displayName="Function" ma:format="Dropdown" ma:internalName="Function">
      <xsd:simpleType>
        <xsd:union memberTypes="dms:Text">
          <xsd:simpleType>
            <xsd:restriction base="dms:Choice">
              <xsd:enumeration value="Briefing"/>
              <xsd:enumeration value="Fax"/>
              <xsd:enumeration value="File note"/>
              <xsd:enumeration value="General"/>
              <xsd:enumeration value="Legislation"/>
              <xsd:enumeration value="Letter"/>
              <xsd:enumeration value="Media Release"/>
              <xsd:enumeration value="Ministerial"/>
              <xsd:enumeration value="Minute"/>
              <xsd:enumeration value="Name Plate"/>
              <xsd:enumeration value="Presentation"/>
              <xsd:enumeration value="Question"/>
              <xsd:enumeration value="Report"/>
              <xsd:enumeration value="Speech"/>
              <xsd:enumeration value="Stationery"/>
              <xsd:enumeration value="Submission"/>
              <xsd:enumeration value="Talking Points"/>
            </xsd:restriction>
          </xsd:simpleType>
        </xsd:union>
      </xsd:simpleType>
    </xsd:element>
    <xsd:element name="lf240a0170264e5ca0a4ac4df6a4adf7" ma:index="6" ma:taxonomy="true" ma:internalName="lf240a0170264e5ca0a4ac4df6a4adf7" ma:taxonomyFieldName="Owner" ma:displayName="Owner" ma:readOnly="false" ma:default="" ma:fieldId="{5f240a01-7026-4e5c-a0a4-ac4df6a4adf7}" ma:sspId="e339f249-2a4e-491e-850f-2386a2ca010f" ma:termSetId="f594aa45-42e6-4854-b77b-8be4a312f08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42b109-1ac5-4733-bb0b-b82b76079e3f"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23690b91-78f9-4052-84cb-27c52849c8f7}" ma:internalName="TaxCatchAll" ma:showField="CatchAllData" ma:web="938d80d1-dd26-414d-85d8-b25d0f4d0023">
      <xsd:complexType>
        <xsd:complexContent>
          <xsd:extension base="dms:MultiChoiceLookup">
            <xsd:sequence>
              <xsd:element name="Value" type="dms:Lookup" maxOccurs="unbounded" minOccurs="0" nillable="true"/>
            </xsd:sequence>
          </xsd:extension>
        </xsd:complexContent>
      </xsd:complexType>
    </xsd:element>
    <xsd:element name="File_x0020_Classification" ma:index="9" nillable="true" ma:displayName="File Classification" ma:description="Security Classification for Files (Document Sets) within SharePoint. This is a departmental mandatory field." ma:format="Dropdown" ma:hidden="true" ma:internalName="File_x0020_Classification" ma:readOnly="false">
      <xsd:simpleType>
        <xsd:restriction base="dms:Choice">
          <xsd:enumeration value="Unclassified"/>
          <xsd:enumeration value="Protected"/>
        </xsd:restriction>
      </xsd:simpleType>
    </xsd:element>
    <xsd:element name="TaxCatchAllLabel" ma:index="13" nillable="true" ma:displayName="Taxonomy Catch All Column1" ma:hidden="true" ma:list="{23690b91-78f9-4052-84cb-27c52849c8f7}" ma:internalName="TaxCatchAllLabel" ma:readOnly="true" ma:showField="CatchAllDataLabel" ma:web="938d80d1-dd26-414d-85d8-b25d0f4d00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d80d1-dd26-414d-85d8-b25d0f4d0023"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333F2-41A6-401B-89FE-2A2168ABDE0E}">
  <ds:schemaRefs>
    <ds:schemaRef ds:uri="office.server.policy"/>
  </ds:schemaRefs>
</ds:datastoreItem>
</file>

<file path=customXml/itemProps2.xml><?xml version="1.0" encoding="utf-8"?>
<ds:datastoreItem xmlns:ds="http://schemas.openxmlformats.org/officeDocument/2006/customXml" ds:itemID="{9A87382F-40CF-4AAF-9024-91D82F6D067A}">
  <ds:schemaRefs>
    <ds:schemaRef ds:uri="Microsoft.SharePoint.Taxonomy.ContentTypeSync"/>
  </ds:schemaRefs>
</ds:datastoreItem>
</file>

<file path=customXml/itemProps3.xml><?xml version="1.0" encoding="utf-8"?>
<ds:datastoreItem xmlns:ds="http://schemas.openxmlformats.org/officeDocument/2006/customXml" ds:itemID="{B2FCDECC-82DB-4939-A3DD-7A401B9D596F}">
  <ds:schemaRefs>
    <ds:schemaRef ds:uri="http://schemas.microsoft.com/sharepoint/events"/>
  </ds:schemaRefs>
</ds:datastoreItem>
</file>

<file path=customXml/itemProps4.xml><?xml version="1.0" encoding="utf-8"?>
<ds:datastoreItem xmlns:ds="http://schemas.openxmlformats.org/officeDocument/2006/customXml" ds:itemID="{4E5DEE98-FA87-4D06-9CEC-37119F1DEE11}">
  <ds:schemaRefs>
    <ds:schemaRef ds:uri="http://schemas.microsoft.com/sharepoint/v3/contenttype/forms"/>
  </ds:schemaRefs>
</ds:datastoreItem>
</file>

<file path=customXml/itemProps5.xml><?xml version="1.0" encoding="utf-8"?>
<ds:datastoreItem xmlns:ds="http://schemas.openxmlformats.org/officeDocument/2006/customXml" ds:itemID="{E109A009-4202-4DE0-A1FB-53843DDEFF65}">
  <ds:schemaRefs>
    <ds:schemaRef ds:uri="http://schemas.microsoft.com/office/2006/metadata/properties"/>
    <ds:schemaRef ds:uri="http://schemas.microsoft.com/office/infopath/2007/PartnerControls"/>
    <ds:schemaRef ds:uri="4f0e3ebe-c64f-4ffc-92d1-60196c9274b5"/>
    <ds:schemaRef ds:uri="6b42b109-1ac5-4733-bb0b-b82b76079e3f"/>
    <ds:schemaRef ds:uri="938d80d1-dd26-414d-85d8-b25d0f4d0023"/>
  </ds:schemaRefs>
</ds:datastoreItem>
</file>

<file path=customXml/itemProps6.xml><?xml version="1.0" encoding="utf-8"?>
<ds:datastoreItem xmlns:ds="http://schemas.openxmlformats.org/officeDocument/2006/customXml" ds:itemID="{AEDA0201-29B1-40A2-BB66-242CD3729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0e3ebe-c64f-4ffc-92d1-60196c9274b5"/>
    <ds:schemaRef ds:uri="6b42b109-1ac5-4733-bb0b-b82b76079e3f"/>
    <ds:schemaRef ds:uri="938d80d1-dd26-414d-85d8-b25d0f4d0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2E3D6F-FD59-4B46-A191-D0AF01E1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PSPF Minimum Requirements and Guidance - Template (3)</Template>
  <TotalTime>0</TotalTime>
  <Pages>1</Pages>
  <Words>7403</Words>
  <Characters>42203</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2020-02-20T00:43:00Z</dcterms:created>
  <dcterms:modified xsi:type="dcterms:W3CDTF">2020-02-20T00:43:00Z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fabe963f-979c-4f98-90e2-1644ad13a1a8</vt:lpwstr>
  </property>
  <property fmtid="{D5CDD505-2E9C-101B-9397-08002B2CF9AE}" pid="3" name="Owner">
    <vt:lpwstr>59;#Attorney-General's Department|c281c3f2-80ff-44a1-b91f-c6c543d93cc6</vt:lpwstr>
  </property>
  <property fmtid="{D5CDD505-2E9C-101B-9397-08002B2CF9AE}" pid="4" name="ContentTypeId">
    <vt:lpwstr>0x010100AFB54AE2FFB7AF408B7756CD373CF197001320AC9382E3C646B11655637227D64F</vt:lpwstr>
  </property>
</Properties>
</file>