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3EBF" w:rsidRDefault="001F3EBF" w:rsidP="001F3EBF">
      <w:pPr>
        <w:pStyle w:val="Caption"/>
      </w:pPr>
      <w:bookmarkStart w:id="0" w:name="_Ref520122342"/>
      <w:r>
        <w:t xml:space="preserve">Table </w:t>
      </w:r>
      <w:bookmarkEnd w:id="0"/>
      <w:r w:rsidR="00881108">
        <w:t>3</w:t>
      </w:r>
      <w:r>
        <w:t xml:space="preserve"> </w:t>
      </w:r>
      <w:r w:rsidRPr="00475168">
        <w:t>Physical protections for security zones—</w:t>
      </w:r>
      <w:r>
        <w:t>l</w:t>
      </w:r>
      <w:r w:rsidRPr="00475168">
        <w:t xml:space="preserve">evel of assurance required for </w:t>
      </w:r>
      <w:r>
        <w:t xml:space="preserve">sharing of sensitive and security classified </w:t>
      </w:r>
      <w:r w:rsidRPr="00475168">
        <w:t>information and asset</w:t>
      </w:r>
      <w:r>
        <w:t>s</w:t>
      </w:r>
      <w:r w:rsidRPr="00475168">
        <w:t xml:space="preserve"> </w:t>
      </w:r>
    </w:p>
    <w:tbl>
      <w:tblPr>
        <w:tblStyle w:val="LightShading-Accent4"/>
        <w:tblW w:w="0" w:type="auto"/>
        <w:tblLayout w:type="fixed"/>
        <w:tblLook w:val="04A0" w:firstRow="1" w:lastRow="0" w:firstColumn="1" w:lastColumn="0" w:noHBand="0" w:noVBand="1"/>
        <w:tblCaption w:val="Physical protections for security zones—level of assurance required for sharing of sensitive and security classified information and assets"/>
        <w:tblDescription w:val="This table details the control elements required for each security zone. This table has six columns. Column one, control element; column two Zone One; column three, Zone Two; column three, Zone Three, column four, Zone Four, column five, Zone Five.&#10;&#10;1. Building construction:&#10;Zone One: In accordance with entity risk assessment.&#10;Zone Two: In accordance with applicable sections of ASIO Technical Note 1/15 – Physical Security of Zones.&#10;When only used during business hours: Normal construction to the Building Code of Australia. When also used out of business hours: Normal construction and: &#10;a. slab-to-slab construction, or &#10;b. tamper-evident ceilings, or &#10;c. applicable sections of ASIO Technical Note 1/15 – Physical Security of Zones.&#10;Zone Three: In accordance with applicable sections of ASIO Technical Note 1/15 – Physical Security of Zones.&#10;For protection of valuable physical assets, recommend aligning building construction with level 4 (or above) of the Australian Standard 3555.1. In such cases, construction will be considered to meet minimum security zone protections mandated by this policy.&#10;Zone Four: As for Zone Three&#10;Zone Five: Construction complies with:&#10;a. ASIO Technical Note 1/15 – Physical Security of Zones&#10;b. ASIO Technical Note 5/12 – Physical Security of Zone 5 (TOP SECRET) areas.&#10;&#10;2. Perimeter doors and hardware&#10;2.a. Doors&#10;Zone One: In accordane with the entity risk assessment.&#10;Zone Two: Constructed in accordance with ASIO Technical Note 1/15 – Physical Security Zones.&#10;Zone Three: As for Zone Two.&#10;Zone Four: As for Zone Two.&#10;Zone Five: Constructed in accordance with ASIO Technical Note 5/12 – Physical Security Zones (TOP SECRET) areas.&#10;2.b. Locks&#10;Zone One: In accordance with entity risk assessment. May use commercial locking systems.&#10;Zone Two: As for Zone One.&#10;Zone Three: Minimum SCEC-approved SL3 locks and hardware.&#10;Zone Four: As for Zone Three.&#10;Zone Five: As for Zone Three.&#10;2.c. Keying systems&#10;Zone One: Recommend SCEC-approved SL1 or SL2 keying system.&#10;Zone Two: As for Zone One.&#10;Zone Three: SCEC-approved minimum SL3 keying system.&#10;Zone Four: As for Zone Three.&#10;Zone Five: As for Zone Three.&#10;&#10;3. Out-of-hours security alarm system (SAS)&#10;Zone One: In accordance with entity risk assessment.&#10;Zone Two: In accordance with entity risk assessment. In an office environment, recommend Class 3-4 SAS hard wired in the zone.&#10;Zone Three: Type 1 SAS, or Class 5 SAS hard wired in the zone.&#10;If no SAS, guard patrols performed at random intervals within every four hours required.&#10;Zone Four: Use in accordance with the Type 1A SAS transition policy:&#10;a. for new or significantly expanded sites, SCEC-approved Type 1A SAS with SCEC approved detection devices (designed and commissioned by SCEC-endorsed security zone consultants)&#10;b. for existing sites, SCEC Type 1 SAS with SCEC approved detection devices.&#10;Zone Five: As for Zone Four.&#10;3.a. Detection devices&#10;Zone One: In accordance with entity risk assessment.&#10;Zone Two: Hard wired within the zone. Recommend SCEC approved SL2 or SL3 detection devices.&#10;Zone Three: As for Zone Two.&#10;Zone Four: SCEC-approved SL3 or SL4 detection devices.&#10;Zone Five: As for Zone Four.&#10;3.b. SAS contractor clearance requirements&#10;Zone One: In accordance with entity risk assessment.&#10;Zone Two: Contractors who maintain these systems provided with short term access to classified resources at the appropriate level for the information stored within the zone.&#10;Zone Three: As for Zone Two.&#10;Zone Four: Contractors who maintain these systems cleared at the appropriate level for the information stored within the zone.&#10;Zone Five: As for Zone fou.r&#10;3.c. Management of SAS&#10;Zone One: In accordance with entity risk assessment&#10;Zone Two: As for Zone One&#10;Zone Three: Control of alarm systems directly managed by the entity.&#10;Privileged alarm systems operators and users appropriately trained and security cleared to the level of the security zone. All alarm system arming and disarming personal identification numbers are secure.&#10;Zone Four: As for Zone Three.&#10;Zone Five: As for Zone Three.&#10;3.d. Monitoring and response&#10;Zone One: All alarm systems to be monitored and responded to in a timely manner. Response capability appropriate to the threat and risk.&#10;Zone Two: As for Zone One.&#10;Zone Three: As for Zone One.&#10;Zone Four: As for Zone One.&#10;Zone Five: As for Zone One.&#10;&#10;4. Interoperability of security alarm system and other building management system&#10;Zone One: In accordance with entity risk assessment.&#10;Zone Two: In accordance with entity risk assessment. If a separate SAS and Electronic Access Control Systems (EACS) are used, ensure the alarm cannot be disabled by the access control system.&#10;Zone Three: Ensure the alarm cannot be disabled by the access control system.&#10;Zone Four: Ensure limited one way interoperability in accordance with the Type 1 SAS for Australian Government—Product Integration specification.&#10;Zone Five: Ensure limited one way interoperability in accordance with the Type 1 SAS for Australian Government—Product: Integration specification. The alarm system may disable access control system when activated.&#10;&#10;5. Access control systems&#10;Zone One: In accordance with entity risk assessment.&#10;Zone Two: In accordance with entity risk assessment. Recommend using identity access card in office environments.&#10;Zone Three: Use identity card and sectionalised access control systems. &#10;Use EACS where there are no other suitable verification and access control measures in place. Verify the identity of all personnel, including contractors, issued with EACS access cards at the time of issue (using the National Identity Proofing Guidelines to a minimum level 3). Regularly audit EACS.&#10;Zone Four: As for Zone Three, with full audit trail of access control systems. Directly managed and controlled by the entity. Maintained by appropriately cleared contractors. Privileged operators and users are appropriately trained and security cleared to the level of the security zone. Regularly audit EACS.&#10;Zone Five: As for Zone Four, with full audit trail of access control systems and dual authentication.&#10;&#10;6. Technical surveillance counter measures (TSCM)&#10;Zone One: No requirement.&#10;Zone Two: No requirement.&#10;Zone Three: As determined by a risk assessment.&#10;Zone Four: As for Zone Three.&#10;Zone Five: TSCM and audio security inspection:&#10;a. for areas where TOP SECRET discussions are regularly held, or the compromise of other discussions may have a catastrophic business impact level &#10;b. before conferences and meetings where TOP SECRET discussions are to be held, and &#10;Seek advice from ASIO-T4 and refer ASIO Technical Note 5/12 Physical Security of Zone Five (TOP SECRET) areas.&#10;&#10;7. Visitor control&#10;Zone One: In accordance with entity risk assessment.&#10;Zone Two: In accordance with entity risk assessment. Recommended to record visitors, issue passes and escort in sensitive areas.&#10;Zone Three: Visitor and contractor access only for visitors with a need to know and with close escort. Recommend providing receptionists and guards with: &#10;a. detailed auditable visitor control and access instructions&#10;b. secure method of calling for immediate assistance if threatened.&#10;Zone Four: As for Zone Three and visitor and contractor access with a need-to-know and with close escort with constant line of sight.&#10;Zone Five: As for Zone Four.&#10;&#10;&#10;&#10;&#10;&#10;&#10;&#10;&#10;&#10;&#10;&#10;&#10;&#10;&#10;&#10;&#10;&#10;"/>
      </w:tblPr>
      <w:tblGrid>
        <w:gridCol w:w="2093"/>
        <w:gridCol w:w="4073"/>
        <w:gridCol w:w="4073"/>
        <w:gridCol w:w="4073"/>
        <w:gridCol w:w="4073"/>
        <w:gridCol w:w="4074"/>
      </w:tblGrid>
      <w:tr w:rsidR="001F3EBF" w:rsidTr="006807CD">
        <w:trPr>
          <w:cnfStyle w:val="100000000000" w:firstRow="1" w:lastRow="0" w:firstColumn="0" w:lastColumn="0" w:oddVBand="0" w:evenVBand="0" w:oddHBand="0" w:evenHBand="0" w:firstRowFirstColumn="0" w:firstRowLastColumn="0" w:lastRowFirstColumn="0" w:lastRowLastColumn="0"/>
          <w:trHeight w:val="60"/>
          <w:tblHeader/>
        </w:trPr>
        <w:tc>
          <w:tcPr>
            <w:cnfStyle w:val="001000000000" w:firstRow="0" w:lastRow="0" w:firstColumn="1" w:lastColumn="0" w:oddVBand="0" w:evenVBand="0" w:oddHBand="0" w:evenHBand="0" w:firstRowFirstColumn="0" w:firstRowLastColumn="0" w:lastRowFirstColumn="0" w:lastRowLastColumn="0"/>
            <w:tcW w:w="2093" w:type="dxa"/>
          </w:tcPr>
          <w:p w:rsidR="001F3EBF" w:rsidRPr="00115948" w:rsidRDefault="001F3EBF" w:rsidP="006807CD">
            <w:pPr>
              <w:rPr>
                <w:rStyle w:val="Strong"/>
                <w:b/>
              </w:rPr>
            </w:pPr>
            <w:r w:rsidRPr="00115948">
              <w:rPr>
                <w:rStyle w:val="Strong"/>
              </w:rPr>
              <w:t>Control element</w:t>
            </w:r>
          </w:p>
        </w:tc>
        <w:tc>
          <w:tcPr>
            <w:tcW w:w="4073" w:type="dxa"/>
          </w:tcPr>
          <w:p w:rsidR="001F3EBF" w:rsidRPr="00115948" w:rsidRDefault="001F3EBF" w:rsidP="006807CD">
            <w:pPr>
              <w:cnfStyle w:val="100000000000" w:firstRow="1" w:lastRow="0" w:firstColumn="0" w:lastColumn="0" w:oddVBand="0" w:evenVBand="0" w:oddHBand="0" w:evenHBand="0" w:firstRowFirstColumn="0" w:firstRowLastColumn="0" w:lastRowFirstColumn="0" w:lastRowLastColumn="0"/>
              <w:rPr>
                <w:rStyle w:val="Strong"/>
                <w:b/>
              </w:rPr>
            </w:pPr>
            <w:r w:rsidRPr="00115948">
              <w:rPr>
                <w:rStyle w:val="Strong"/>
              </w:rPr>
              <w:t xml:space="preserve">Zone One </w:t>
            </w:r>
          </w:p>
        </w:tc>
        <w:tc>
          <w:tcPr>
            <w:tcW w:w="4073" w:type="dxa"/>
          </w:tcPr>
          <w:p w:rsidR="001F3EBF" w:rsidRPr="00115948" w:rsidRDefault="001F3EBF" w:rsidP="006807CD">
            <w:pPr>
              <w:cnfStyle w:val="100000000000" w:firstRow="1" w:lastRow="0" w:firstColumn="0" w:lastColumn="0" w:oddVBand="0" w:evenVBand="0" w:oddHBand="0" w:evenHBand="0" w:firstRowFirstColumn="0" w:firstRowLastColumn="0" w:lastRowFirstColumn="0" w:lastRowLastColumn="0"/>
              <w:rPr>
                <w:rStyle w:val="Strong"/>
                <w:b/>
              </w:rPr>
            </w:pPr>
            <w:r w:rsidRPr="00115948">
              <w:rPr>
                <w:rStyle w:val="Strong"/>
              </w:rPr>
              <w:t>Zone Two</w:t>
            </w:r>
          </w:p>
        </w:tc>
        <w:tc>
          <w:tcPr>
            <w:tcW w:w="4073" w:type="dxa"/>
          </w:tcPr>
          <w:p w:rsidR="001F3EBF" w:rsidRPr="00115948" w:rsidRDefault="001F3EBF" w:rsidP="006807CD">
            <w:pPr>
              <w:cnfStyle w:val="100000000000" w:firstRow="1" w:lastRow="0" w:firstColumn="0" w:lastColumn="0" w:oddVBand="0" w:evenVBand="0" w:oddHBand="0" w:evenHBand="0" w:firstRowFirstColumn="0" w:firstRowLastColumn="0" w:lastRowFirstColumn="0" w:lastRowLastColumn="0"/>
              <w:rPr>
                <w:rStyle w:val="Strong"/>
                <w:b/>
              </w:rPr>
            </w:pPr>
            <w:r w:rsidRPr="00115948">
              <w:rPr>
                <w:rStyle w:val="Strong"/>
              </w:rPr>
              <w:t>Zone Three</w:t>
            </w:r>
          </w:p>
        </w:tc>
        <w:tc>
          <w:tcPr>
            <w:tcW w:w="4073" w:type="dxa"/>
          </w:tcPr>
          <w:p w:rsidR="001F3EBF" w:rsidRPr="00115948" w:rsidRDefault="001F3EBF" w:rsidP="006807CD">
            <w:pPr>
              <w:cnfStyle w:val="100000000000" w:firstRow="1" w:lastRow="0" w:firstColumn="0" w:lastColumn="0" w:oddVBand="0" w:evenVBand="0" w:oddHBand="0" w:evenHBand="0" w:firstRowFirstColumn="0" w:firstRowLastColumn="0" w:lastRowFirstColumn="0" w:lastRowLastColumn="0"/>
              <w:rPr>
                <w:rStyle w:val="Strong"/>
                <w:b/>
              </w:rPr>
            </w:pPr>
            <w:r w:rsidRPr="00115948">
              <w:rPr>
                <w:rStyle w:val="Strong"/>
              </w:rPr>
              <w:t xml:space="preserve">Zone Four </w:t>
            </w:r>
          </w:p>
        </w:tc>
        <w:tc>
          <w:tcPr>
            <w:tcW w:w="4074" w:type="dxa"/>
          </w:tcPr>
          <w:p w:rsidR="001F3EBF" w:rsidRPr="00115948" w:rsidRDefault="001F3EBF" w:rsidP="006807CD">
            <w:pPr>
              <w:cnfStyle w:val="100000000000" w:firstRow="1" w:lastRow="0" w:firstColumn="0" w:lastColumn="0" w:oddVBand="0" w:evenVBand="0" w:oddHBand="0" w:evenHBand="0" w:firstRowFirstColumn="0" w:firstRowLastColumn="0" w:lastRowFirstColumn="0" w:lastRowLastColumn="0"/>
              <w:rPr>
                <w:rStyle w:val="Strong"/>
                <w:b/>
              </w:rPr>
            </w:pPr>
            <w:r w:rsidRPr="00115948">
              <w:rPr>
                <w:rStyle w:val="Strong"/>
              </w:rPr>
              <w:t>Zone Five</w:t>
            </w:r>
          </w:p>
        </w:tc>
      </w:tr>
      <w:tr w:rsidR="001F3EBF" w:rsidTr="006807CD">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2093" w:type="dxa"/>
          </w:tcPr>
          <w:p w:rsidR="001F3EBF" w:rsidRPr="00833D0D" w:rsidRDefault="001F3EBF" w:rsidP="006807CD">
            <w:pPr>
              <w:pStyle w:val="Tablebody"/>
              <w:rPr>
                <w:lang w:eastAsia="en-AU"/>
              </w:rPr>
            </w:pPr>
            <w:r w:rsidRPr="00833D0D">
              <w:rPr>
                <w:lang w:eastAsia="en-AU"/>
              </w:rPr>
              <w:t>Building construction</w:t>
            </w:r>
          </w:p>
        </w:tc>
        <w:tc>
          <w:tcPr>
            <w:tcW w:w="4073" w:type="dxa"/>
          </w:tcPr>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33D0D">
              <w:rPr>
                <w:lang w:eastAsia="en-AU"/>
              </w:rPr>
              <w:t>In accordance with entity risk assessment</w:t>
            </w:r>
            <w:r>
              <w:rPr>
                <w:lang w:eastAsia="en-AU"/>
              </w:rPr>
              <w:t>.</w:t>
            </w:r>
          </w:p>
        </w:tc>
        <w:tc>
          <w:tcPr>
            <w:tcW w:w="4073" w:type="dxa"/>
          </w:tcPr>
          <w:p w:rsidR="001F3EBF" w:rsidRDefault="001F3EBF" w:rsidP="006807CD">
            <w:pPr>
              <w:pStyle w:val="Tablebody"/>
              <w:cnfStyle w:val="000000100000" w:firstRow="0" w:lastRow="0" w:firstColumn="0" w:lastColumn="0" w:oddVBand="0" w:evenVBand="0" w:oddHBand="1" w:evenHBand="0" w:firstRowFirstColumn="0" w:firstRowLastColumn="0" w:lastRowFirstColumn="0" w:lastRowLastColumn="0"/>
              <w:rPr>
                <w:iCs/>
              </w:rPr>
            </w:pPr>
            <w:r w:rsidRPr="001E5DAC">
              <w:rPr>
                <w:iCs/>
              </w:rPr>
              <w:t xml:space="preserve">In accordance with applicable sections of </w:t>
            </w:r>
            <w:r w:rsidRPr="00F5269A">
              <w:rPr>
                <w:rStyle w:val="Hyperlink"/>
                <w:iCs/>
                <w:color w:val="auto"/>
                <w:u w:val="none"/>
              </w:rPr>
              <w:t>ASIO</w:t>
            </w:r>
            <w:r w:rsidRPr="00F5269A">
              <w:rPr>
                <w:rStyle w:val="Hyperlink"/>
                <w:color w:val="auto"/>
                <w:u w:val="none"/>
              </w:rPr>
              <w:t xml:space="preserve"> </w:t>
            </w:r>
            <w:r w:rsidRPr="00F5269A">
              <w:rPr>
                <w:rStyle w:val="Hyperlink"/>
                <w:iCs/>
                <w:color w:val="auto"/>
                <w:u w:val="none"/>
              </w:rPr>
              <w:t>Technical Note 1/15 – Physical Security of Zones</w:t>
            </w:r>
            <w:r w:rsidRPr="006B1CE0">
              <w:rPr>
                <w:iCs/>
              </w:rPr>
              <w:t>.</w:t>
            </w:r>
            <w:r w:rsidR="00F5269A">
              <w:rPr>
                <w:rStyle w:val="EndnoteReference"/>
                <w:iCs/>
              </w:rPr>
              <w:endnoteReference w:id="1"/>
            </w:r>
          </w:p>
          <w:p w:rsidR="001F3EBF" w:rsidRDefault="001F3EBF" w:rsidP="006807CD">
            <w:pPr>
              <w:pStyle w:val="Tablebody"/>
              <w:cnfStyle w:val="000000100000" w:firstRow="0" w:lastRow="0" w:firstColumn="0" w:lastColumn="0" w:oddVBand="0" w:evenVBand="0" w:oddHBand="1" w:evenHBand="0" w:firstRowFirstColumn="0" w:firstRowLastColumn="0" w:lastRowFirstColumn="0" w:lastRowLastColumn="0"/>
              <w:rPr>
                <w:iCs/>
              </w:rPr>
            </w:pPr>
          </w:p>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rPr>
                <w:u w:val="single"/>
                <w:lang w:eastAsia="en-AU"/>
              </w:rPr>
            </w:pPr>
            <w:r>
              <w:rPr>
                <w:u w:val="single"/>
                <w:lang w:eastAsia="en-AU"/>
              </w:rPr>
              <w:t>When only used</w:t>
            </w:r>
            <w:r w:rsidRPr="00833D0D">
              <w:rPr>
                <w:u w:val="single"/>
                <w:lang w:eastAsia="en-AU"/>
              </w:rPr>
              <w:t xml:space="preserve"> during busi</w:t>
            </w:r>
            <w:r>
              <w:rPr>
                <w:u w:val="single"/>
                <w:lang w:eastAsia="en-AU"/>
              </w:rPr>
              <w:t>ness hours</w:t>
            </w:r>
          </w:p>
          <w:p w:rsidR="001F3EBF"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33D0D">
              <w:rPr>
                <w:lang w:eastAsia="en-AU"/>
              </w:rPr>
              <w:t>Normal construction to the Building Code</w:t>
            </w:r>
            <w:r>
              <w:rPr>
                <w:lang w:eastAsia="en-AU"/>
              </w:rPr>
              <w:t xml:space="preserve"> of</w:t>
            </w:r>
            <w:r w:rsidRPr="00833D0D">
              <w:rPr>
                <w:lang w:eastAsia="en-AU"/>
              </w:rPr>
              <w:t xml:space="preserve"> </w:t>
            </w:r>
            <w:r>
              <w:rPr>
                <w:lang w:eastAsia="en-AU"/>
              </w:rPr>
              <w:t>Australia.</w:t>
            </w:r>
          </w:p>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p>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rPr>
                <w:u w:val="single"/>
                <w:lang w:eastAsia="en-AU"/>
              </w:rPr>
            </w:pPr>
            <w:r>
              <w:rPr>
                <w:u w:val="single"/>
                <w:lang w:eastAsia="en-AU"/>
              </w:rPr>
              <w:t xml:space="preserve">When also used </w:t>
            </w:r>
            <w:r w:rsidRPr="00833D0D">
              <w:rPr>
                <w:u w:val="single"/>
                <w:lang w:eastAsia="en-AU"/>
              </w:rPr>
              <w:t>o</w:t>
            </w:r>
            <w:r>
              <w:rPr>
                <w:u w:val="single"/>
                <w:lang w:eastAsia="en-AU"/>
              </w:rPr>
              <w:t xml:space="preserve">ut </w:t>
            </w:r>
            <w:r w:rsidRPr="00833D0D">
              <w:rPr>
                <w:u w:val="single"/>
                <w:lang w:eastAsia="en-AU"/>
              </w:rPr>
              <w:t>of</w:t>
            </w:r>
            <w:r>
              <w:rPr>
                <w:u w:val="single"/>
                <w:lang w:eastAsia="en-AU"/>
              </w:rPr>
              <w:t xml:space="preserve"> business </w:t>
            </w:r>
            <w:r w:rsidRPr="00833D0D">
              <w:rPr>
                <w:u w:val="single"/>
                <w:lang w:eastAsia="en-AU"/>
              </w:rPr>
              <w:t>hours</w:t>
            </w:r>
          </w:p>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33D0D">
              <w:rPr>
                <w:lang w:eastAsia="en-AU"/>
              </w:rPr>
              <w:t xml:space="preserve">Normal construction and: </w:t>
            </w:r>
          </w:p>
          <w:p w:rsidR="001F3EBF" w:rsidRPr="00115948" w:rsidRDefault="001F3EBF" w:rsidP="001F3EBF">
            <w:pPr>
              <w:pStyle w:val="Tablebodybullet1"/>
              <w:numPr>
                <w:ilvl w:val="0"/>
                <w:numId w:val="2"/>
              </w:numPr>
              <w:cnfStyle w:val="000000100000" w:firstRow="0" w:lastRow="0" w:firstColumn="0" w:lastColumn="0" w:oddVBand="0" w:evenVBand="0" w:oddHBand="1" w:evenHBand="0" w:firstRowFirstColumn="0" w:firstRowLastColumn="0" w:lastRowFirstColumn="0" w:lastRowLastColumn="0"/>
              <w:rPr>
                <w:lang w:eastAsia="en-AU"/>
              </w:rPr>
            </w:pPr>
            <w:r w:rsidRPr="00115948">
              <w:rPr>
                <w:lang w:eastAsia="en-AU"/>
              </w:rPr>
              <w:t xml:space="preserve">slab-to-slab construction, or </w:t>
            </w:r>
          </w:p>
          <w:p w:rsidR="001F3EBF" w:rsidRDefault="001F3EBF" w:rsidP="001F3EBF">
            <w:pPr>
              <w:pStyle w:val="Tablebodybullet1"/>
              <w:numPr>
                <w:ilvl w:val="0"/>
                <w:numId w:val="2"/>
              </w:numPr>
              <w:cnfStyle w:val="000000100000" w:firstRow="0" w:lastRow="0" w:firstColumn="0" w:lastColumn="0" w:oddVBand="0" w:evenVBand="0" w:oddHBand="1" w:evenHBand="0" w:firstRowFirstColumn="0" w:firstRowLastColumn="0" w:lastRowFirstColumn="0" w:lastRowLastColumn="0"/>
              <w:rPr>
                <w:lang w:eastAsia="en-AU"/>
              </w:rPr>
            </w:pPr>
            <w:r w:rsidRPr="00833D0D">
              <w:rPr>
                <w:lang w:eastAsia="en-AU"/>
              </w:rPr>
              <w:t>tamper</w:t>
            </w:r>
            <w:r>
              <w:rPr>
                <w:lang w:eastAsia="en-AU"/>
              </w:rPr>
              <w:t>-</w:t>
            </w:r>
            <w:r w:rsidRPr="00833D0D">
              <w:rPr>
                <w:lang w:eastAsia="en-AU"/>
              </w:rPr>
              <w:t xml:space="preserve">evident ceilings, or </w:t>
            </w:r>
          </w:p>
          <w:p w:rsidR="001F3EBF" w:rsidRPr="00833D0D" w:rsidDel="006F4E40" w:rsidRDefault="001F3EBF" w:rsidP="001F3EBF">
            <w:pPr>
              <w:pStyle w:val="Tablebodybullet1"/>
              <w:numPr>
                <w:ilvl w:val="0"/>
                <w:numId w:val="2"/>
              </w:numPr>
              <w:cnfStyle w:val="000000100000" w:firstRow="0" w:lastRow="0" w:firstColumn="0" w:lastColumn="0" w:oddVBand="0" w:evenVBand="0" w:oddHBand="1" w:evenHBand="0" w:firstRowFirstColumn="0" w:firstRowLastColumn="0" w:lastRowFirstColumn="0" w:lastRowLastColumn="0"/>
              <w:rPr>
                <w:lang w:eastAsia="en-AU"/>
              </w:rPr>
            </w:pPr>
            <w:r>
              <w:rPr>
                <w:lang w:eastAsia="en-AU"/>
              </w:rPr>
              <w:t>applicable sections of</w:t>
            </w:r>
            <w:r w:rsidRPr="00833D0D">
              <w:rPr>
                <w:lang w:eastAsia="en-AU"/>
              </w:rPr>
              <w:t xml:space="preserve"> </w:t>
            </w:r>
            <w:r w:rsidRPr="00F5269A">
              <w:rPr>
                <w:rStyle w:val="Hyperlink"/>
                <w:color w:val="auto"/>
                <w:u w:val="none"/>
                <w:lang w:eastAsia="en-AU"/>
              </w:rPr>
              <w:t>ASIO Technical Note 1/15 – Physical Security of Zones</w:t>
            </w:r>
            <w:r w:rsidRPr="00F5269A">
              <w:rPr>
                <w:color w:val="auto"/>
                <w:lang w:eastAsia="en-AU"/>
              </w:rPr>
              <w:t>.</w:t>
            </w:r>
          </w:p>
        </w:tc>
        <w:tc>
          <w:tcPr>
            <w:tcW w:w="4073" w:type="dxa"/>
          </w:tcPr>
          <w:p w:rsidR="001F3EBF" w:rsidRDefault="001F3EBF" w:rsidP="006807CD">
            <w:pPr>
              <w:pStyle w:val="Tablebody"/>
              <w:cnfStyle w:val="000000100000" w:firstRow="0" w:lastRow="0" w:firstColumn="0" w:lastColumn="0" w:oddVBand="0" w:evenVBand="0" w:oddHBand="1" w:evenHBand="0" w:firstRowFirstColumn="0" w:firstRowLastColumn="0" w:lastRowFirstColumn="0" w:lastRowLastColumn="0"/>
              <w:rPr>
                <w:iCs/>
              </w:rPr>
            </w:pPr>
            <w:r w:rsidRPr="001E5DAC">
              <w:rPr>
                <w:iCs/>
              </w:rPr>
              <w:t xml:space="preserve">In accordance with applicable sections of </w:t>
            </w:r>
            <w:r w:rsidRPr="00F5269A">
              <w:rPr>
                <w:rStyle w:val="Hyperlink"/>
                <w:iCs/>
                <w:color w:val="auto"/>
                <w:u w:val="none"/>
              </w:rPr>
              <w:t>ASIO</w:t>
            </w:r>
            <w:r w:rsidRPr="00F5269A">
              <w:rPr>
                <w:rStyle w:val="Hyperlink"/>
                <w:color w:val="auto"/>
                <w:u w:val="none"/>
              </w:rPr>
              <w:t xml:space="preserve"> </w:t>
            </w:r>
            <w:r w:rsidRPr="00F5269A">
              <w:rPr>
                <w:rStyle w:val="Hyperlink"/>
                <w:iCs/>
                <w:color w:val="auto"/>
                <w:u w:val="none"/>
              </w:rPr>
              <w:t>Technical Note 1/15 – Physical Security of Zones</w:t>
            </w:r>
            <w:r w:rsidRPr="00F5269A">
              <w:rPr>
                <w:iCs/>
                <w:color w:val="auto"/>
              </w:rPr>
              <w:t>.</w:t>
            </w:r>
          </w:p>
          <w:p w:rsidR="001F3EBF" w:rsidRDefault="001F3EBF" w:rsidP="006807CD">
            <w:pPr>
              <w:pStyle w:val="Tablebody"/>
              <w:cnfStyle w:val="000000100000" w:firstRow="0" w:lastRow="0" w:firstColumn="0" w:lastColumn="0" w:oddVBand="0" w:evenVBand="0" w:oddHBand="1" w:evenHBand="0" w:firstRowFirstColumn="0" w:firstRowLastColumn="0" w:lastRowFirstColumn="0" w:lastRowLastColumn="0"/>
              <w:rPr>
                <w:iCs/>
              </w:rPr>
            </w:pPr>
          </w:p>
          <w:p w:rsidR="001F3EBF" w:rsidRPr="001E5DAC" w:rsidDel="006F4E40" w:rsidRDefault="001F3EBF" w:rsidP="006807CD">
            <w:pPr>
              <w:pStyle w:val="Tablebody"/>
              <w:cnfStyle w:val="000000100000" w:firstRow="0" w:lastRow="0" w:firstColumn="0" w:lastColumn="0" w:oddVBand="0" w:evenVBand="0" w:oddHBand="1" w:evenHBand="0" w:firstRowFirstColumn="0" w:firstRowLastColumn="0" w:lastRowFirstColumn="0" w:lastRowLastColumn="0"/>
              <w:rPr>
                <w:iCs/>
              </w:rPr>
            </w:pPr>
            <w:r w:rsidRPr="001E5DAC">
              <w:rPr>
                <w:iCs/>
              </w:rPr>
              <w:t xml:space="preserve">For protection of valuable physical assets, </w:t>
            </w:r>
            <w:r>
              <w:rPr>
                <w:iCs/>
              </w:rPr>
              <w:t xml:space="preserve">recommend </w:t>
            </w:r>
            <w:r w:rsidRPr="001E5DAC">
              <w:rPr>
                <w:iCs/>
              </w:rPr>
              <w:t>align</w:t>
            </w:r>
            <w:r>
              <w:rPr>
                <w:iCs/>
              </w:rPr>
              <w:t>ing</w:t>
            </w:r>
            <w:r w:rsidRPr="001E5DAC">
              <w:rPr>
                <w:iCs/>
              </w:rPr>
              <w:t xml:space="preserve"> building construction with level 4 (or above) of the </w:t>
            </w:r>
            <w:hyperlink r:id="rId11" w:history="1">
              <w:r w:rsidRPr="0064500F">
                <w:rPr>
                  <w:rStyle w:val="Hyperlink"/>
                  <w:iCs/>
                </w:rPr>
                <w:t>Australian</w:t>
              </w:r>
              <w:r>
                <w:rPr>
                  <w:rStyle w:val="Hyperlink"/>
                  <w:iCs/>
                </w:rPr>
                <w:t> </w:t>
              </w:r>
              <w:r w:rsidRPr="0064500F">
                <w:rPr>
                  <w:rStyle w:val="Hyperlink"/>
                  <w:iCs/>
                </w:rPr>
                <w:t>Standard 3555.1</w:t>
              </w:r>
            </w:hyperlink>
            <w:r w:rsidRPr="001E5DAC">
              <w:rPr>
                <w:iCs/>
              </w:rPr>
              <w:t xml:space="preserve">. In such cases, </w:t>
            </w:r>
            <w:r>
              <w:rPr>
                <w:iCs/>
              </w:rPr>
              <w:t xml:space="preserve">construction </w:t>
            </w:r>
            <w:r w:rsidRPr="001E5DAC">
              <w:rPr>
                <w:iCs/>
              </w:rPr>
              <w:t>will be considered to meet minimum security zone protections mandated by this policy.</w:t>
            </w:r>
          </w:p>
        </w:tc>
        <w:tc>
          <w:tcPr>
            <w:tcW w:w="4073" w:type="dxa"/>
          </w:tcPr>
          <w:p w:rsidR="001F3EBF" w:rsidRPr="001E5DAC" w:rsidDel="006F4E40" w:rsidRDefault="001F3EBF" w:rsidP="006807CD">
            <w:pPr>
              <w:pStyle w:val="Tablebody"/>
              <w:cnfStyle w:val="000000100000" w:firstRow="0" w:lastRow="0" w:firstColumn="0" w:lastColumn="0" w:oddVBand="0" w:evenVBand="0" w:oddHBand="1" w:evenHBand="0" w:firstRowFirstColumn="0" w:firstRowLastColumn="0" w:lastRowFirstColumn="0" w:lastRowLastColumn="0"/>
              <w:rPr>
                <w:iCs/>
              </w:rPr>
            </w:pPr>
            <w:r>
              <w:rPr>
                <w:iCs/>
              </w:rPr>
              <w:t>As for Zone Three.</w:t>
            </w:r>
          </w:p>
        </w:tc>
        <w:tc>
          <w:tcPr>
            <w:tcW w:w="4074" w:type="dxa"/>
          </w:tcPr>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pPr>
            <w:r w:rsidRPr="00833D0D">
              <w:t>Construction complies with:</w:t>
            </w:r>
          </w:p>
          <w:p w:rsidR="001F3EBF" w:rsidRPr="00F5269A" w:rsidRDefault="001F3EBF" w:rsidP="001F3EBF">
            <w:pPr>
              <w:pStyle w:val="Tablebodybullet1"/>
              <w:numPr>
                <w:ilvl w:val="0"/>
                <w:numId w:val="3"/>
              </w:numPr>
              <w:cnfStyle w:val="000000100000" w:firstRow="0" w:lastRow="0" w:firstColumn="0" w:lastColumn="0" w:oddVBand="0" w:evenVBand="0" w:oddHBand="1" w:evenHBand="0" w:firstRowFirstColumn="0" w:firstRowLastColumn="0" w:lastRowFirstColumn="0" w:lastRowLastColumn="0"/>
              <w:rPr>
                <w:color w:val="auto"/>
              </w:rPr>
            </w:pPr>
            <w:r w:rsidRPr="00F5269A">
              <w:rPr>
                <w:rStyle w:val="Hyperlink"/>
                <w:color w:val="auto"/>
                <w:u w:val="none"/>
              </w:rPr>
              <w:t>ASIO Technical Note 1/15 – Physical Security of Zones</w:t>
            </w:r>
          </w:p>
          <w:p w:rsidR="001F3EBF" w:rsidRPr="00833D0D" w:rsidRDefault="001F3EBF" w:rsidP="001F3EBF">
            <w:pPr>
              <w:pStyle w:val="Tablebodybullet1"/>
              <w:numPr>
                <w:ilvl w:val="0"/>
                <w:numId w:val="3"/>
              </w:numPr>
              <w:cnfStyle w:val="000000100000" w:firstRow="0" w:lastRow="0" w:firstColumn="0" w:lastColumn="0" w:oddVBand="0" w:evenVBand="0" w:oddHBand="1" w:evenHBand="0" w:firstRowFirstColumn="0" w:firstRowLastColumn="0" w:lastRowFirstColumn="0" w:lastRowLastColumn="0"/>
            </w:pPr>
            <w:r w:rsidRPr="00F5269A">
              <w:rPr>
                <w:rStyle w:val="Hyperlink"/>
                <w:color w:val="auto"/>
                <w:u w:val="none"/>
              </w:rPr>
              <w:t>ASIO Technical Note 5/12 – Physical Security of Zone 5 (TOP SECRET) areas</w:t>
            </w:r>
            <w:r w:rsidRPr="00F5269A">
              <w:rPr>
                <w:color w:val="auto"/>
              </w:rPr>
              <w:t>.</w:t>
            </w:r>
          </w:p>
        </w:tc>
      </w:tr>
      <w:tr w:rsidR="001F3EBF" w:rsidTr="006807CD">
        <w:trPr>
          <w:trHeight w:val="60"/>
        </w:trPr>
        <w:tc>
          <w:tcPr>
            <w:cnfStyle w:val="001000000000" w:firstRow="0" w:lastRow="0" w:firstColumn="1" w:lastColumn="0" w:oddVBand="0" w:evenVBand="0" w:oddHBand="0" w:evenHBand="0" w:firstRowFirstColumn="0" w:firstRowLastColumn="0" w:lastRowFirstColumn="0" w:lastRowLastColumn="0"/>
            <w:tcW w:w="2093" w:type="dxa"/>
          </w:tcPr>
          <w:p w:rsidR="001F3EBF" w:rsidRPr="00833D0D" w:rsidRDefault="001F3EBF" w:rsidP="006807CD">
            <w:pPr>
              <w:pStyle w:val="Tablebody"/>
              <w:rPr>
                <w:lang w:eastAsia="en-AU"/>
              </w:rPr>
            </w:pPr>
            <w:r w:rsidRPr="00D63CDA">
              <w:rPr>
                <w:lang w:eastAsia="en-AU"/>
              </w:rPr>
              <w:t>Perimeter doors and hardware</w:t>
            </w:r>
          </w:p>
        </w:tc>
        <w:tc>
          <w:tcPr>
            <w:tcW w:w="4073"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p>
        </w:tc>
        <w:tc>
          <w:tcPr>
            <w:tcW w:w="4073" w:type="dxa"/>
          </w:tcPr>
          <w:p w:rsidR="001F3EBF" w:rsidRPr="001E5DAC" w:rsidRDefault="001F3EBF" w:rsidP="006807CD">
            <w:pPr>
              <w:pStyle w:val="Tablebody"/>
              <w:cnfStyle w:val="000000000000" w:firstRow="0" w:lastRow="0" w:firstColumn="0" w:lastColumn="0" w:oddVBand="0" w:evenVBand="0" w:oddHBand="0" w:evenHBand="0" w:firstRowFirstColumn="0" w:firstRowLastColumn="0" w:lastRowFirstColumn="0" w:lastRowLastColumn="0"/>
              <w:rPr>
                <w:iCs/>
              </w:rPr>
            </w:pPr>
            <w:r>
              <w:rPr>
                <w:lang w:eastAsia="en-AU"/>
              </w:rPr>
              <w:t>.</w:t>
            </w:r>
          </w:p>
        </w:tc>
        <w:tc>
          <w:tcPr>
            <w:tcW w:w="4073" w:type="dxa"/>
          </w:tcPr>
          <w:p w:rsidR="001F3EBF" w:rsidRPr="001E5DAC" w:rsidRDefault="001F3EBF" w:rsidP="006807CD">
            <w:pPr>
              <w:pStyle w:val="Tablebody"/>
              <w:cnfStyle w:val="000000000000" w:firstRow="0" w:lastRow="0" w:firstColumn="0" w:lastColumn="0" w:oddVBand="0" w:evenVBand="0" w:oddHBand="0" w:evenHBand="0" w:firstRowFirstColumn="0" w:firstRowLastColumn="0" w:lastRowFirstColumn="0" w:lastRowLastColumn="0"/>
              <w:rPr>
                <w:iCs/>
              </w:rPr>
            </w:pPr>
          </w:p>
        </w:tc>
        <w:tc>
          <w:tcPr>
            <w:tcW w:w="4073" w:type="dxa"/>
          </w:tcPr>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rPr>
                <w:iCs/>
              </w:rPr>
            </w:pPr>
          </w:p>
        </w:tc>
        <w:tc>
          <w:tcPr>
            <w:tcW w:w="4074"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pPr>
          </w:p>
        </w:tc>
      </w:tr>
      <w:tr w:rsidR="001F3EBF" w:rsidTr="006807CD">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2093" w:type="dxa"/>
          </w:tcPr>
          <w:p w:rsidR="001F3EBF" w:rsidRPr="00D63CDA" w:rsidRDefault="001F3EBF" w:rsidP="001F3EBF">
            <w:pPr>
              <w:pStyle w:val="Tablebodybullet1"/>
              <w:numPr>
                <w:ilvl w:val="0"/>
                <w:numId w:val="5"/>
              </w:numPr>
              <w:rPr>
                <w:lang w:eastAsia="en-AU"/>
              </w:rPr>
            </w:pPr>
            <w:r w:rsidRPr="00B65871">
              <w:t>Doors</w:t>
            </w:r>
          </w:p>
        </w:tc>
        <w:tc>
          <w:tcPr>
            <w:tcW w:w="4073" w:type="dxa"/>
          </w:tcPr>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33D0D">
              <w:rPr>
                <w:lang w:eastAsia="en-AU"/>
              </w:rPr>
              <w:t>In accordance with entity risk assessment.</w:t>
            </w:r>
          </w:p>
        </w:tc>
        <w:tc>
          <w:tcPr>
            <w:tcW w:w="4073" w:type="dxa"/>
          </w:tcPr>
          <w:p w:rsidR="001F3EBF" w:rsidRPr="001E5DAC" w:rsidRDefault="001F3EBF" w:rsidP="006807CD">
            <w:pPr>
              <w:pStyle w:val="Tablebody"/>
              <w:cnfStyle w:val="000000100000" w:firstRow="0" w:lastRow="0" w:firstColumn="0" w:lastColumn="0" w:oddVBand="0" w:evenVBand="0" w:oddHBand="1" w:evenHBand="0" w:firstRowFirstColumn="0" w:firstRowLastColumn="0" w:lastRowFirstColumn="0" w:lastRowLastColumn="0"/>
              <w:rPr>
                <w:iCs/>
              </w:rPr>
            </w:pPr>
            <w:r w:rsidRPr="00F53406">
              <w:rPr>
                <w:lang w:eastAsia="en-AU"/>
              </w:rPr>
              <w:t>Constructed in accordance with ASIO Technical Note 1/15 – Physical Security Zones</w:t>
            </w:r>
            <w:r>
              <w:rPr>
                <w:lang w:eastAsia="en-AU"/>
              </w:rPr>
              <w:t>.</w:t>
            </w:r>
          </w:p>
        </w:tc>
        <w:tc>
          <w:tcPr>
            <w:tcW w:w="4073" w:type="dxa"/>
          </w:tcPr>
          <w:p w:rsidR="001F3EBF" w:rsidRPr="001E5DAC" w:rsidRDefault="001F3EBF" w:rsidP="006807CD">
            <w:pPr>
              <w:pStyle w:val="Tablebody"/>
              <w:cnfStyle w:val="000000100000" w:firstRow="0" w:lastRow="0" w:firstColumn="0" w:lastColumn="0" w:oddVBand="0" w:evenVBand="0" w:oddHBand="1" w:evenHBand="0" w:firstRowFirstColumn="0" w:firstRowLastColumn="0" w:lastRowFirstColumn="0" w:lastRowLastColumn="0"/>
              <w:rPr>
                <w:iCs/>
              </w:rPr>
            </w:pPr>
            <w:r>
              <w:rPr>
                <w:lang w:eastAsia="en-AU"/>
              </w:rPr>
              <w:t>As for Zone Two.</w:t>
            </w:r>
          </w:p>
        </w:tc>
        <w:tc>
          <w:tcPr>
            <w:tcW w:w="4073" w:type="dxa"/>
          </w:tcPr>
          <w:p w:rsidR="001F3EBF" w:rsidRDefault="001F3EBF" w:rsidP="006807CD">
            <w:pPr>
              <w:pStyle w:val="Tablebody"/>
              <w:cnfStyle w:val="000000100000" w:firstRow="0" w:lastRow="0" w:firstColumn="0" w:lastColumn="0" w:oddVBand="0" w:evenVBand="0" w:oddHBand="1" w:evenHBand="0" w:firstRowFirstColumn="0" w:firstRowLastColumn="0" w:lastRowFirstColumn="0" w:lastRowLastColumn="0"/>
              <w:rPr>
                <w:iCs/>
              </w:rPr>
            </w:pPr>
            <w:r>
              <w:rPr>
                <w:lang w:eastAsia="en-AU"/>
              </w:rPr>
              <w:t>As for Zone Two.</w:t>
            </w:r>
          </w:p>
        </w:tc>
        <w:tc>
          <w:tcPr>
            <w:tcW w:w="4074" w:type="dxa"/>
          </w:tcPr>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pPr>
            <w:r w:rsidRPr="00F53406">
              <w:rPr>
                <w:lang w:eastAsia="en-AU"/>
              </w:rPr>
              <w:t xml:space="preserve">Constructed in accordance with </w:t>
            </w:r>
            <w:r w:rsidRPr="00F5269A">
              <w:rPr>
                <w:rStyle w:val="Hyperlink"/>
                <w:color w:val="auto"/>
                <w:u w:val="none"/>
                <w:lang w:eastAsia="en-AU"/>
              </w:rPr>
              <w:t>ASIO Technical Note 5/12 – Physical Security Zones (TOP SECRET) areas.</w:t>
            </w:r>
          </w:p>
        </w:tc>
      </w:tr>
      <w:tr w:rsidR="001F3EBF" w:rsidTr="006807CD">
        <w:trPr>
          <w:trHeight w:val="60"/>
        </w:trPr>
        <w:tc>
          <w:tcPr>
            <w:cnfStyle w:val="001000000000" w:firstRow="0" w:lastRow="0" w:firstColumn="1" w:lastColumn="0" w:oddVBand="0" w:evenVBand="0" w:oddHBand="0" w:evenHBand="0" w:firstRowFirstColumn="0" w:firstRowLastColumn="0" w:lastRowFirstColumn="0" w:lastRowLastColumn="0"/>
            <w:tcW w:w="2093" w:type="dxa"/>
          </w:tcPr>
          <w:p w:rsidR="001F3EBF" w:rsidRPr="00D63CDA" w:rsidRDefault="001F3EBF" w:rsidP="001F3EBF">
            <w:pPr>
              <w:pStyle w:val="Tablebodybullet1"/>
              <w:numPr>
                <w:ilvl w:val="0"/>
                <w:numId w:val="5"/>
              </w:numPr>
              <w:rPr>
                <w:lang w:eastAsia="en-AU"/>
              </w:rPr>
            </w:pPr>
            <w:r w:rsidRPr="00B65871">
              <w:t>Locks</w:t>
            </w:r>
          </w:p>
        </w:tc>
        <w:tc>
          <w:tcPr>
            <w:tcW w:w="4073" w:type="dxa"/>
          </w:tcPr>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In accordance with entity risk assessment.</w:t>
            </w:r>
          </w:p>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May use commercial locking systems</w:t>
            </w:r>
            <w:r>
              <w:rPr>
                <w:lang w:eastAsia="en-AU"/>
              </w:rPr>
              <w:t>.</w:t>
            </w:r>
          </w:p>
        </w:tc>
        <w:tc>
          <w:tcPr>
            <w:tcW w:w="4073" w:type="dxa"/>
          </w:tcPr>
          <w:p w:rsidR="001F3EBF" w:rsidRPr="001E5DAC" w:rsidRDefault="001F3EBF" w:rsidP="006807CD">
            <w:pPr>
              <w:pStyle w:val="Tablebody"/>
              <w:cnfStyle w:val="000000000000" w:firstRow="0" w:lastRow="0" w:firstColumn="0" w:lastColumn="0" w:oddVBand="0" w:evenVBand="0" w:oddHBand="0" w:evenHBand="0" w:firstRowFirstColumn="0" w:firstRowLastColumn="0" w:lastRowFirstColumn="0" w:lastRowLastColumn="0"/>
              <w:rPr>
                <w:iCs/>
              </w:rPr>
            </w:pPr>
            <w:r>
              <w:rPr>
                <w:lang w:eastAsia="en-AU"/>
              </w:rPr>
              <w:t>As for Zone One.</w:t>
            </w:r>
          </w:p>
        </w:tc>
        <w:tc>
          <w:tcPr>
            <w:tcW w:w="4073" w:type="dxa"/>
          </w:tcPr>
          <w:p w:rsidR="001F3EBF" w:rsidRPr="001E5DAC" w:rsidRDefault="001F3EBF" w:rsidP="006807CD">
            <w:pPr>
              <w:pStyle w:val="Tablebody"/>
              <w:cnfStyle w:val="000000000000" w:firstRow="0" w:lastRow="0" w:firstColumn="0" w:lastColumn="0" w:oddVBand="0" w:evenVBand="0" w:oddHBand="0" w:evenHBand="0" w:firstRowFirstColumn="0" w:firstRowLastColumn="0" w:lastRowFirstColumn="0" w:lastRowLastColumn="0"/>
              <w:rPr>
                <w:iCs/>
              </w:rPr>
            </w:pPr>
            <w:r>
              <w:rPr>
                <w:lang w:eastAsia="en-AU"/>
              </w:rPr>
              <w:t xml:space="preserve">Minimum </w:t>
            </w:r>
            <w:r w:rsidRPr="00833D0D">
              <w:rPr>
                <w:lang w:eastAsia="en-AU"/>
              </w:rPr>
              <w:t>SCEC</w:t>
            </w:r>
            <w:r>
              <w:rPr>
                <w:lang w:eastAsia="en-AU"/>
              </w:rPr>
              <w:t>-</w:t>
            </w:r>
            <w:r w:rsidRPr="00833D0D">
              <w:rPr>
                <w:lang w:eastAsia="en-AU"/>
              </w:rPr>
              <w:t>approved SL3 locks and hardware</w:t>
            </w:r>
            <w:r>
              <w:rPr>
                <w:lang w:eastAsia="en-AU"/>
              </w:rPr>
              <w:t>.</w:t>
            </w:r>
          </w:p>
        </w:tc>
        <w:tc>
          <w:tcPr>
            <w:tcW w:w="4073" w:type="dxa"/>
          </w:tcPr>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rPr>
                <w:iCs/>
              </w:rPr>
            </w:pPr>
            <w:r>
              <w:rPr>
                <w:lang w:eastAsia="en-AU"/>
              </w:rPr>
              <w:t>As for Zone Three.</w:t>
            </w:r>
          </w:p>
        </w:tc>
        <w:tc>
          <w:tcPr>
            <w:tcW w:w="4074"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pPr>
            <w:r>
              <w:rPr>
                <w:lang w:eastAsia="en-AU"/>
              </w:rPr>
              <w:t>As for Zone Three.</w:t>
            </w:r>
          </w:p>
        </w:tc>
      </w:tr>
      <w:tr w:rsidR="001F3EBF" w:rsidTr="006807CD">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2093" w:type="dxa"/>
          </w:tcPr>
          <w:p w:rsidR="001F3EBF" w:rsidRPr="00B65871" w:rsidRDefault="001F3EBF" w:rsidP="001F3EBF">
            <w:pPr>
              <w:pStyle w:val="Tablebodybullet1"/>
              <w:numPr>
                <w:ilvl w:val="0"/>
                <w:numId w:val="5"/>
              </w:numPr>
            </w:pPr>
            <w:r w:rsidRPr="00B65871">
              <w:t>Keying systems</w:t>
            </w:r>
          </w:p>
        </w:tc>
        <w:tc>
          <w:tcPr>
            <w:tcW w:w="4073" w:type="dxa"/>
          </w:tcPr>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F53406">
              <w:rPr>
                <w:lang w:eastAsia="en-AU"/>
              </w:rPr>
              <w:t>Recommend SCEC</w:t>
            </w:r>
            <w:r>
              <w:rPr>
                <w:lang w:eastAsia="en-AU"/>
              </w:rPr>
              <w:t>-</w:t>
            </w:r>
            <w:r w:rsidRPr="00F53406">
              <w:rPr>
                <w:lang w:eastAsia="en-AU"/>
              </w:rPr>
              <w:t>approved SL1 or SL2 keying system</w:t>
            </w:r>
            <w:r>
              <w:rPr>
                <w:lang w:eastAsia="en-AU"/>
              </w:rPr>
              <w:t>.</w:t>
            </w:r>
          </w:p>
        </w:tc>
        <w:tc>
          <w:tcPr>
            <w:tcW w:w="4073" w:type="dxa"/>
          </w:tcPr>
          <w:p w:rsidR="001F3EBF"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Pr>
                <w:lang w:eastAsia="en-AU"/>
              </w:rPr>
              <w:t>As for Zone One.</w:t>
            </w:r>
          </w:p>
        </w:tc>
        <w:tc>
          <w:tcPr>
            <w:tcW w:w="4073" w:type="dxa"/>
          </w:tcPr>
          <w:p w:rsidR="001F3EBF"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F53406">
              <w:rPr>
                <w:lang w:eastAsia="en-AU"/>
              </w:rPr>
              <w:t>SCEC</w:t>
            </w:r>
            <w:r>
              <w:rPr>
                <w:lang w:eastAsia="en-AU"/>
              </w:rPr>
              <w:t>-</w:t>
            </w:r>
            <w:r w:rsidRPr="00F53406">
              <w:rPr>
                <w:lang w:eastAsia="en-AU"/>
              </w:rPr>
              <w:t>approved minimum SL3 keying system</w:t>
            </w:r>
            <w:r>
              <w:rPr>
                <w:lang w:eastAsia="en-AU"/>
              </w:rPr>
              <w:t>.</w:t>
            </w:r>
          </w:p>
        </w:tc>
        <w:tc>
          <w:tcPr>
            <w:tcW w:w="4073" w:type="dxa"/>
          </w:tcPr>
          <w:p w:rsidR="001F3EBF"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Pr>
                <w:lang w:eastAsia="en-AU"/>
              </w:rPr>
              <w:t>As for Zone Three.</w:t>
            </w:r>
          </w:p>
        </w:tc>
        <w:tc>
          <w:tcPr>
            <w:tcW w:w="4074" w:type="dxa"/>
          </w:tcPr>
          <w:p w:rsidR="001F3EBF"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Pr>
                <w:lang w:eastAsia="en-AU"/>
              </w:rPr>
              <w:t>As for Zone Three.</w:t>
            </w:r>
          </w:p>
        </w:tc>
      </w:tr>
      <w:tr w:rsidR="001F3EBF" w:rsidTr="006807CD">
        <w:tc>
          <w:tcPr>
            <w:cnfStyle w:val="001000000000" w:firstRow="0" w:lastRow="0" w:firstColumn="1" w:lastColumn="0" w:oddVBand="0" w:evenVBand="0" w:oddHBand="0" w:evenHBand="0" w:firstRowFirstColumn="0" w:firstRowLastColumn="0" w:lastRowFirstColumn="0" w:lastRowLastColumn="0"/>
            <w:tcW w:w="2093" w:type="dxa"/>
          </w:tcPr>
          <w:p w:rsidR="001F3EBF" w:rsidRDefault="001F3EBF" w:rsidP="006807CD">
            <w:pPr>
              <w:pStyle w:val="Tablebody"/>
            </w:pPr>
            <w:r w:rsidRPr="00115948">
              <w:rPr>
                <w:lang w:eastAsia="en-AU"/>
              </w:rPr>
              <w:t>Out-of-hours security alarm system (SAS)</w:t>
            </w:r>
          </w:p>
        </w:tc>
        <w:tc>
          <w:tcPr>
            <w:tcW w:w="4073"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In accordance with entity risk assessment</w:t>
            </w:r>
            <w:r>
              <w:rPr>
                <w:lang w:eastAsia="en-AU"/>
              </w:rPr>
              <w:t>.</w:t>
            </w:r>
          </w:p>
        </w:tc>
        <w:tc>
          <w:tcPr>
            <w:tcW w:w="4073" w:type="dxa"/>
          </w:tcPr>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 xml:space="preserve">In accordance with entity risk assessment. </w:t>
            </w:r>
          </w:p>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p>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I</w:t>
            </w:r>
            <w:r w:rsidRPr="00833D0D">
              <w:rPr>
                <w:lang w:eastAsia="en-AU"/>
              </w:rPr>
              <w:t>n an office environment</w:t>
            </w:r>
            <w:r>
              <w:rPr>
                <w:lang w:eastAsia="en-AU"/>
              </w:rPr>
              <w:t>, r</w:t>
            </w:r>
            <w:r w:rsidRPr="00833D0D">
              <w:rPr>
                <w:lang w:eastAsia="en-AU"/>
              </w:rPr>
              <w:t>ecommend Class</w:t>
            </w:r>
            <w:r>
              <w:rPr>
                <w:lang w:eastAsia="en-AU"/>
              </w:rPr>
              <w:t> </w:t>
            </w:r>
            <w:r w:rsidRPr="00833D0D">
              <w:rPr>
                <w:lang w:eastAsia="en-AU"/>
              </w:rPr>
              <w:t xml:space="preserve">3-4 </w:t>
            </w:r>
            <w:r>
              <w:rPr>
                <w:lang w:eastAsia="en-AU"/>
              </w:rPr>
              <w:t xml:space="preserve">SAS </w:t>
            </w:r>
            <w:r>
              <w:rPr>
                <w:vertAlign w:val="superscript"/>
                <w:lang w:eastAsia="en-AU"/>
              </w:rPr>
              <w:t xml:space="preserve">Note </w:t>
            </w:r>
            <w:bookmarkStart w:id="2" w:name="_Ref520119924"/>
            <w:r>
              <w:rPr>
                <w:rStyle w:val="EndnoteReference"/>
                <w:lang w:eastAsia="en-AU"/>
              </w:rPr>
              <w:endnoteReference w:id="2"/>
            </w:r>
            <w:bookmarkEnd w:id="2"/>
            <w:r w:rsidRPr="00833D0D">
              <w:rPr>
                <w:lang w:eastAsia="en-AU"/>
              </w:rPr>
              <w:t xml:space="preserve"> hard wired in the </w:t>
            </w:r>
            <w:r>
              <w:rPr>
                <w:lang w:eastAsia="en-AU"/>
              </w:rPr>
              <w:t>z</w:t>
            </w:r>
            <w:r w:rsidRPr="00833D0D">
              <w:rPr>
                <w:lang w:eastAsia="en-AU"/>
              </w:rPr>
              <w:t>one</w:t>
            </w:r>
            <w:r>
              <w:rPr>
                <w:lang w:eastAsia="en-AU"/>
              </w:rPr>
              <w:t>.</w:t>
            </w:r>
          </w:p>
        </w:tc>
        <w:tc>
          <w:tcPr>
            <w:tcW w:w="4073"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Type 1 SAS, or</w:t>
            </w:r>
          </w:p>
          <w:p w:rsidR="001F3EBF" w:rsidRPr="007156DF"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Class 5 SAS</w:t>
            </w:r>
            <w:r>
              <w:rPr>
                <w:lang w:eastAsia="en-AU"/>
              </w:rPr>
              <w:t xml:space="preserve"> </w:t>
            </w:r>
            <w:r w:rsidRPr="00D63CDA">
              <w:rPr>
                <w:vertAlign w:val="superscript"/>
                <w:lang w:eastAsia="en-AU"/>
              </w:rPr>
              <w:t xml:space="preserve">Note </w:t>
            </w:r>
            <w:r w:rsidRPr="00D63CDA">
              <w:rPr>
                <w:vertAlign w:val="superscript"/>
                <w:lang w:eastAsia="en-AU"/>
              </w:rPr>
              <w:fldChar w:fldCharType="begin"/>
            </w:r>
            <w:r w:rsidRPr="00D63CDA">
              <w:rPr>
                <w:vertAlign w:val="superscript"/>
                <w:lang w:eastAsia="en-AU"/>
              </w:rPr>
              <w:instrText xml:space="preserve"> NOTEREF _Ref520119924 \h </w:instrText>
            </w:r>
            <w:r>
              <w:rPr>
                <w:vertAlign w:val="superscript"/>
                <w:lang w:eastAsia="en-AU"/>
              </w:rPr>
              <w:instrText xml:space="preserve"> \* MERGEFORMAT </w:instrText>
            </w:r>
            <w:r w:rsidRPr="00D63CDA">
              <w:rPr>
                <w:vertAlign w:val="superscript"/>
                <w:lang w:eastAsia="en-AU"/>
              </w:rPr>
            </w:r>
            <w:r w:rsidRPr="00D63CDA">
              <w:rPr>
                <w:vertAlign w:val="superscript"/>
                <w:lang w:eastAsia="en-AU"/>
              </w:rPr>
              <w:fldChar w:fldCharType="separate"/>
            </w:r>
            <w:r>
              <w:rPr>
                <w:vertAlign w:val="superscript"/>
                <w:lang w:eastAsia="en-AU"/>
              </w:rPr>
              <w:t>i</w:t>
            </w:r>
            <w:r w:rsidRPr="00D63CDA">
              <w:rPr>
                <w:vertAlign w:val="superscript"/>
                <w:lang w:eastAsia="en-AU"/>
              </w:rPr>
              <w:fldChar w:fldCharType="end"/>
            </w:r>
            <w:r w:rsidRPr="00833D0D">
              <w:rPr>
                <w:lang w:eastAsia="en-AU"/>
              </w:rPr>
              <w:t xml:space="preserve"> </w:t>
            </w:r>
            <w:r>
              <w:rPr>
                <w:lang w:eastAsia="en-AU"/>
              </w:rPr>
              <w:t>hard wired in the zone.</w:t>
            </w:r>
          </w:p>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p>
          <w:p w:rsidR="001F3EBF" w:rsidRPr="007156DF"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 xml:space="preserve">If no SAS, </w:t>
            </w:r>
            <w:r w:rsidRPr="007156DF">
              <w:rPr>
                <w:lang w:eastAsia="en-AU"/>
              </w:rPr>
              <w:t>guard patrols performed at random intervals within every four hours</w:t>
            </w:r>
            <w:r>
              <w:rPr>
                <w:lang w:eastAsia="en-AU"/>
              </w:rPr>
              <w:t xml:space="preserve"> required.</w:t>
            </w:r>
          </w:p>
        </w:tc>
        <w:tc>
          <w:tcPr>
            <w:tcW w:w="4073"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Use in accordance with the Type 1A SAS transition policy:</w:t>
            </w:r>
          </w:p>
          <w:p w:rsidR="001F3EBF" w:rsidRPr="002C1119" w:rsidRDefault="001F3EBF" w:rsidP="001F3EBF">
            <w:pPr>
              <w:pStyle w:val="Tablebodybullet1"/>
              <w:numPr>
                <w:ilvl w:val="0"/>
                <w:numId w:val="4"/>
              </w:numPr>
              <w:cnfStyle w:val="000000000000" w:firstRow="0" w:lastRow="0" w:firstColumn="0" w:lastColumn="0" w:oddVBand="0" w:evenVBand="0" w:oddHBand="0" w:evenHBand="0" w:firstRowFirstColumn="0" w:firstRowLastColumn="0" w:lastRowFirstColumn="0" w:lastRowLastColumn="0"/>
              <w:rPr>
                <w:lang w:eastAsia="en-AU"/>
              </w:rPr>
            </w:pPr>
            <w:r w:rsidRPr="002C1119">
              <w:rPr>
                <w:lang w:eastAsia="en-AU"/>
              </w:rPr>
              <w:t>for new or significantly expanded sites, SCEC-approved Type 1A SAS</w:t>
            </w:r>
            <w:r>
              <w:rPr>
                <w:lang w:eastAsia="en-AU"/>
              </w:rPr>
              <w:t xml:space="preserve"> with SCEC-approved detection devices</w:t>
            </w:r>
            <w:r w:rsidRPr="002C1119">
              <w:rPr>
                <w:lang w:eastAsia="en-AU"/>
              </w:rPr>
              <w:t xml:space="preserve"> (designed and commissioned by SCEC-endorsed </w:t>
            </w:r>
            <w:r>
              <w:rPr>
                <w:lang w:eastAsia="en-AU"/>
              </w:rPr>
              <w:t>S</w:t>
            </w:r>
            <w:r w:rsidRPr="002C1119">
              <w:rPr>
                <w:lang w:eastAsia="en-AU"/>
              </w:rPr>
              <w:t xml:space="preserve">ecurity </w:t>
            </w:r>
            <w:r>
              <w:rPr>
                <w:lang w:eastAsia="en-AU"/>
              </w:rPr>
              <w:t>Zone C</w:t>
            </w:r>
            <w:r w:rsidRPr="002C1119">
              <w:rPr>
                <w:lang w:eastAsia="en-AU"/>
              </w:rPr>
              <w:t>onsultants)</w:t>
            </w:r>
          </w:p>
          <w:p w:rsidR="001F3EBF" w:rsidRPr="00833D0D" w:rsidRDefault="001F3EBF" w:rsidP="001F3EBF">
            <w:pPr>
              <w:pStyle w:val="Tablebodybullet1"/>
              <w:numPr>
                <w:ilvl w:val="0"/>
                <w:numId w:val="4"/>
              </w:numPr>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for existing sites</w:t>
            </w:r>
            <w:r>
              <w:rPr>
                <w:lang w:eastAsia="en-AU"/>
              </w:rPr>
              <w:t xml:space="preserve">, </w:t>
            </w:r>
            <w:r w:rsidRPr="00833D0D">
              <w:rPr>
                <w:lang w:eastAsia="en-AU"/>
              </w:rPr>
              <w:t>SCEC Type 1 SAS</w:t>
            </w:r>
            <w:r>
              <w:rPr>
                <w:lang w:eastAsia="en-AU"/>
              </w:rPr>
              <w:t xml:space="preserve"> with SCEC-approved detection devices.</w:t>
            </w:r>
          </w:p>
        </w:tc>
        <w:tc>
          <w:tcPr>
            <w:tcW w:w="4074"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As for Zone Four.</w:t>
            </w:r>
          </w:p>
        </w:tc>
      </w:tr>
      <w:tr w:rsidR="001F3EBF" w:rsidTr="00680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1F3EBF" w:rsidRPr="00BA5D2E" w:rsidRDefault="001F3EBF" w:rsidP="001F3EBF">
            <w:pPr>
              <w:pStyle w:val="ListBullet2"/>
              <w:numPr>
                <w:ilvl w:val="0"/>
                <w:numId w:val="8"/>
              </w:numPr>
            </w:pPr>
            <w:r w:rsidRPr="00BA5D2E">
              <w:t>Detection devices</w:t>
            </w:r>
          </w:p>
        </w:tc>
        <w:tc>
          <w:tcPr>
            <w:tcW w:w="4073" w:type="dxa"/>
          </w:tcPr>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33D0D">
              <w:rPr>
                <w:lang w:eastAsia="en-AU"/>
              </w:rPr>
              <w:t>In accordance with entity risk assessment</w:t>
            </w:r>
            <w:r>
              <w:rPr>
                <w:lang w:eastAsia="en-AU"/>
              </w:rPr>
              <w:t>.</w:t>
            </w:r>
          </w:p>
        </w:tc>
        <w:tc>
          <w:tcPr>
            <w:tcW w:w="4073" w:type="dxa"/>
          </w:tcPr>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Pr>
                <w:lang w:eastAsia="en-AU"/>
              </w:rPr>
              <w:t>H</w:t>
            </w:r>
            <w:r w:rsidRPr="00833D0D">
              <w:rPr>
                <w:lang w:eastAsia="en-AU"/>
              </w:rPr>
              <w:t xml:space="preserve">ard wired within the </w:t>
            </w:r>
            <w:r>
              <w:rPr>
                <w:lang w:eastAsia="en-AU"/>
              </w:rPr>
              <w:t>z</w:t>
            </w:r>
            <w:r w:rsidRPr="00833D0D">
              <w:rPr>
                <w:lang w:eastAsia="en-AU"/>
              </w:rPr>
              <w:t>one</w:t>
            </w:r>
            <w:r>
              <w:rPr>
                <w:lang w:eastAsia="en-AU"/>
              </w:rPr>
              <w:t>. Recommend SCEC-approved SL2 or SL3 detection devices.</w:t>
            </w:r>
          </w:p>
        </w:tc>
        <w:tc>
          <w:tcPr>
            <w:tcW w:w="4073" w:type="dxa"/>
          </w:tcPr>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Pr>
                <w:lang w:eastAsia="en-AU"/>
              </w:rPr>
              <w:t>As for Zone Two.</w:t>
            </w:r>
          </w:p>
        </w:tc>
        <w:tc>
          <w:tcPr>
            <w:tcW w:w="4073" w:type="dxa"/>
          </w:tcPr>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33D0D">
              <w:rPr>
                <w:lang w:eastAsia="en-AU"/>
              </w:rPr>
              <w:t>SCEC</w:t>
            </w:r>
            <w:r>
              <w:rPr>
                <w:lang w:eastAsia="en-AU"/>
              </w:rPr>
              <w:t>-</w:t>
            </w:r>
            <w:r w:rsidRPr="00833D0D">
              <w:rPr>
                <w:lang w:eastAsia="en-AU"/>
              </w:rPr>
              <w:t>approved SL3 or SL4 detection devices</w:t>
            </w:r>
            <w:r>
              <w:rPr>
                <w:lang w:eastAsia="en-AU"/>
              </w:rPr>
              <w:t>.</w:t>
            </w:r>
          </w:p>
        </w:tc>
        <w:tc>
          <w:tcPr>
            <w:tcW w:w="4074" w:type="dxa"/>
          </w:tcPr>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Pr>
                <w:lang w:eastAsia="en-AU"/>
              </w:rPr>
              <w:t>As for Zone Four.</w:t>
            </w:r>
          </w:p>
        </w:tc>
      </w:tr>
      <w:tr w:rsidR="001F3EBF" w:rsidTr="006807CD">
        <w:tc>
          <w:tcPr>
            <w:cnfStyle w:val="001000000000" w:firstRow="0" w:lastRow="0" w:firstColumn="1" w:lastColumn="0" w:oddVBand="0" w:evenVBand="0" w:oddHBand="0" w:evenHBand="0" w:firstRowFirstColumn="0" w:firstRowLastColumn="0" w:lastRowFirstColumn="0" w:lastRowLastColumn="0"/>
            <w:tcW w:w="2093" w:type="dxa"/>
          </w:tcPr>
          <w:p w:rsidR="001F3EBF" w:rsidRPr="00D97A21" w:rsidRDefault="001F3EBF" w:rsidP="001F3EBF">
            <w:pPr>
              <w:pStyle w:val="ListBullet2"/>
              <w:tabs>
                <w:tab w:val="clear" w:pos="360"/>
              </w:tabs>
            </w:pPr>
            <w:r>
              <w:t>SAS</w:t>
            </w:r>
            <w:r w:rsidRPr="00D97A21">
              <w:t xml:space="preserve"> contractor clearance requirements</w:t>
            </w:r>
          </w:p>
        </w:tc>
        <w:tc>
          <w:tcPr>
            <w:tcW w:w="4073"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In accordance with entity risk assessment</w:t>
            </w:r>
            <w:r>
              <w:rPr>
                <w:lang w:eastAsia="en-AU"/>
              </w:rPr>
              <w:t>.</w:t>
            </w:r>
          </w:p>
        </w:tc>
        <w:tc>
          <w:tcPr>
            <w:tcW w:w="4073"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Contractors who maintain these systems provided with short term access</w:t>
            </w:r>
            <w:r>
              <w:rPr>
                <w:lang w:eastAsia="en-AU"/>
              </w:rPr>
              <w:t xml:space="preserve"> </w:t>
            </w:r>
            <w:r w:rsidRPr="00833D0D">
              <w:rPr>
                <w:lang w:eastAsia="en-AU"/>
              </w:rPr>
              <w:t xml:space="preserve">to </w:t>
            </w:r>
            <w:r>
              <w:rPr>
                <w:lang w:eastAsia="en-AU"/>
              </w:rPr>
              <w:t xml:space="preserve">security </w:t>
            </w:r>
            <w:r w:rsidRPr="00833D0D">
              <w:rPr>
                <w:lang w:eastAsia="en-AU"/>
              </w:rPr>
              <w:t>classified resources</w:t>
            </w:r>
            <w:r>
              <w:rPr>
                <w:vertAlign w:val="superscript"/>
                <w:lang w:eastAsia="en-AU"/>
              </w:rPr>
              <w:t xml:space="preserve"> Note </w:t>
            </w:r>
            <w:r>
              <w:rPr>
                <w:rStyle w:val="EndnoteReference"/>
                <w:lang w:eastAsia="en-AU"/>
              </w:rPr>
              <w:endnoteReference w:id="3"/>
            </w:r>
            <w:r w:rsidRPr="00833D0D">
              <w:rPr>
                <w:lang w:eastAsia="en-AU"/>
              </w:rPr>
              <w:t xml:space="preserve"> at the appropriate level for the information </w:t>
            </w:r>
            <w:r>
              <w:rPr>
                <w:lang w:eastAsia="en-AU"/>
              </w:rPr>
              <w:t>stored</w:t>
            </w:r>
            <w:r w:rsidRPr="00833D0D">
              <w:rPr>
                <w:lang w:eastAsia="en-AU"/>
              </w:rPr>
              <w:t xml:space="preserve"> within </w:t>
            </w:r>
            <w:r>
              <w:rPr>
                <w:lang w:eastAsia="en-AU"/>
              </w:rPr>
              <w:t>the z</w:t>
            </w:r>
            <w:r w:rsidRPr="00833D0D">
              <w:rPr>
                <w:lang w:eastAsia="en-AU"/>
              </w:rPr>
              <w:t>one</w:t>
            </w:r>
            <w:r>
              <w:rPr>
                <w:lang w:eastAsia="en-AU"/>
              </w:rPr>
              <w:t>.</w:t>
            </w:r>
          </w:p>
        </w:tc>
        <w:tc>
          <w:tcPr>
            <w:tcW w:w="4073"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As for Zone Two.</w:t>
            </w:r>
          </w:p>
        </w:tc>
        <w:tc>
          <w:tcPr>
            <w:tcW w:w="4073"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 xml:space="preserve">Contractors who maintain these systems cleared at the appropriate level for the information </w:t>
            </w:r>
            <w:r>
              <w:rPr>
                <w:lang w:eastAsia="en-AU"/>
              </w:rPr>
              <w:t>stored</w:t>
            </w:r>
            <w:r w:rsidRPr="00833D0D">
              <w:rPr>
                <w:lang w:eastAsia="en-AU"/>
              </w:rPr>
              <w:t xml:space="preserve"> within </w:t>
            </w:r>
            <w:r>
              <w:rPr>
                <w:lang w:eastAsia="en-AU"/>
              </w:rPr>
              <w:t>the z</w:t>
            </w:r>
            <w:r w:rsidRPr="00833D0D">
              <w:rPr>
                <w:lang w:eastAsia="en-AU"/>
              </w:rPr>
              <w:t>one</w:t>
            </w:r>
            <w:r>
              <w:rPr>
                <w:lang w:eastAsia="en-AU"/>
              </w:rPr>
              <w:t>.</w:t>
            </w:r>
          </w:p>
        </w:tc>
        <w:tc>
          <w:tcPr>
            <w:tcW w:w="4074"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As for Zone Four.</w:t>
            </w:r>
          </w:p>
        </w:tc>
      </w:tr>
      <w:tr w:rsidR="001F3EBF" w:rsidTr="006807C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093" w:type="dxa"/>
          </w:tcPr>
          <w:p w:rsidR="001F3EBF" w:rsidRPr="001E75A1" w:rsidRDefault="001F3EBF" w:rsidP="001F3EBF">
            <w:pPr>
              <w:pStyle w:val="ListBullet2"/>
              <w:tabs>
                <w:tab w:val="clear" w:pos="360"/>
              </w:tabs>
            </w:pPr>
            <w:r w:rsidRPr="001E75A1">
              <w:t>Management of security alarm systems</w:t>
            </w:r>
          </w:p>
        </w:tc>
        <w:tc>
          <w:tcPr>
            <w:tcW w:w="4073" w:type="dxa"/>
          </w:tcPr>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pPr>
            <w:r w:rsidRPr="00833D0D">
              <w:rPr>
                <w:lang w:eastAsia="en-AU"/>
              </w:rPr>
              <w:t>In accordance with entity risk assessment</w:t>
            </w:r>
            <w:r>
              <w:rPr>
                <w:lang w:eastAsia="en-AU"/>
              </w:rPr>
              <w:t>.</w:t>
            </w:r>
          </w:p>
        </w:tc>
        <w:tc>
          <w:tcPr>
            <w:tcW w:w="4073" w:type="dxa"/>
          </w:tcPr>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pPr>
            <w:r>
              <w:rPr>
                <w:lang w:eastAsia="en-AU"/>
              </w:rPr>
              <w:t>As for Zone One.</w:t>
            </w:r>
          </w:p>
        </w:tc>
        <w:tc>
          <w:tcPr>
            <w:tcW w:w="4073" w:type="dxa"/>
          </w:tcPr>
          <w:p w:rsidR="001F3EBF" w:rsidRDefault="001F3EBF" w:rsidP="006807CD">
            <w:pPr>
              <w:pStyle w:val="Tablebody"/>
              <w:cnfStyle w:val="000000100000" w:firstRow="0" w:lastRow="0" w:firstColumn="0" w:lastColumn="0" w:oddVBand="0" w:evenVBand="0" w:oddHBand="1" w:evenHBand="0" w:firstRowFirstColumn="0" w:firstRowLastColumn="0" w:lastRowFirstColumn="0" w:lastRowLastColumn="0"/>
            </w:pPr>
            <w:r w:rsidRPr="003F0EE7">
              <w:t>Control of alarm systems directly managed by the entity</w:t>
            </w:r>
            <w:r>
              <w:t>.</w:t>
            </w:r>
          </w:p>
          <w:p w:rsidR="001F3EBF" w:rsidRPr="003F0EE7" w:rsidRDefault="001F3EBF" w:rsidP="006807CD">
            <w:pPr>
              <w:pStyle w:val="Tablebody"/>
              <w:cnfStyle w:val="000000100000" w:firstRow="0" w:lastRow="0" w:firstColumn="0" w:lastColumn="0" w:oddVBand="0" w:evenVBand="0" w:oddHBand="1" w:evenHBand="0" w:firstRowFirstColumn="0" w:firstRowLastColumn="0" w:lastRowFirstColumn="0" w:lastRowLastColumn="0"/>
            </w:pPr>
          </w:p>
          <w:p w:rsidR="001F3EBF" w:rsidRDefault="001F3EBF" w:rsidP="006807CD">
            <w:pPr>
              <w:pStyle w:val="Tablebody"/>
              <w:cnfStyle w:val="000000100000" w:firstRow="0" w:lastRow="0" w:firstColumn="0" w:lastColumn="0" w:oddVBand="0" w:evenVBand="0" w:oddHBand="1" w:evenHBand="0" w:firstRowFirstColumn="0" w:firstRowLastColumn="0" w:lastRowFirstColumn="0" w:lastRowLastColumn="0"/>
            </w:pPr>
            <w:r w:rsidRPr="003F0EE7">
              <w:t>Privileged alarm systems operators and users appropriately trained</w:t>
            </w:r>
            <w:r>
              <w:t xml:space="preserve"> and security cleared to the level of the security zone.</w:t>
            </w:r>
          </w:p>
          <w:p w:rsidR="001F3EBF" w:rsidRPr="003F0EE7" w:rsidRDefault="001F3EBF" w:rsidP="006807CD">
            <w:pPr>
              <w:pStyle w:val="Tablebody"/>
              <w:cnfStyle w:val="000000100000" w:firstRow="0" w:lastRow="0" w:firstColumn="0" w:lastColumn="0" w:oddVBand="0" w:evenVBand="0" w:oddHBand="1" w:evenHBand="0" w:firstRowFirstColumn="0" w:firstRowLastColumn="0" w:lastRowFirstColumn="0" w:lastRowLastColumn="0"/>
            </w:pPr>
          </w:p>
          <w:p w:rsidR="001F3EBF" w:rsidRPr="003F0EE7" w:rsidRDefault="001F3EBF" w:rsidP="006807CD">
            <w:pPr>
              <w:pStyle w:val="Tablebody"/>
              <w:cnfStyle w:val="000000100000" w:firstRow="0" w:lastRow="0" w:firstColumn="0" w:lastColumn="0" w:oddVBand="0" w:evenVBand="0" w:oddHBand="1" w:evenHBand="0" w:firstRowFirstColumn="0" w:firstRowLastColumn="0" w:lastRowFirstColumn="0" w:lastRowLastColumn="0"/>
            </w:pPr>
            <w:r w:rsidRPr="003F0EE7">
              <w:t xml:space="preserve">All </w:t>
            </w:r>
            <w:r w:rsidRPr="003F0EE7">
              <w:rPr>
                <w:rFonts w:cstheme="minorBidi"/>
              </w:rPr>
              <w:t>alarm</w:t>
            </w:r>
            <w:r w:rsidRPr="003F0EE7">
              <w:t xml:space="preserve"> system arming and disarming personal identification numbers are secure</w:t>
            </w:r>
            <w:r>
              <w:t>.</w:t>
            </w:r>
          </w:p>
        </w:tc>
        <w:tc>
          <w:tcPr>
            <w:tcW w:w="4073" w:type="dxa"/>
          </w:tcPr>
          <w:p w:rsidR="001F3EBF" w:rsidRPr="003F0EE7" w:rsidRDefault="001F3EBF" w:rsidP="006807CD">
            <w:pPr>
              <w:pStyle w:val="Tablebody"/>
              <w:cnfStyle w:val="000000100000" w:firstRow="0" w:lastRow="0" w:firstColumn="0" w:lastColumn="0" w:oddVBand="0" w:evenVBand="0" w:oddHBand="1" w:evenHBand="0" w:firstRowFirstColumn="0" w:firstRowLastColumn="0" w:lastRowFirstColumn="0" w:lastRowLastColumn="0"/>
            </w:pPr>
            <w:r>
              <w:rPr>
                <w:lang w:eastAsia="en-AU"/>
              </w:rPr>
              <w:t>As for Zone Three.</w:t>
            </w:r>
          </w:p>
        </w:tc>
        <w:tc>
          <w:tcPr>
            <w:tcW w:w="4074" w:type="dxa"/>
          </w:tcPr>
          <w:p w:rsidR="001F3EBF" w:rsidRPr="003F0EE7" w:rsidRDefault="001F3EBF" w:rsidP="006807CD">
            <w:pPr>
              <w:pStyle w:val="Tablebody"/>
              <w:cnfStyle w:val="000000100000" w:firstRow="0" w:lastRow="0" w:firstColumn="0" w:lastColumn="0" w:oddVBand="0" w:evenVBand="0" w:oddHBand="1" w:evenHBand="0" w:firstRowFirstColumn="0" w:firstRowLastColumn="0" w:lastRowFirstColumn="0" w:lastRowLastColumn="0"/>
            </w:pPr>
            <w:r>
              <w:rPr>
                <w:lang w:eastAsia="en-AU"/>
              </w:rPr>
              <w:t>As for Zone Three.</w:t>
            </w:r>
          </w:p>
        </w:tc>
      </w:tr>
      <w:tr w:rsidR="001F3EBF" w:rsidTr="006807CD">
        <w:tc>
          <w:tcPr>
            <w:cnfStyle w:val="001000000000" w:firstRow="0" w:lastRow="0" w:firstColumn="1" w:lastColumn="0" w:oddVBand="0" w:evenVBand="0" w:oddHBand="0" w:evenHBand="0" w:firstRowFirstColumn="0" w:firstRowLastColumn="0" w:lastRowFirstColumn="0" w:lastRowLastColumn="0"/>
            <w:tcW w:w="2093" w:type="dxa"/>
          </w:tcPr>
          <w:p w:rsidR="001F3EBF" w:rsidRPr="001E75A1" w:rsidRDefault="001F3EBF" w:rsidP="001F3EBF">
            <w:pPr>
              <w:pStyle w:val="ListBullet2"/>
              <w:tabs>
                <w:tab w:val="clear" w:pos="360"/>
              </w:tabs>
            </w:pPr>
            <w:r w:rsidRPr="001E75A1">
              <w:lastRenderedPageBreak/>
              <w:t>Monitoring</w:t>
            </w:r>
            <w:r>
              <w:t xml:space="preserve"> and response</w:t>
            </w:r>
          </w:p>
        </w:tc>
        <w:tc>
          <w:tcPr>
            <w:tcW w:w="4073" w:type="dxa"/>
          </w:tcPr>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pPr>
            <w:r w:rsidRPr="00833D0D">
              <w:rPr>
                <w:lang w:eastAsia="en-AU"/>
              </w:rPr>
              <w:t>All</w:t>
            </w:r>
            <w:r w:rsidRPr="00833D0D">
              <w:t xml:space="preserve"> alarm systems to be monitored and </w:t>
            </w:r>
            <w:r>
              <w:t>responded to in a timely manner.</w:t>
            </w:r>
          </w:p>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pPr>
            <w:r>
              <w:t>Response capability appropriate to the threat and risk.</w:t>
            </w:r>
          </w:p>
        </w:tc>
        <w:tc>
          <w:tcPr>
            <w:tcW w:w="4073"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pPr>
            <w:r>
              <w:rPr>
                <w:lang w:eastAsia="en-AU"/>
              </w:rPr>
              <w:t>As for Zone One.</w:t>
            </w:r>
          </w:p>
        </w:tc>
        <w:tc>
          <w:tcPr>
            <w:tcW w:w="4073"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pPr>
            <w:r>
              <w:rPr>
                <w:lang w:eastAsia="en-AU"/>
              </w:rPr>
              <w:t>As for Zone One.</w:t>
            </w:r>
          </w:p>
        </w:tc>
        <w:tc>
          <w:tcPr>
            <w:tcW w:w="4073"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pPr>
            <w:r>
              <w:rPr>
                <w:lang w:eastAsia="en-AU"/>
              </w:rPr>
              <w:t>As for Zone One.</w:t>
            </w:r>
          </w:p>
        </w:tc>
        <w:tc>
          <w:tcPr>
            <w:tcW w:w="4074"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pPr>
            <w:r>
              <w:rPr>
                <w:lang w:eastAsia="en-AU"/>
              </w:rPr>
              <w:t>As for Zone One.</w:t>
            </w:r>
          </w:p>
        </w:tc>
      </w:tr>
      <w:tr w:rsidR="001F3EBF" w:rsidTr="00680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1F3EBF" w:rsidRDefault="001F3EBF" w:rsidP="006807CD">
            <w:pPr>
              <w:pStyle w:val="Tablebody"/>
              <w:rPr>
                <w:rFonts w:ascii="Arial Narrow" w:hAnsi="Arial Narrow"/>
                <w:color w:val="244061" w:themeColor="accent1" w:themeShade="80"/>
                <w:sz w:val="18"/>
                <w:szCs w:val="18"/>
                <w:lang w:eastAsia="en-AU"/>
              </w:rPr>
            </w:pPr>
            <w:r w:rsidRPr="00D63CDA">
              <w:rPr>
                <w:lang w:eastAsia="en-AU"/>
              </w:rPr>
              <w:t>Interoperability of alarm system and other building management system</w:t>
            </w:r>
          </w:p>
        </w:tc>
        <w:tc>
          <w:tcPr>
            <w:tcW w:w="4073" w:type="dxa"/>
          </w:tcPr>
          <w:p w:rsidR="001F3EBF" w:rsidRPr="008218F5"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218F5">
              <w:rPr>
                <w:lang w:eastAsia="en-AU"/>
              </w:rPr>
              <w:t>In accordance with entity risk assessment</w:t>
            </w:r>
            <w:r>
              <w:rPr>
                <w:lang w:eastAsia="en-AU"/>
              </w:rPr>
              <w:t>.</w:t>
            </w:r>
            <w:r w:rsidRPr="008218F5">
              <w:rPr>
                <w:lang w:eastAsia="en-AU"/>
              </w:rPr>
              <w:t xml:space="preserve"> </w:t>
            </w:r>
          </w:p>
        </w:tc>
        <w:tc>
          <w:tcPr>
            <w:tcW w:w="4073" w:type="dxa"/>
          </w:tcPr>
          <w:p w:rsidR="001F3EBF"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218F5">
              <w:rPr>
                <w:lang w:eastAsia="en-AU"/>
              </w:rPr>
              <w:t>In accordance with entity risk assessment</w:t>
            </w:r>
            <w:r>
              <w:rPr>
                <w:lang w:eastAsia="en-AU"/>
              </w:rPr>
              <w:t>.</w:t>
            </w:r>
            <w:r w:rsidRPr="008218F5">
              <w:rPr>
                <w:lang w:eastAsia="en-AU"/>
              </w:rPr>
              <w:t xml:space="preserve"> </w:t>
            </w:r>
          </w:p>
          <w:p w:rsidR="001F3EBF"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p>
          <w:p w:rsidR="001F3EBF" w:rsidRPr="008218F5"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218F5">
              <w:rPr>
                <w:lang w:eastAsia="en-AU"/>
              </w:rPr>
              <w:t xml:space="preserve">If a separate SAS and </w:t>
            </w:r>
            <w:r>
              <w:rPr>
                <w:lang w:eastAsia="en-AU"/>
              </w:rPr>
              <w:t xml:space="preserve">EACS </w:t>
            </w:r>
            <w:r w:rsidRPr="008218F5">
              <w:rPr>
                <w:lang w:eastAsia="en-AU"/>
              </w:rPr>
              <w:t>are used, ensure the alarm cannot be disabled by the access control system</w:t>
            </w:r>
            <w:r>
              <w:rPr>
                <w:lang w:eastAsia="en-AU"/>
              </w:rPr>
              <w:t>.</w:t>
            </w:r>
          </w:p>
        </w:tc>
        <w:tc>
          <w:tcPr>
            <w:tcW w:w="4073" w:type="dxa"/>
          </w:tcPr>
          <w:p w:rsidR="001F3EBF" w:rsidRPr="008218F5" w:rsidDel="00D519C8"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218F5">
              <w:rPr>
                <w:lang w:eastAsia="en-AU"/>
              </w:rPr>
              <w:t>Ensure the alarm cannot be disabled by the access control system</w:t>
            </w:r>
            <w:r>
              <w:rPr>
                <w:lang w:eastAsia="en-AU"/>
              </w:rPr>
              <w:t>.</w:t>
            </w:r>
          </w:p>
        </w:tc>
        <w:tc>
          <w:tcPr>
            <w:tcW w:w="4073" w:type="dxa"/>
          </w:tcPr>
          <w:p w:rsidR="001F3EBF" w:rsidRPr="008218F5" w:rsidDel="00D519C8"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218F5">
              <w:rPr>
                <w:lang w:eastAsia="en-AU"/>
              </w:rPr>
              <w:t>Ensure limited one way interoperability in accordance with the Type 1 SAS for Australian Government—Product Integration specification</w:t>
            </w:r>
            <w:r>
              <w:rPr>
                <w:lang w:eastAsia="en-AU"/>
              </w:rPr>
              <w:t>.</w:t>
            </w:r>
          </w:p>
        </w:tc>
        <w:tc>
          <w:tcPr>
            <w:tcW w:w="4074" w:type="dxa"/>
          </w:tcPr>
          <w:p w:rsidR="001F3EBF" w:rsidRPr="008218F5"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218F5">
              <w:rPr>
                <w:lang w:eastAsia="en-AU"/>
              </w:rPr>
              <w:t xml:space="preserve">Ensure limited one way interoperability in accordance with the Type 1 SAS for Australian Government—Product: Integration specification. </w:t>
            </w:r>
          </w:p>
          <w:p w:rsidR="001F3EBF" w:rsidRPr="008218F5"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p>
          <w:p w:rsidR="001F3EBF" w:rsidRPr="008218F5" w:rsidDel="00D519C8"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218F5">
              <w:rPr>
                <w:lang w:eastAsia="en-AU"/>
              </w:rPr>
              <w:t>The alarm system may disable access control system when activated</w:t>
            </w:r>
            <w:r>
              <w:rPr>
                <w:lang w:eastAsia="en-AU"/>
              </w:rPr>
              <w:t>.</w:t>
            </w:r>
          </w:p>
        </w:tc>
      </w:tr>
      <w:tr w:rsidR="001F3EBF" w:rsidTr="006807CD">
        <w:trPr>
          <w:cantSplit/>
        </w:trPr>
        <w:tc>
          <w:tcPr>
            <w:cnfStyle w:val="001000000000" w:firstRow="0" w:lastRow="0" w:firstColumn="1" w:lastColumn="0" w:oddVBand="0" w:evenVBand="0" w:oddHBand="0" w:evenHBand="0" w:firstRowFirstColumn="0" w:firstRowLastColumn="0" w:lastRowFirstColumn="0" w:lastRowLastColumn="0"/>
            <w:tcW w:w="2093" w:type="dxa"/>
          </w:tcPr>
          <w:p w:rsidR="001F3EBF" w:rsidRPr="00D63CDA" w:rsidRDefault="001F3EBF" w:rsidP="006807CD">
            <w:pPr>
              <w:pStyle w:val="Tablebody"/>
              <w:rPr>
                <w:lang w:eastAsia="en-AU"/>
              </w:rPr>
            </w:pPr>
            <w:r w:rsidRPr="00D63CDA">
              <w:rPr>
                <w:lang w:eastAsia="en-AU"/>
              </w:rPr>
              <w:t>Access control systems</w:t>
            </w:r>
          </w:p>
        </w:tc>
        <w:tc>
          <w:tcPr>
            <w:tcW w:w="4073"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In accordance with entity risk assessment.</w:t>
            </w:r>
          </w:p>
        </w:tc>
        <w:tc>
          <w:tcPr>
            <w:tcW w:w="4073" w:type="dxa"/>
          </w:tcPr>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In accordance with entity risk assessment</w:t>
            </w:r>
            <w:r>
              <w:rPr>
                <w:lang w:eastAsia="en-AU"/>
              </w:rPr>
              <w:t>.</w:t>
            </w:r>
            <w:r w:rsidRPr="00833D0D">
              <w:rPr>
                <w:lang w:eastAsia="en-AU"/>
              </w:rPr>
              <w:t xml:space="preserve"> </w:t>
            </w:r>
          </w:p>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p>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 xml:space="preserve">Recommend </w:t>
            </w:r>
            <w:r>
              <w:rPr>
                <w:lang w:eastAsia="en-AU"/>
              </w:rPr>
              <w:t xml:space="preserve">using </w:t>
            </w:r>
            <w:r w:rsidRPr="00833D0D">
              <w:rPr>
                <w:lang w:eastAsia="en-AU"/>
              </w:rPr>
              <w:t>identity access card in office environments</w:t>
            </w:r>
            <w:r>
              <w:rPr>
                <w:lang w:eastAsia="en-AU"/>
              </w:rPr>
              <w:t>.</w:t>
            </w:r>
          </w:p>
        </w:tc>
        <w:tc>
          <w:tcPr>
            <w:tcW w:w="4073" w:type="dxa"/>
          </w:tcPr>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pPr>
            <w:r w:rsidRPr="00833D0D">
              <w:rPr>
                <w:lang w:eastAsia="en-AU"/>
              </w:rPr>
              <w:t>Use identity card and sectionalised access control systems</w:t>
            </w:r>
            <w:r>
              <w:rPr>
                <w:lang w:eastAsia="en-AU"/>
              </w:rPr>
              <w:t>.</w:t>
            </w:r>
            <w:r w:rsidRPr="007156DF">
              <w:t xml:space="preserve"> </w:t>
            </w:r>
          </w:p>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pPr>
          </w:p>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pPr>
            <w:r w:rsidRPr="007156DF">
              <w:t xml:space="preserve">Use </w:t>
            </w:r>
            <w:r>
              <w:t>Electronic Assess Control Systems (</w:t>
            </w:r>
            <w:r w:rsidRPr="007156DF">
              <w:t>EACS</w:t>
            </w:r>
            <w:r>
              <w:t>)</w:t>
            </w:r>
            <w:r w:rsidRPr="007156DF">
              <w:t xml:space="preserve"> where there are no other suitable verification and access control measures in place.</w:t>
            </w:r>
          </w:p>
          <w:p w:rsidR="001F3EBF" w:rsidRPr="007156DF" w:rsidRDefault="001F3EBF" w:rsidP="006807CD">
            <w:pPr>
              <w:pStyle w:val="Tablebody"/>
              <w:cnfStyle w:val="000000000000" w:firstRow="0" w:lastRow="0" w:firstColumn="0" w:lastColumn="0" w:oddVBand="0" w:evenVBand="0" w:oddHBand="0" w:evenHBand="0" w:firstRowFirstColumn="0" w:firstRowLastColumn="0" w:lastRowFirstColumn="0" w:lastRowLastColumn="0"/>
            </w:pPr>
          </w:p>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pPr>
            <w:r w:rsidRPr="007156DF">
              <w:t xml:space="preserve">Verify the identity of all personnel, including contractors, issued with EACS access cards at the time of issue (using the </w:t>
            </w:r>
            <w:hyperlink r:id="rId12" w:history="1">
              <w:r w:rsidRPr="00FB16BE">
                <w:rPr>
                  <w:rStyle w:val="Hyperlink"/>
                </w:rPr>
                <w:t>National I</w:t>
              </w:r>
              <w:r w:rsidRPr="00FB16BE">
                <w:rPr>
                  <w:rStyle w:val="Hyperlink"/>
                </w:rPr>
                <w:t>d</w:t>
              </w:r>
              <w:r w:rsidRPr="00FB16BE">
                <w:rPr>
                  <w:rStyle w:val="Hyperlink"/>
                </w:rPr>
                <w:t>entity Proofing Guidelines</w:t>
              </w:r>
            </w:hyperlink>
            <w:r>
              <w:t xml:space="preserve"> to a minimum level 3).</w:t>
            </w:r>
          </w:p>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pPr>
          </w:p>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t>R</w:t>
            </w:r>
            <w:r w:rsidRPr="00833D0D">
              <w:t>egularly audit EACS</w:t>
            </w:r>
            <w:r>
              <w:t>.</w:t>
            </w:r>
          </w:p>
        </w:tc>
        <w:tc>
          <w:tcPr>
            <w:tcW w:w="4073" w:type="dxa"/>
          </w:tcPr>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 xml:space="preserve">As for Zone Three, </w:t>
            </w:r>
            <w:r w:rsidRPr="00833D0D">
              <w:rPr>
                <w:lang w:eastAsia="en-AU"/>
              </w:rPr>
              <w:t>with full audit trail</w:t>
            </w:r>
            <w:r>
              <w:rPr>
                <w:lang w:eastAsia="en-AU"/>
              </w:rPr>
              <w:t xml:space="preserve"> of access control systems.</w:t>
            </w:r>
          </w:p>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p>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Directly managed and controlled by the entity.</w:t>
            </w:r>
          </w:p>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p>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Maintained by appropriately cleared contractors</w:t>
            </w:r>
          </w:p>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p>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Privileged operators and users are appropriately trained and security cleared to the level of the security zone.</w:t>
            </w:r>
          </w:p>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p>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Regularly audit EACS.</w:t>
            </w:r>
          </w:p>
        </w:tc>
        <w:tc>
          <w:tcPr>
            <w:tcW w:w="4074"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As for Zone Four,</w:t>
            </w:r>
            <w:r w:rsidRPr="00833D0D">
              <w:rPr>
                <w:lang w:eastAsia="en-AU"/>
              </w:rPr>
              <w:t xml:space="preserve"> with full audit tr</w:t>
            </w:r>
            <w:r>
              <w:rPr>
                <w:lang w:eastAsia="en-AU"/>
              </w:rPr>
              <w:t>ai</w:t>
            </w:r>
            <w:r w:rsidRPr="00833D0D">
              <w:rPr>
                <w:lang w:eastAsia="en-AU"/>
              </w:rPr>
              <w:t>l</w:t>
            </w:r>
            <w:r>
              <w:rPr>
                <w:lang w:eastAsia="en-AU"/>
              </w:rPr>
              <w:t xml:space="preserve"> of access control systems</w:t>
            </w:r>
            <w:r w:rsidRPr="00833D0D">
              <w:rPr>
                <w:lang w:eastAsia="en-AU"/>
              </w:rPr>
              <w:t xml:space="preserve"> and dual authentication</w:t>
            </w:r>
            <w:r>
              <w:rPr>
                <w:lang w:eastAsia="en-AU"/>
              </w:rPr>
              <w:t>.</w:t>
            </w:r>
          </w:p>
        </w:tc>
      </w:tr>
      <w:tr w:rsidR="001F3EBF" w:rsidTr="00680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1F3EBF" w:rsidRPr="00B65871" w:rsidRDefault="001F3EBF" w:rsidP="006807CD">
            <w:pPr>
              <w:pStyle w:val="Tablebody"/>
            </w:pPr>
            <w:r w:rsidRPr="00B65871">
              <w:rPr>
                <w:lang w:eastAsia="en-AU"/>
              </w:rPr>
              <w:t>Technical surveillance counter</w:t>
            </w:r>
            <w:r>
              <w:rPr>
                <w:lang w:eastAsia="en-AU"/>
              </w:rPr>
              <w:t>-</w:t>
            </w:r>
            <w:r w:rsidRPr="00B65871">
              <w:rPr>
                <w:lang w:eastAsia="en-AU"/>
              </w:rPr>
              <w:t>measures (TSCM)</w:t>
            </w:r>
          </w:p>
        </w:tc>
        <w:tc>
          <w:tcPr>
            <w:tcW w:w="4073" w:type="dxa"/>
          </w:tcPr>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pPr>
            <w:r>
              <w:t>No requirement.</w:t>
            </w:r>
          </w:p>
        </w:tc>
        <w:tc>
          <w:tcPr>
            <w:tcW w:w="4073" w:type="dxa"/>
          </w:tcPr>
          <w:p w:rsidR="001F3EBF" w:rsidRDefault="001F3EBF" w:rsidP="006807CD">
            <w:pPr>
              <w:pStyle w:val="Tablebody"/>
              <w:cnfStyle w:val="000000100000" w:firstRow="0" w:lastRow="0" w:firstColumn="0" w:lastColumn="0" w:oddVBand="0" w:evenVBand="0" w:oddHBand="1" w:evenHBand="0" w:firstRowFirstColumn="0" w:firstRowLastColumn="0" w:lastRowFirstColumn="0" w:lastRowLastColumn="0"/>
            </w:pPr>
            <w:r>
              <w:rPr>
                <w:lang w:eastAsia="en-AU"/>
              </w:rPr>
              <w:t>No requirement.</w:t>
            </w:r>
          </w:p>
        </w:tc>
        <w:tc>
          <w:tcPr>
            <w:tcW w:w="4073" w:type="dxa"/>
          </w:tcPr>
          <w:p w:rsidR="001F3EBF" w:rsidRDefault="001F3EBF" w:rsidP="006807CD">
            <w:pPr>
              <w:pStyle w:val="Tablebody"/>
              <w:cnfStyle w:val="000000100000" w:firstRow="0" w:lastRow="0" w:firstColumn="0" w:lastColumn="0" w:oddVBand="0" w:evenVBand="0" w:oddHBand="1" w:evenHBand="0" w:firstRowFirstColumn="0" w:firstRowLastColumn="0" w:lastRowFirstColumn="0" w:lastRowLastColumn="0"/>
            </w:pPr>
            <w:r w:rsidRPr="00423A32">
              <w:rPr>
                <w:lang w:eastAsia="en-AU"/>
              </w:rPr>
              <w:t xml:space="preserve">As </w:t>
            </w:r>
            <w:r>
              <w:rPr>
                <w:lang w:eastAsia="en-AU"/>
              </w:rPr>
              <w:t>determined by a risk assessment.</w:t>
            </w:r>
          </w:p>
        </w:tc>
        <w:tc>
          <w:tcPr>
            <w:tcW w:w="4073" w:type="dxa"/>
          </w:tcPr>
          <w:p w:rsidR="001F3EBF" w:rsidRDefault="001F3EBF" w:rsidP="006807CD">
            <w:pPr>
              <w:pStyle w:val="Tablebody"/>
              <w:cnfStyle w:val="000000100000" w:firstRow="0" w:lastRow="0" w:firstColumn="0" w:lastColumn="0" w:oddVBand="0" w:evenVBand="0" w:oddHBand="1" w:evenHBand="0" w:firstRowFirstColumn="0" w:firstRowLastColumn="0" w:lastRowFirstColumn="0" w:lastRowLastColumn="0"/>
            </w:pPr>
            <w:r w:rsidRPr="00423A32">
              <w:rPr>
                <w:lang w:eastAsia="en-AU"/>
              </w:rPr>
              <w:t xml:space="preserve">As for Zone </w:t>
            </w:r>
            <w:r>
              <w:rPr>
                <w:lang w:eastAsia="en-AU"/>
              </w:rPr>
              <w:t>Three.</w:t>
            </w:r>
          </w:p>
        </w:tc>
        <w:tc>
          <w:tcPr>
            <w:tcW w:w="4074" w:type="dxa"/>
          </w:tcPr>
          <w:p w:rsidR="001F3EBF" w:rsidRPr="00833D0D" w:rsidRDefault="001F3EBF" w:rsidP="006807CD">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33D0D">
              <w:t>TSCM and audio security inspection:</w:t>
            </w:r>
          </w:p>
          <w:p w:rsidR="001F3EBF" w:rsidRPr="00833D0D" w:rsidRDefault="001F3EBF" w:rsidP="001F3EBF">
            <w:pPr>
              <w:pStyle w:val="Tablebodybullet1"/>
              <w:numPr>
                <w:ilvl w:val="0"/>
                <w:numId w:val="6"/>
              </w:numPr>
              <w:cnfStyle w:val="000000100000" w:firstRow="0" w:lastRow="0" w:firstColumn="0" w:lastColumn="0" w:oddVBand="0" w:evenVBand="0" w:oddHBand="1" w:evenHBand="0" w:firstRowFirstColumn="0" w:firstRowLastColumn="0" w:lastRowFirstColumn="0" w:lastRowLastColumn="0"/>
            </w:pPr>
            <w:r w:rsidRPr="00833D0D">
              <w:t>for areas where TOP SECRET discussions are regularly held, or the compromise of other discussions may have a catastrophic business impact</w:t>
            </w:r>
            <w:r>
              <w:t xml:space="preserve"> level</w:t>
            </w:r>
            <w:r w:rsidRPr="00833D0D">
              <w:t xml:space="preserve"> </w:t>
            </w:r>
          </w:p>
          <w:p w:rsidR="001F3EBF" w:rsidRDefault="001F3EBF" w:rsidP="001F3EBF">
            <w:pPr>
              <w:pStyle w:val="Tablebodybullet1"/>
              <w:numPr>
                <w:ilvl w:val="0"/>
                <w:numId w:val="6"/>
              </w:numPr>
              <w:cnfStyle w:val="000000100000" w:firstRow="0" w:lastRow="0" w:firstColumn="0" w:lastColumn="0" w:oddVBand="0" w:evenVBand="0" w:oddHBand="1" w:evenHBand="0" w:firstRowFirstColumn="0" w:firstRowLastColumn="0" w:lastRowFirstColumn="0" w:lastRowLastColumn="0"/>
            </w:pPr>
            <w:r w:rsidRPr="00833D0D">
              <w:t>before conferences and meetings where TOP SECRET discussions are to be held</w:t>
            </w:r>
          </w:p>
          <w:p w:rsidR="001F3EBF" w:rsidRPr="00542F5D" w:rsidRDefault="001F3EBF" w:rsidP="001F3EBF">
            <w:pPr>
              <w:pStyle w:val="Tablebodybullet1"/>
              <w:numPr>
                <w:ilvl w:val="0"/>
                <w:numId w:val="6"/>
              </w:numPr>
              <w:cnfStyle w:val="000000100000" w:firstRow="0" w:lastRow="0" w:firstColumn="0" w:lastColumn="0" w:oddVBand="0" w:evenVBand="0" w:oddHBand="1" w:evenHBand="0" w:firstRowFirstColumn="0" w:firstRowLastColumn="0" w:lastRowFirstColumn="0" w:lastRowLastColumn="0"/>
            </w:pPr>
            <w:r>
              <w:t>s</w:t>
            </w:r>
            <w:r w:rsidRPr="00542F5D">
              <w:t xml:space="preserve">eek advice from ASIO-T4 and refer </w:t>
            </w:r>
            <w:r w:rsidRPr="00F5269A">
              <w:rPr>
                <w:rStyle w:val="Hyperlink"/>
                <w:color w:val="auto"/>
                <w:u w:val="none"/>
              </w:rPr>
              <w:t>ASIO Technical Note 5/12 Physical Security of Zone Five (TOP SECRET) areas</w:t>
            </w:r>
            <w:r w:rsidRPr="00F5269A">
              <w:rPr>
                <w:color w:val="auto"/>
              </w:rPr>
              <w:t>.</w:t>
            </w:r>
          </w:p>
        </w:tc>
      </w:tr>
      <w:tr w:rsidR="001F3EBF" w:rsidTr="006807CD">
        <w:tc>
          <w:tcPr>
            <w:cnfStyle w:val="001000000000" w:firstRow="0" w:lastRow="0" w:firstColumn="1" w:lastColumn="0" w:oddVBand="0" w:evenVBand="0" w:oddHBand="0" w:evenHBand="0" w:firstRowFirstColumn="0" w:firstRowLastColumn="0" w:lastRowFirstColumn="0" w:lastRowLastColumn="0"/>
            <w:tcW w:w="2093" w:type="dxa"/>
          </w:tcPr>
          <w:p w:rsidR="001F3EBF" w:rsidRPr="00B65871" w:rsidRDefault="001F3EBF" w:rsidP="006807CD">
            <w:pPr>
              <w:pStyle w:val="Tablebody"/>
              <w:rPr>
                <w:lang w:eastAsia="en-AU"/>
              </w:rPr>
            </w:pPr>
            <w:r>
              <w:rPr>
                <w:lang w:eastAsia="en-AU"/>
              </w:rPr>
              <w:t>Visitor control</w:t>
            </w:r>
          </w:p>
        </w:tc>
        <w:tc>
          <w:tcPr>
            <w:tcW w:w="4073"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pPr>
            <w:r w:rsidRPr="00833D0D">
              <w:t>In accordan</w:t>
            </w:r>
            <w:r>
              <w:t>ce with entity risk assessment.</w:t>
            </w:r>
          </w:p>
        </w:tc>
        <w:tc>
          <w:tcPr>
            <w:tcW w:w="4073"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pPr>
            <w:r w:rsidRPr="00833D0D">
              <w:t>In accordance with entity risk assessment. Recommended to record visitors, issue passes and escort in sensitive areas</w:t>
            </w:r>
            <w:r>
              <w:t>.</w:t>
            </w:r>
          </w:p>
        </w:tc>
        <w:tc>
          <w:tcPr>
            <w:tcW w:w="4073" w:type="dxa"/>
          </w:tcPr>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pPr>
            <w:r>
              <w:rPr>
                <w:rFonts w:cstheme="minorHAnsi"/>
              </w:rPr>
              <w:t>V</w:t>
            </w:r>
            <w:r w:rsidRPr="00496B74">
              <w:rPr>
                <w:rFonts w:cstheme="minorHAnsi"/>
              </w:rPr>
              <w:t xml:space="preserve">isitor </w:t>
            </w:r>
            <w:r>
              <w:rPr>
                <w:rFonts w:cstheme="minorHAnsi"/>
              </w:rPr>
              <w:t xml:space="preserve">and contractor </w:t>
            </w:r>
            <w:r w:rsidRPr="00496B74">
              <w:rPr>
                <w:rFonts w:cstheme="minorHAnsi"/>
              </w:rPr>
              <w:t>access only for visitors with a need</w:t>
            </w:r>
            <w:r>
              <w:rPr>
                <w:rFonts w:cstheme="minorHAnsi"/>
              </w:rPr>
              <w:t xml:space="preserve"> </w:t>
            </w:r>
            <w:r w:rsidRPr="00496B74">
              <w:rPr>
                <w:rFonts w:cstheme="minorHAnsi"/>
              </w:rPr>
              <w:t>to</w:t>
            </w:r>
            <w:r>
              <w:rPr>
                <w:rFonts w:cstheme="minorHAnsi"/>
              </w:rPr>
              <w:t xml:space="preserve"> </w:t>
            </w:r>
            <w:r w:rsidRPr="00496B74">
              <w:rPr>
                <w:rFonts w:cstheme="minorHAnsi"/>
              </w:rPr>
              <w:t>know and with close escort</w:t>
            </w:r>
            <w:r>
              <w:t>.</w:t>
            </w:r>
          </w:p>
          <w:p w:rsidR="001F3EBF" w:rsidRDefault="001F3EBF" w:rsidP="006807CD">
            <w:pPr>
              <w:pStyle w:val="Tablebody"/>
              <w:cnfStyle w:val="000000000000" w:firstRow="0" w:lastRow="0" w:firstColumn="0" w:lastColumn="0" w:oddVBand="0" w:evenVBand="0" w:oddHBand="0" w:evenHBand="0" w:firstRowFirstColumn="0" w:firstRowLastColumn="0" w:lastRowFirstColumn="0" w:lastRowLastColumn="0"/>
            </w:pPr>
          </w:p>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pPr>
            <w:r>
              <w:t>Recommend providing receptionists and guards with:</w:t>
            </w:r>
          </w:p>
          <w:p w:rsidR="001F3EBF" w:rsidRDefault="001F3EBF" w:rsidP="001F3EBF">
            <w:pPr>
              <w:pStyle w:val="Tablebodybullet1"/>
              <w:numPr>
                <w:ilvl w:val="0"/>
                <w:numId w:val="7"/>
              </w:numPr>
              <w:cnfStyle w:val="000000000000" w:firstRow="0" w:lastRow="0" w:firstColumn="0" w:lastColumn="0" w:oddVBand="0" w:evenVBand="0" w:oddHBand="0" w:evenHBand="0" w:firstRowFirstColumn="0" w:firstRowLastColumn="0" w:lastRowFirstColumn="0" w:lastRowLastColumn="0"/>
            </w:pPr>
            <w:r w:rsidRPr="00833D0D">
              <w:t>detailed auditable visitor control and access instructions</w:t>
            </w:r>
          </w:p>
          <w:p w:rsidR="001F3EBF" w:rsidRPr="0034182C" w:rsidRDefault="001F3EBF" w:rsidP="001F3EBF">
            <w:pPr>
              <w:pStyle w:val="Tablebodybullet1"/>
              <w:numPr>
                <w:ilvl w:val="0"/>
                <w:numId w:val="7"/>
              </w:numPr>
              <w:cnfStyle w:val="000000000000" w:firstRow="0" w:lastRow="0" w:firstColumn="0" w:lastColumn="0" w:oddVBand="0" w:evenVBand="0" w:oddHBand="0" w:evenHBand="0" w:firstRowFirstColumn="0" w:firstRowLastColumn="0" w:lastRowFirstColumn="0" w:lastRowLastColumn="0"/>
            </w:pPr>
            <w:r w:rsidRPr="0034182C">
              <w:t>secure method of calling for immediate assistance if threatened</w:t>
            </w:r>
            <w:r>
              <w:t>.</w:t>
            </w:r>
          </w:p>
        </w:tc>
        <w:tc>
          <w:tcPr>
            <w:tcW w:w="4073"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pPr>
            <w:r>
              <w:rPr>
                <w:lang w:eastAsia="en-AU"/>
              </w:rPr>
              <w:t>As for Zone Three and visitor and contractor access with a need to know and with close escort with constant line of sight.</w:t>
            </w:r>
          </w:p>
        </w:tc>
        <w:tc>
          <w:tcPr>
            <w:tcW w:w="4074" w:type="dxa"/>
          </w:tcPr>
          <w:p w:rsidR="001F3EBF" w:rsidRPr="00833D0D" w:rsidRDefault="001F3EBF" w:rsidP="006807CD">
            <w:pPr>
              <w:pStyle w:val="Tablebody"/>
              <w:cnfStyle w:val="000000000000" w:firstRow="0" w:lastRow="0" w:firstColumn="0" w:lastColumn="0" w:oddVBand="0" w:evenVBand="0" w:oddHBand="0" w:evenHBand="0" w:firstRowFirstColumn="0" w:firstRowLastColumn="0" w:lastRowFirstColumn="0" w:lastRowLastColumn="0"/>
            </w:pPr>
            <w:r>
              <w:rPr>
                <w:lang w:eastAsia="en-AU"/>
              </w:rPr>
              <w:t>As for Zone Four.</w:t>
            </w:r>
          </w:p>
        </w:tc>
      </w:tr>
    </w:tbl>
    <w:p w:rsidR="001F3EBF" w:rsidRDefault="001F3EBF" w:rsidP="001F3EBF">
      <w:pPr>
        <w:pStyle w:val="Tablenotes"/>
      </w:pPr>
      <w:r>
        <w:fldChar w:fldCharType="begin"/>
      </w:r>
      <w:r>
        <w:instrText xml:space="preserve"> REF _Ref520122342 \h </w:instrText>
      </w:r>
      <w:r>
        <w:fldChar w:fldCharType="separate"/>
      </w:r>
      <w:r>
        <w:t xml:space="preserve">Table </w:t>
      </w:r>
      <w:r>
        <w:rPr>
          <w:noProof/>
        </w:rPr>
        <w:t>3</w:t>
      </w:r>
      <w:r>
        <w:fldChar w:fldCharType="end"/>
      </w:r>
      <w:r>
        <w:t xml:space="preserve"> notes:</w:t>
      </w:r>
    </w:p>
    <w:p w:rsidR="00210E35" w:rsidRDefault="00F5269A"/>
    <w:sectPr w:rsidR="00210E35" w:rsidSect="001F3EBF">
      <w:pgSz w:w="23814" w:h="16839" w:orient="landscape" w:code="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EBF" w:rsidRDefault="001F3EBF" w:rsidP="001F3EBF">
      <w:pPr>
        <w:spacing w:after="0"/>
      </w:pPr>
      <w:r>
        <w:separator/>
      </w:r>
    </w:p>
  </w:endnote>
  <w:endnote w:type="continuationSeparator" w:id="0">
    <w:p w:rsidR="001F3EBF" w:rsidRDefault="001F3EBF" w:rsidP="001F3EBF">
      <w:pPr>
        <w:spacing w:after="0"/>
      </w:pPr>
      <w:r>
        <w:continuationSeparator/>
      </w:r>
    </w:p>
  </w:endnote>
  <w:endnote w:id="1">
    <w:p w:rsidR="00F5269A" w:rsidRDefault="00F5269A">
      <w:pPr>
        <w:pStyle w:val="EndnoteText"/>
      </w:pPr>
      <w:r>
        <w:rPr>
          <w:rStyle w:val="EndnoteReference"/>
        </w:rPr>
        <w:endnoteRef/>
      </w:r>
      <w:r>
        <w:t xml:space="preserve"> Access to ASIO Technical Notes is available to Australian Government security personnel via the PSPF community on </w:t>
      </w:r>
      <w:hyperlink r:id="rId1" w:history="1">
        <w:r w:rsidRPr="00F5269A">
          <w:rPr>
            <w:rStyle w:val="Hyperlink"/>
          </w:rPr>
          <w:t>GovTEAMS</w:t>
        </w:r>
      </w:hyperlink>
      <w:bookmarkStart w:id="1" w:name="_GoBack"/>
      <w:bookmarkEnd w:id="1"/>
      <w:r>
        <w:t>.</w:t>
      </w:r>
    </w:p>
  </w:endnote>
  <w:endnote w:id="2">
    <w:p w:rsidR="001F3EBF" w:rsidRPr="00273924" w:rsidRDefault="001F3EBF" w:rsidP="001F3EBF">
      <w:pPr>
        <w:pStyle w:val="Tablenotes"/>
      </w:pPr>
      <w:r w:rsidRPr="00273924">
        <w:rPr>
          <w:rStyle w:val="EndnoteReference"/>
        </w:rPr>
        <w:endnoteRef/>
      </w:r>
      <w:r w:rsidRPr="00273924">
        <w:t xml:space="preserve"> Australian Standard </w:t>
      </w:r>
      <w:hyperlink r:id="rId2" w:history="1">
        <w:r w:rsidRPr="00273924">
          <w:rPr>
            <w:rStyle w:val="Hyperlink"/>
          </w:rPr>
          <w:t>AS/NZS 2201.1</w:t>
        </w:r>
      </w:hyperlink>
      <w:r w:rsidRPr="00273924">
        <w:t xml:space="preserve"> provides guidance on alarm systems.</w:t>
      </w:r>
    </w:p>
  </w:endnote>
  <w:endnote w:id="3">
    <w:p w:rsidR="001F3EBF" w:rsidRPr="009145EF" w:rsidRDefault="001F3EBF" w:rsidP="001F3EBF">
      <w:pPr>
        <w:pStyle w:val="Tablenotes"/>
        <w:rPr>
          <w:color w:val="auto"/>
        </w:rPr>
      </w:pPr>
      <w:r w:rsidRPr="00273924">
        <w:rPr>
          <w:rStyle w:val="EndnoteReference"/>
        </w:rPr>
        <w:endnoteRef/>
      </w:r>
      <w:r w:rsidRPr="00273924">
        <w:t xml:space="preserve"> Refer to PSPF policy: </w:t>
      </w:r>
      <w:hyperlink r:id="rId3" w:history="1">
        <w:r w:rsidRPr="00273924">
          <w:rPr>
            <w:rStyle w:val="Hyperlink"/>
          </w:rPr>
          <w:t>Access to information</w:t>
        </w:r>
      </w:hyperlink>
      <w:r w:rsidRPr="00273924">
        <w:t xml:space="preserve"> for guidance on short term access to </w:t>
      </w:r>
      <w:r>
        <w:t xml:space="preserve">security </w:t>
      </w:r>
      <w:r w:rsidRPr="00273924">
        <w:t>classified resources.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EBF" w:rsidRDefault="001F3EBF" w:rsidP="001F3EBF">
      <w:pPr>
        <w:spacing w:after="0"/>
      </w:pPr>
      <w:r>
        <w:separator/>
      </w:r>
    </w:p>
  </w:footnote>
  <w:footnote w:type="continuationSeparator" w:id="0">
    <w:p w:rsidR="001F3EBF" w:rsidRDefault="001F3EBF" w:rsidP="001F3EB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F47EE6"/>
    <w:multiLevelType w:val="hybridMultilevel"/>
    <w:tmpl w:val="AD82D05E"/>
    <w:lvl w:ilvl="0" w:tplc="5F7813AA">
      <w:start w:val="1"/>
      <w:numFmt w:val="lowerLetter"/>
      <w:pStyle w:val="Tablebodybullet1"/>
      <w:lvlText w:val="%1."/>
      <w:lvlJc w:val="left"/>
      <w:pPr>
        <w:ind w:left="108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504E7A51"/>
    <w:multiLevelType w:val="hybridMultilevel"/>
    <w:tmpl w:val="F6108190"/>
    <w:lvl w:ilvl="0" w:tplc="E7D455EC">
      <w:start w:val="1"/>
      <w:numFmt w:val="lowerLetter"/>
      <w:pStyle w:val="ListBullet2"/>
      <w:lvlText w:val="%1."/>
      <w:lvlJc w:val="left"/>
      <w:pPr>
        <w:ind w:left="786" w:hanging="360"/>
      </w:pPr>
      <w:rPr>
        <w:rFonts w:hint="default"/>
        <w:color w:val="auto"/>
        <w:sz w:val="22"/>
        <w:szCs w:val="22"/>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EBF"/>
    <w:rsid w:val="000155F1"/>
    <w:rsid w:val="00042347"/>
    <w:rsid w:val="001F3EBF"/>
    <w:rsid w:val="00881108"/>
    <w:rsid w:val="008A3F93"/>
    <w:rsid w:val="00F5269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F3EBF"/>
    <w:pPr>
      <w:spacing w:after="120" w:line="240" w:lineRule="auto"/>
    </w:pPr>
    <w:rPr>
      <w:rFonts w:ascii="Calibri" w:eastAsia="Calibri" w:hAnsi="Calibri" w:cs="Calibri"/>
      <w:w w:val="105"/>
      <w:kern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2">
    <w:name w:val="List Bullet 2"/>
    <w:basedOn w:val="ListBullet"/>
    <w:autoRedefine/>
    <w:uiPriority w:val="99"/>
    <w:unhideWhenUsed/>
    <w:qFormat/>
    <w:rsid w:val="001F3EBF"/>
    <w:pPr>
      <w:numPr>
        <w:numId w:val="1"/>
      </w:numPr>
      <w:tabs>
        <w:tab w:val="num" w:pos="360"/>
      </w:tabs>
      <w:ind w:left="720"/>
      <w:contextualSpacing w:val="0"/>
    </w:pPr>
    <w:rPr>
      <w:color w:val="000000" w:themeColor="text1"/>
      <w:szCs w:val="20"/>
    </w:rPr>
  </w:style>
  <w:style w:type="table" w:styleId="LightShading-Accent4">
    <w:name w:val="Light Shading Accent 4"/>
    <w:basedOn w:val="TableNormal"/>
    <w:uiPriority w:val="60"/>
    <w:rsid w:val="001F3EB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Caption">
    <w:name w:val="caption"/>
    <w:basedOn w:val="Normal"/>
    <w:next w:val="Normal"/>
    <w:uiPriority w:val="35"/>
    <w:unhideWhenUsed/>
    <w:qFormat/>
    <w:rsid w:val="001F3EBF"/>
    <w:pPr>
      <w:keepNext/>
      <w:spacing w:before="120" w:after="0"/>
    </w:pPr>
    <w:rPr>
      <w:b/>
      <w:bCs/>
      <w:color w:val="463A70"/>
      <w:sz w:val="18"/>
      <w:szCs w:val="18"/>
    </w:rPr>
  </w:style>
  <w:style w:type="character" w:styleId="Strong">
    <w:name w:val="Strong"/>
    <w:aliases w:val="Table column-row heading"/>
    <w:uiPriority w:val="22"/>
    <w:qFormat/>
    <w:rsid w:val="001F3EBF"/>
    <w:rPr>
      <w:b/>
      <w:color w:val="000000" w:themeColor="text1"/>
      <w:sz w:val="20"/>
    </w:rPr>
  </w:style>
  <w:style w:type="paragraph" w:customStyle="1" w:styleId="Tablebody">
    <w:name w:val="Table body"/>
    <w:basedOn w:val="Normal"/>
    <w:uiPriority w:val="99"/>
    <w:qFormat/>
    <w:rsid w:val="001F3EBF"/>
    <w:pPr>
      <w:spacing w:after="0"/>
    </w:pPr>
    <w:rPr>
      <w:bCs/>
      <w:color w:val="000000" w:themeColor="text1"/>
      <w:sz w:val="20"/>
    </w:rPr>
  </w:style>
  <w:style w:type="paragraph" w:customStyle="1" w:styleId="Tablebodybullet1">
    <w:name w:val="Table body bullet 1"/>
    <w:basedOn w:val="Tablebody"/>
    <w:qFormat/>
    <w:rsid w:val="001F3EBF"/>
    <w:pPr>
      <w:numPr>
        <w:numId w:val="9"/>
      </w:numPr>
      <w:ind w:left="714" w:hanging="357"/>
    </w:pPr>
    <w:rPr>
      <w:bCs w:val="0"/>
    </w:rPr>
  </w:style>
  <w:style w:type="character" w:styleId="Hyperlink">
    <w:name w:val="Hyperlink"/>
    <w:basedOn w:val="DefaultParagraphFont"/>
    <w:uiPriority w:val="99"/>
    <w:unhideWhenUsed/>
    <w:qFormat/>
    <w:rsid w:val="001F3EBF"/>
    <w:rPr>
      <w:color w:val="0000FF" w:themeColor="hyperlink"/>
      <w:u w:val="single"/>
    </w:rPr>
  </w:style>
  <w:style w:type="character" w:styleId="EndnoteReference">
    <w:name w:val="endnote reference"/>
    <w:basedOn w:val="DefaultParagraphFont"/>
    <w:uiPriority w:val="99"/>
    <w:semiHidden/>
    <w:unhideWhenUsed/>
    <w:rsid w:val="001F3EBF"/>
    <w:rPr>
      <w:vertAlign w:val="superscript"/>
    </w:rPr>
  </w:style>
  <w:style w:type="paragraph" w:customStyle="1" w:styleId="Tablenotes">
    <w:name w:val="Table notes"/>
    <w:basedOn w:val="EndnoteText"/>
    <w:rsid w:val="001F3EBF"/>
    <w:rPr>
      <w:color w:val="463A70"/>
    </w:rPr>
  </w:style>
  <w:style w:type="paragraph" w:styleId="ListBullet">
    <w:name w:val="List Bullet"/>
    <w:basedOn w:val="Normal"/>
    <w:uiPriority w:val="99"/>
    <w:semiHidden/>
    <w:unhideWhenUsed/>
    <w:rsid w:val="001F3EBF"/>
    <w:pPr>
      <w:ind w:left="786" w:hanging="360"/>
      <w:contextualSpacing/>
    </w:pPr>
  </w:style>
  <w:style w:type="paragraph" w:styleId="EndnoteText">
    <w:name w:val="endnote text"/>
    <w:basedOn w:val="Normal"/>
    <w:link w:val="EndnoteTextChar"/>
    <w:uiPriority w:val="99"/>
    <w:semiHidden/>
    <w:unhideWhenUsed/>
    <w:rsid w:val="001F3EBF"/>
    <w:pPr>
      <w:spacing w:after="0"/>
    </w:pPr>
    <w:rPr>
      <w:sz w:val="20"/>
      <w:szCs w:val="20"/>
    </w:rPr>
  </w:style>
  <w:style w:type="character" w:customStyle="1" w:styleId="EndnoteTextChar">
    <w:name w:val="Endnote Text Char"/>
    <w:basedOn w:val="DefaultParagraphFont"/>
    <w:link w:val="EndnoteText"/>
    <w:uiPriority w:val="99"/>
    <w:semiHidden/>
    <w:rsid w:val="001F3EBF"/>
    <w:rPr>
      <w:rFonts w:ascii="Calibri" w:eastAsia="Calibri" w:hAnsi="Calibri" w:cs="Calibri"/>
      <w:w w:val="105"/>
      <w:kern w:val="40"/>
      <w:sz w:val="20"/>
      <w:szCs w:val="20"/>
    </w:rPr>
  </w:style>
  <w:style w:type="character" w:styleId="FollowedHyperlink">
    <w:name w:val="FollowedHyperlink"/>
    <w:basedOn w:val="DefaultParagraphFont"/>
    <w:uiPriority w:val="99"/>
    <w:semiHidden/>
    <w:unhideWhenUsed/>
    <w:rsid w:val="00F5269A"/>
    <w:rPr>
      <w:color w:val="800080" w:themeColor="followedHyperlink"/>
      <w:u w:val="single"/>
    </w:rPr>
  </w:style>
  <w:style w:type="paragraph" w:styleId="FootnoteText">
    <w:name w:val="footnote text"/>
    <w:basedOn w:val="Normal"/>
    <w:link w:val="FootnoteTextChar"/>
    <w:uiPriority w:val="99"/>
    <w:semiHidden/>
    <w:unhideWhenUsed/>
    <w:rsid w:val="00F5269A"/>
    <w:pPr>
      <w:spacing w:after="0"/>
    </w:pPr>
    <w:rPr>
      <w:sz w:val="20"/>
      <w:szCs w:val="20"/>
    </w:rPr>
  </w:style>
  <w:style w:type="character" w:customStyle="1" w:styleId="FootnoteTextChar">
    <w:name w:val="Footnote Text Char"/>
    <w:basedOn w:val="DefaultParagraphFont"/>
    <w:link w:val="FootnoteText"/>
    <w:uiPriority w:val="99"/>
    <w:semiHidden/>
    <w:rsid w:val="00F5269A"/>
    <w:rPr>
      <w:rFonts w:ascii="Calibri" w:eastAsia="Calibri" w:hAnsi="Calibri" w:cs="Calibri"/>
      <w:w w:val="105"/>
      <w:kern w:val="40"/>
      <w:sz w:val="20"/>
      <w:szCs w:val="20"/>
    </w:rPr>
  </w:style>
  <w:style w:type="character" w:styleId="FootnoteReference">
    <w:name w:val="footnote reference"/>
    <w:basedOn w:val="DefaultParagraphFont"/>
    <w:uiPriority w:val="99"/>
    <w:semiHidden/>
    <w:unhideWhenUsed/>
    <w:rsid w:val="00F526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omeaffairs.gov.au/criminal-justice/files/national-identity-proofing-guideline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ndards.org.au/standards-catalogue/sa-snz/building/ms-047/as--3555-dot-1-2003"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endnotes.xml.rels><?xml version="1.0" encoding="UTF-8" standalone="yes"?>
<Relationships xmlns="http://schemas.openxmlformats.org/package/2006/relationships"><Relationship Id="rId3" Type="http://schemas.openxmlformats.org/officeDocument/2006/relationships/hyperlink" Target="https://www.protectivesecurity.gov.au/information/access-to-information/Pages/default.aspx" TargetMode="External"/><Relationship Id="rId2" Type="http://schemas.openxmlformats.org/officeDocument/2006/relationships/hyperlink" Target="https://www.standards.org.au/standards-catalogue/sa-snz/electrotechnology/el-031/as-slash-nzs--2201-dot-1-2007" TargetMode="External"/><Relationship Id="rId1" Type="http://schemas.openxmlformats.org/officeDocument/2006/relationships/hyperlink" Target="http://govteams.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62002670FECB4FB5AC0484A5D2C77F" ma:contentTypeVersion="1" ma:contentTypeDescription="Create a new document." ma:contentTypeScope="" ma:versionID="7ea264003e07820848b2d4ebf85af915">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E96D8-C721-4DFC-AA06-E22DAA2A7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B03F91-0B38-42B0-941E-FAB5921B5085}">
  <ds:schemaRefs>
    <ds:schemaRef ds:uri="http://schemas.microsoft.com/sharepoint/v3/contenttype/forms"/>
  </ds:schemaRefs>
</ds:datastoreItem>
</file>

<file path=customXml/itemProps3.xml><?xml version="1.0" encoding="utf-8"?>
<ds:datastoreItem xmlns:ds="http://schemas.openxmlformats.org/officeDocument/2006/customXml" ds:itemID="{9E57B7F2-6932-4712-A140-901A9533DD5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7EBBE84-C070-4B6F-B35C-C896EE529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Table 3 Physical protections for security zones—level of assurance required for sharing of sensitive and security classified information and assets </vt:lpstr>
    </vt:vector>
  </TitlesOfParts>
  <Company/>
  <LinksUpToDate>false</LinksUpToDate>
  <CharactersWithSpaces>6821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3 Physical protections for security zones—level of assurance required for sharing of sensitive and security classified information and assets </dc:title>
  <dc:subject/>
  <dc:creator/>
  <cp:keywords/>
  <dc:description/>
  <cp:lastModifiedBy/>
  <cp:revision>1</cp:revision>
  <dcterms:created xsi:type="dcterms:W3CDTF">2018-09-26T01:26:00Z</dcterms:created>
  <dcterms:modified xsi:type="dcterms:W3CDTF">2020-03-26T03:50:00Z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0x0101008862002670FECB4FB5AC0484A5D2C77F</vt:lpwstr>
  </property>
  <property fmtid="{D5CDD505-2E9C-101B-9397-08002B2CF9AE}" pid="3" name="Order">
    <vt:r8>300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ies>
</file>