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B9926" w14:textId="7EB7194C" w:rsidR="006C4952" w:rsidRDefault="0036554D" w:rsidP="00EB0847">
      <w:pPr>
        <w:pStyle w:val="Annexheading"/>
        <w:numPr>
          <w:ilvl w:val="0"/>
          <w:numId w:val="6"/>
        </w:numPr>
      </w:pPr>
      <w:bookmarkStart w:id="0" w:name="_Ref513635379"/>
      <w:bookmarkStart w:id="1" w:name="_GoBack"/>
      <w:bookmarkEnd w:id="1"/>
      <w:r>
        <w:t xml:space="preserve">PSPF </w:t>
      </w:r>
      <w:r w:rsidR="005C3B2D">
        <w:t>M</w:t>
      </w:r>
      <w:r>
        <w:t xml:space="preserve">aturity </w:t>
      </w:r>
      <w:r w:rsidR="005C3B2D">
        <w:t>S</w:t>
      </w:r>
      <w:r>
        <w:t>elf-</w:t>
      </w:r>
      <w:r w:rsidR="005C3B2D">
        <w:t>A</w:t>
      </w:r>
      <w:r>
        <w:t xml:space="preserve">ssessment </w:t>
      </w:r>
      <w:r w:rsidR="005C3B2D">
        <w:t>M</w:t>
      </w:r>
      <w:r>
        <w:t>odel</w:t>
      </w:r>
      <w:bookmarkEnd w:id="0"/>
    </w:p>
    <w:p w14:paraId="3C56DB0D" w14:textId="16802505" w:rsidR="0075565E" w:rsidRPr="00BD4661" w:rsidRDefault="0075565E" w:rsidP="000A427F">
      <w:pPr>
        <w:pStyle w:val="Heading3"/>
        <w:numPr>
          <w:ilvl w:val="0"/>
          <w:numId w:val="0"/>
        </w:numPr>
        <w:ind w:left="567" w:hanging="567"/>
      </w:pPr>
      <w:r w:rsidRPr="00BD4661">
        <w:t>Personnel security</w:t>
      </w:r>
    </w:p>
    <w:p w14:paraId="798724A9" w14:textId="77777777" w:rsidR="007A0098" w:rsidRDefault="0075565E" w:rsidP="0019550C">
      <w:pPr>
        <w:keepNext/>
      </w:pPr>
      <w:r w:rsidRPr="00FC4202">
        <w:rPr>
          <w:b/>
        </w:rPr>
        <w:t xml:space="preserve">Outcome: </w:t>
      </w:r>
      <w:r w:rsidRPr="00BD4661">
        <w:t xml:space="preserve">Each entity ensures its </w:t>
      </w:r>
      <w:r w:rsidRPr="003A74DA">
        <w:t>employees</w:t>
      </w:r>
      <w:r w:rsidRPr="00BD4661">
        <w:t xml:space="preserve"> (and contractors) are suitable to access Australian Government resources and meet an appropriate standard of integrity and honesty.</w:t>
      </w:r>
      <w:r w:rsidR="007A0098">
        <w:t xml:space="preserve"> </w:t>
      </w:r>
    </w:p>
    <w:p w14:paraId="2E4A8835" w14:textId="657BC3AD" w:rsidR="00CA7A03" w:rsidRDefault="0075565E" w:rsidP="0019550C">
      <w:pPr>
        <w:keepNext/>
      </w:pPr>
      <w:r w:rsidRPr="007A0098">
        <w:rPr>
          <w:b/>
          <w:bCs/>
          <w:color w:val="463A70"/>
          <w:sz w:val="18"/>
          <w:szCs w:val="18"/>
        </w:rPr>
        <w:t xml:space="preserve">Table </w:t>
      </w:r>
      <w:r w:rsidR="00E27F29" w:rsidRPr="007A0098">
        <w:rPr>
          <w:b/>
          <w:bCs/>
          <w:color w:val="463A70"/>
          <w:sz w:val="18"/>
          <w:szCs w:val="18"/>
        </w:rPr>
        <w:fldChar w:fldCharType="begin"/>
      </w:r>
      <w:r w:rsidR="00E27F29" w:rsidRPr="007A0098">
        <w:rPr>
          <w:b/>
          <w:bCs/>
          <w:color w:val="463A70"/>
          <w:sz w:val="18"/>
          <w:szCs w:val="18"/>
        </w:rPr>
        <w:instrText xml:space="preserve"> SEQ Annex_Table \* ARABIC </w:instrText>
      </w:r>
      <w:r w:rsidR="00E27F29" w:rsidRPr="007A0098">
        <w:rPr>
          <w:b/>
          <w:bCs/>
          <w:color w:val="463A70"/>
          <w:sz w:val="18"/>
          <w:szCs w:val="18"/>
        </w:rPr>
        <w:fldChar w:fldCharType="separate"/>
      </w:r>
      <w:r w:rsidR="001039E5" w:rsidRPr="007A0098">
        <w:rPr>
          <w:b/>
          <w:bCs/>
          <w:color w:val="463A70"/>
          <w:sz w:val="18"/>
          <w:szCs w:val="18"/>
        </w:rPr>
        <w:t>3</w:t>
      </w:r>
      <w:r w:rsidR="00E27F29" w:rsidRPr="007A0098">
        <w:rPr>
          <w:b/>
          <w:bCs/>
          <w:color w:val="463A70"/>
          <w:sz w:val="18"/>
          <w:szCs w:val="18"/>
        </w:rPr>
        <w:fldChar w:fldCharType="end"/>
      </w:r>
      <w:r w:rsidRPr="007A0098">
        <w:rPr>
          <w:b/>
          <w:bCs/>
          <w:color w:val="463A70"/>
          <w:sz w:val="18"/>
          <w:szCs w:val="18"/>
        </w:rPr>
        <w:t xml:space="preserve"> PSPF </w:t>
      </w:r>
      <w:r w:rsidR="00E85E8A" w:rsidRPr="007A0098">
        <w:rPr>
          <w:b/>
          <w:bCs/>
          <w:color w:val="463A70"/>
          <w:sz w:val="18"/>
          <w:szCs w:val="18"/>
        </w:rPr>
        <w:t>M</w:t>
      </w:r>
      <w:r w:rsidRPr="007A0098">
        <w:rPr>
          <w:b/>
          <w:bCs/>
          <w:color w:val="463A70"/>
          <w:sz w:val="18"/>
          <w:szCs w:val="18"/>
        </w:rPr>
        <w:t xml:space="preserve">aturity </w:t>
      </w:r>
      <w:r w:rsidR="00E85E8A" w:rsidRPr="007A0098">
        <w:rPr>
          <w:b/>
          <w:bCs/>
          <w:color w:val="463A70"/>
          <w:sz w:val="18"/>
          <w:szCs w:val="18"/>
        </w:rPr>
        <w:t>Self-A</w:t>
      </w:r>
      <w:r w:rsidRPr="007A0098">
        <w:rPr>
          <w:b/>
          <w:bCs/>
          <w:color w:val="463A70"/>
          <w:sz w:val="18"/>
          <w:szCs w:val="18"/>
        </w:rPr>
        <w:t xml:space="preserve">ssessment </w:t>
      </w:r>
      <w:r w:rsidR="00E85E8A" w:rsidRPr="007A0098">
        <w:rPr>
          <w:b/>
          <w:bCs/>
          <w:color w:val="463A70"/>
          <w:sz w:val="18"/>
          <w:szCs w:val="18"/>
        </w:rPr>
        <w:t>M</w:t>
      </w:r>
      <w:r w:rsidRPr="007A0098">
        <w:rPr>
          <w:b/>
          <w:bCs/>
          <w:color w:val="463A70"/>
          <w:sz w:val="18"/>
          <w:szCs w:val="18"/>
        </w:rPr>
        <w:t>odel</w:t>
      </w:r>
      <w:r>
        <w:t xml:space="preserve"> </w:t>
      </w:r>
    </w:p>
    <w:tbl>
      <w:tblPr>
        <w:tblStyle w:val="LightShading-Accent41"/>
        <w:tblW w:w="0" w:type="auto"/>
        <w:tblLook w:val="04A0" w:firstRow="1" w:lastRow="0" w:firstColumn="1" w:lastColumn="0" w:noHBand="0" w:noVBand="1"/>
        <w:tblCaption w:val="Table 3 PSPF Maturity Self-Assesment Model"/>
        <w:tblDescription w:val="his table supports self-assessment of maturity for each of the PSPF's core requirements relating to personnel security.&#10;For each core requirement, maturity can be assessed as: Ad hoc, Developing, Managing or Embedded.&#10;&#10;Ad hoc maturity is described as partial maturity. This means some PSPF core and supporting requirements are implemented although are not well understood across the entity. Security outcomes are not being achieved in some areas.&#10;Developing security is described as substantial maturity. This means the majority of PSPF core and supporting requirements are implemented, broadly managed and understood across the entity. Entity is largely meeting security outcomes.&#10;Managing security is described as full matuity. This means all PSPF core and supporting requirements are implemented, integrated into business practices and effectively disseminated across the entity. Entity meets security outcomes. &#10;Embedded security is described as excelled maturity. This means all PSPF core and supporting requirements are implemented, effectively integrated and exceeding security outcomes. Entity’s implementation of better-practice guidance drives achieving high performance.&#10;&#10;For the core requirement on eligibility and suitability of personnel, each maturity level is described as follows.&#10;Ad hoc: The entity partially has procedures and systems in place to ensure personnel are eligible and suitable to access Australian Government resources. Pre-employment screening is ad hoc and security vetting requirements (where relevant) are partially followed. Some risks associated with eligibility and suitability of personnel are managed.&#10;Developing: The entity has developed the majority of the entity’s procedures and systems to ensure that personnel are eligible and suitable to access Australian Government resources. Pre-employment screening practices are substantially in place and security vetting requirements (where relevant) mostly followed. The entity manages the majority of risks associated with eligibility and suitability of personnel.&#10;Managing: Procedures and systems are in place to ensure that all personnel are eligible and suitable to access Australian Government resources. All pre-employment screening and security vetting (where relevant) requirements are followed. These procedures and systems mitigate risks identified in the entity’s personnel security risk assessment.&#10;Embedded: The entity excels in implementing efficient and timely processes to ensure the eligibility and suitability of personnel to access Australian Government resources. All requirements are followed and the entity has comprehensive practices in place to proactively manage risks identified in its personnel security risk assessment.&#10;&#10;For the core requirement on the ongoing assessment of personnel, each maturity level is described as follows.&#10;Ad hoc: The entity assesses and partially manages ongoing suitability of all personnel affecting. Information of security concern for ongoing suitability of personnel is assessed and shared on an ad hoc basis with relevant stakeholders. Some security clearance maintenance requirements (where relevant) are met. &#10;Developing: The entity has substantially developed its procedures and systems to assess and manage ongoing suitability of all personnel. In the majority of cases, information of security concern for ongoing suitability of personnel is assessed and shared by the entity with relevant stakeholders. Procedures are mostly in place to ensure compliance with security clearance maintenance requirements (where relevant).&#10;Managing: Procedures and systems are in place to ensure that the ongoing suitability of personnel is assessed and managed in accordance with the entity’s personnel security risk assessment. The entity has established lines of communication and processes to ensure information of security concern is shared with stakeholders as appropriate. The entity has procedures in place to ensure compliance with all security clearance maintenance requirements (where relevant). &#10;Embedded: The entity is proactive in assessing and managing the suitability of personnel, including security clearance maintenance requirements (where relevant), to ensure integrity of the entity’s core business. The entity has well established lines of communication and robust processes to ensure information of security concern for ongoing suitability of personnel is shared with stakeholders in a timely manner.&#10;&#10;For the core requirement on separating personnel, each maturity level is described as follows.&#10;Ad hoc: Partial ad hoc processes are in place to ensure that separating personnel have their access to Australian Government resources withdrawn and are informed of their ongoing security obligations.&#10;Developing: Separating personnel, in the majority of cases, understand their ongoing security obligations and have their access to Australian Government resources withdrawn. Systems and processes are substantially developed to verify consistency of separating personnel practices across the entity. &#10;Managing: The entity has in place systems and processes to ensure that all separating personnel understand their ongoing security obligations, particularly where they have had access to sensitive and security classified information and resources during their employment. Separating personnel have their access to Australian Government resources withdrawn within an appropriate timeframe. &#10;Embedded: The entity has proactively implemented systems and processes that are reviewed regularly for separating personnel. Access to Australian Government resources is withdrawn from personnel on separation. The entity ensures separating personnel are debriefed and provided a comprehensive understanding of their ongoing security obligations. Information of security concern about separating personnel is shared with relevant stakeholders, including internally, where appropriate. Risk assessments are undertaken, where appropriate.&#10;"/>
      </w:tblPr>
      <w:tblGrid>
        <w:gridCol w:w="1524"/>
        <w:gridCol w:w="834"/>
        <w:gridCol w:w="2612"/>
        <w:gridCol w:w="1199"/>
        <w:gridCol w:w="2259"/>
        <w:gridCol w:w="1082"/>
        <w:gridCol w:w="2373"/>
        <w:gridCol w:w="1151"/>
        <w:gridCol w:w="2318"/>
      </w:tblGrid>
      <w:tr w:rsidR="00094652" w:rsidRPr="00C166C3" w14:paraId="616E1799" w14:textId="77777777" w:rsidTr="00617D6C">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24" w:type="dxa"/>
          </w:tcPr>
          <w:p w14:paraId="203A22BD" w14:textId="77777777" w:rsidR="00094652" w:rsidRPr="0036554D" w:rsidRDefault="00094652" w:rsidP="00617D6C">
            <w:pPr>
              <w:rPr>
                <w:rStyle w:val="Strong"/>
              </w:rPr>
            </w:pPr>
          </w:p>
        </w:tc>
        <w:tc>
          <w:tcPr>
            <w:tcW w:w="834" w:type="dxa"/>
          </w:tcPr>
          <w:p w14:paraId="71537F01" w14:textId="77777777" w:rsidR="00094652"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 xml:space="preserve">Ad hoc </w:t>
            </w:r>
          </w:p>
        </w:tc>
        <w:tc>
          <w:tcPr>
            <w:tcW w:w="2612" w:type="dxa"/>
          </w:tcPr>
          <w:p w14:paraId="2B3C3B1B" w14:textId="77777777" w:rsidR="00094652" w:rsidRPr="00C166C3"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56D2D806" wp14:editId="71B63E29">
                      <wp:extent cx="216024" cy="216024"/>
                      <wp:effectExtent l="0" t="0" r="12700" b="12700"/>
                      <wp:docPr id="242" name="Group 9"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243" name="Pie 243"/>
                              <wps:cNvSpPr/>
                              <wps:spPr>
                                <a:xfrm rot="16200000">
                                  <a:off x="0" y="0"/>
                                  <a:ext cx="288032" cy="288032"/>
                                </a:xfrm>
                                <a:prstGeom prst="pie">
                                  <a:avLst>
                                    <a:gd name="adj1" fmla="val 0"/>
                                    <a:gd name="adj2" fmla="val 10747591"/>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4" name="Oval 244"/>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6A0FE830" id="Group 9"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">
                      <v:shape id="Pie 243"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hjWccA&#10;AADcAAAADwAAAGRycy9kb3ducmV2LnhtbESPQWvCQBSE74X+h+UVequbqohE1xAEQStWjB709si+&#10;Jmmzb2N2jem/7xYKPQ4z8w0zT3pTi45aV1lW8DqIQBDnVldcKDgdVy9TEM4ja6wtk4JvcpAsHh/m&#10;GGt75wN1mS9EgLCLUUHpfRNL6fKSDLqBbYiD92Fbgz7ItpC6xXuAm1oOo2giDVYcFkpsaFlS/pXd&#10;jILddpO+d6fiIs+Twybbj65H+fmm1PNTn85AeOr9f/ivvdYKhuMR/J4JR0A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kIY1nHAAAA3AAAAA8AAAAAAAAAAAAAAAAAmAIAAGRy&#10;cy9kb3ducmV2LnhtbFBLBQYAAAAABAAEAPUAAACMAwAAAAA=&#10;" path="m288032,144016v,79109,-63811,143409,-142918,144012c66007,288631,1223,225312,17,146212r143999,-2196l288032,144016xe" fillcolor="#8064a2" stroked="f" strokeweight="2pt">
                        <v:path arrowok="t" o:connecttype="custom" o:connectlocs="288032,144016;145114,288028;17,146212;144016,144016;288032,144016" o:connectangles="0,0,0,0,0"/>
                      </v:shape>
                      <v:oval id="Oval 244"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lgcUA&#10;AADcAAAADwAAAGRycy9kb3ducmV2LnhtbESPT2sCMRTE74V+h/CE3mrWRaSsRhGX2p4E/9Di7ZE8&#10;dxc3L0sSdfvtjSD0OMzMb5jZoretuJIPjWMFo2EGglg703Cl4LD/fP8AESKywdYxKfijAIv568sM&#10;C+NuvKXrLlYiQTgUqKCOsSukDLomi2HoOuLknZy3GJP0lTQebwluW5ln2URabDgt1NjRqiZ93l2s&#10;guX6eNxs+tX+139p+slPZam3pVJvg345BRGpj//hZ/vbKMjHY3icS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WBxQAAANwAAAAPAAAAAAAAAAAAAAAAAJgCAABkcnMv&#10;ZG93bnJldi54bWxQSwUGAAAAAAQABAD1AAAAigMAAAAA&#10;" filled="f" strokecolor="#8064a2" strokeweight=".5pt"/>
                      <w10:anchorlock/>
                    </v:group>
                  </w:pict>
                </mc:Fallback>
              </mc:AlternateContent>
            </w:r>
          </w:p>
        </w:tc>
        <w:tc>
          <w:tcPr>
            <w:tcW w:w="1199" w:type="dxa"/>
          </w:tcPr>
          <w:p w14:paraId="40B44A75" w14:textId="77777777" w:rsidR="00094652"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Developing</w:t>
            </w:r>
          </w:p>
        </w:tc>
        <w:tc>
          <w:tcPr>
            <w:tcW w:w="2259" w:type="dxa"/>
          </w:tcPr>
          <w:p w14:paraId="5F994790" w14:textId="77777777" w:rsidR="00094652" w:rsidRPr="00C166C3"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777BAA58" wp14:editId="5E42F11F">
                      <wp:extent cx="216024" cy="216024"/>
                      <wp:effectExtent l="0" t="0" r="12700" b="12700"/>
                      <wp:docPr id="245" name="Group 10"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246" name="Pie 246"/>
                              <wps:cNvSpPr/>
                              <wps:spPr>
                                <a:xfrm rot="16200000">
                                  <a:off x="0" y="0"/>
                                  <a:ext cx="288032" cy="288032"/>
                                </a:xfrm>
                                <a:prstGeom prst="pie">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7" name="Oval 247"/>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13BA1480" id="Group 10"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">
                      <v:shape id="Pie 246"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wccA&#10;AADcAAAADwAAAGRycy9kb3ducmV2LnhtbESPW2vCQBSE34X+h+UUfNONF0JJXUUKghdsMfrQvh2y&#10;p0ls9mzMrjH++65Q6OMwM98ws0VnKtFS40rLCkbDCARxZnXJuYLTcTV4AeE8ssbKMim4k4PF/Kk3&#10;w0TbGx+oTX0uAoRdggoK7+tESpcVZNANbU0cvG/bGPRBNrnUDd4C3FRyHEWxNFhyWCiwpreCsp/0&#10;ahTsd5vle3vKv+RnfNikH5PLUZ63SvWfu+UrCE+d/w//tddawXgaw+NMOAJ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wMHHAAAA3AAAAA8AAAAAAAAAAAAAAAAAmAIAAGRy&#10;cy9kb3ducmV2LnhtbFBLBQYAAAAABAAEAPUAAACMAwAAAAA=&#10;" path="m288032,144016v,79538,-64478,144016,-144016,144016c64478,288032,,223554,,144016,,64478,64478,,144016,r,144016l288032,144016xe" fillcolor="#8064a2" stroked="f" strokeweight="2pt">
                        <v:path arrowok="t" o:connecttype="custom" o:connectlocs="288032,144016;144016,288032;0,144016;144016,0;144016,144016;288032,144016" o:connectangles="0,0,0,0,0,0"/>
                      </v:shape>
                      <v:oval id="Oval 247"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D79sUA&#10;AADcAAAADwAAAGRycy9kb3ducmV2LnhtbESPT2sCMRTE74LfIbxCb5rtUlpZjSIutj0J/kHx9kie&#10;u4ublyVJdfvtm0LB4zAzv2Fmi9624kY+NI4VvIwzEMTamYYrBYf9ejQBESKywdYxKfihAIv5cDDD&#10;wrg7b+m2i5VIEA4FKqhj7Aopg67JYhi7jjh5F+ctxiR9JY3He4LbVuZZ9iYtNpwWauxoVZO+7r6t&#10;guXH+bzZ9Kv9yX9qOuaXstTbUqnnp345BRGpj4/wf/vLKMhf3+H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UPv2xQAAANwAAAAPAAAAAAAAAAAAAAAAAJgCAABkcnMv&#10;ZG93bnJldi54bWxQSwUGAAAAAAQABAD1AAAAigMAAAAA&#10;" filled="f" strokecolor="#8064a2" strokeweight=".5pt"/>
                      <w10:anchorlock/>
                    </v:group>
                  </w:pict>
                </mc:Fallback>
              </mc:AlternateContent>
            </w:r>
          </w:p>
        </w:tc>
        <w:tc>
          <w:tcPr>
            <w:tcW w:w="1082" w:type="dxa"/>
          </w:tcPr>
          <w:p w14:paraId="165B5015" w14:textId="77777777" w:rsidR="00094652"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Managing</w:t>
            </w:r>
          </w:p>
        </w:tc>
        <w:tc>
          <w:tcPr>
            <w:tcW w:w="2373" w:type="dxa"/>
          </w:tcPr>
          <w:p w14:paraId="481BF744" w14:textId="77777777" w:rsidR="00094652" w:rsidRPr="00C166C3"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s">
                  <w:drawing>
                    <wp:inline distT="0" distB="0" distL="0" distR="0" wp14:anchorId="4929158B" wp14:editId="482C42D2">
                      <wp:extent cx="216024" cy="216024"/>
                      <wp:effectExtent l="0" t="0" r="12700" b="12700"/>
                      <wp:docPr id="248" name="Oval 18" descr="Decorative"/>
                      <wp:cNvGraphicFramePr/>
                      <a:graphic xmlns:a="http://schemas.openxmlformats.org/drawingml/2006/main">
                        <a:graphicData uri="http://schemas.microsoft.com/office/word/2010/wordprocessingShape">
                          <wps:wsp>
                            <wps:cNvSpPr/>
                            <wps:spPr>
                              <a:xfrm>
                                <a:off x="0" y="0"/>
                                <a:ext cx="216024" cy="216024"/>
                              </a:xfrm>
                              <a:prstGeom prst="ellipse">
                                <a:avLst/>
                              </a:prstGeom>
                              <a:solidFill>
                                <a:srgbClr val="8064A2"/>
                              </a:solid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inline>
                  </w:drawing>
                </mc:Choice>
                <mc:Fallback>
                  <w:pict>
                    <v:oval w14:anchorId="2B332EDB" id="Oval 18" o:spid="_x0000_s1026" alt="Decorative" style="width:1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" fillcolor="#8064a2" strokecolor="#8064a2" strokeweight=".5pt">
                      <w10:anchorlock/>
                    </v:oval>
                  </w:pict>
                </mc:Fallback>
              </mc:AlternateContent>
            </w:r>
          </w:p>
        </w:tc>
        <w:tc>
          <w:tcPr>
            <w:tcW w:w="1151" w:type="dxa"/>
          </w:tcPr>
          <w:p w14:paraId="73E9CA09" w14:textId="77777777" w:rsidR="00094652"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Embedded</w:t>
            </w:r>
          </w:p>
        </w:tc>
        <w:tc>
          <w:tcPr>
            <w:tcW w:w="2318" w:type="dxa"/>
          </w:tcPr>
          <w:p w14:paraId="6AF8AF68" w14:textId="77777777" w:rsidR="00094652" w:rsidRPr="00C166C3"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g">
                  <w:drawing>
                    <wp:inline distT="0" distB="0" distL="0" distR="0" wp14:anchorId="650C5D82" wp14:editId="266C41A9">
                      <wp:extent cx="339400" cy="339400"/>
                      <wp:effectExtent l="0" t="0" r="3810" b="3810"/>
                      <wp:docPr id="249" name="Group 1" descr="Decorative"/>
                      <wp:cNvGraphicFramePr/>
                      <a:graphic xmlns:a="http://schemas.openxmlformats.org/drawingml/2006/main">
                        <a:graphicData uri="http://schemas.microsoft.com/office/word/2010/wordprocessingGroup">
                          <wpg:wgp>
                            <wpg:cNvGrpSpPr/>
                            <wpg:grpSpPr>
                              <a:xfrm>
                                <a:off x="0" y="0"/>
                                <a:ext cx="339400" cy="339400"/>
                                <a:chOff x="0" y="0"/>
                                <a:chExt cx="339400" cy="339400"/>
                              </a:xfrm>
                            </wpg:grpSpPr>
                            <wps:wsp>
                              <wps:cNvPr id="250" name="Oval 250"/>
                              <wps:cNvSpPr/>
                              <wps:spPr>
                                <a:xfrm>
                                  <a:off x="0" y="0"/>
                                  <a:ext cx="339400" cy="339400"/>
                                </a:xfrm>
                                <a:prstGeom prst="ellipse">
                                  <a:avLst/>
                                </a:prstGeom>
                                <a:solidFill>
                                  <a:srgbClr val="4BACC6"/>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1" name="Oval 251"/>
                              <wps:cNvSpPr/>
                              <wps:spPr>
                                <a:xfrm>
                                  <a:off x="60284" y="60284"/>
                                  <a:ext cx="216024" cy="216024"/>
                                </a:xfrm>
                                <a:prstGeom prst="ellipse">
                                  <a:avLst/>
                                </a:prstGeom>
                                <a:solidFill>
                                  <a:srgbClr val="8064A2"/>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38CD1724" id="Group 1" o:spid="_x0000_s1026" alt="Decorative" style="width:26.7pt;height:26.7pt;mso-position-horizontal-relative:char;mso-position-vertical-relative:line" coordsize="339400,33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">
                      <v:oval id="Oval 250" o:spid="_x0000_s1027" style="position:absolute;width:339400;height:339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FSoMAA&#10;AADcAAAADwAAAGRycy9kb3ducmV2LnhtbERPzYrCMBC+C/sOYRa8aboFRbtGkcVdBEGw9gFmm7Ep&#10;NpPSRFvf3hwEjx/f/2oz2EbcqfO1YwVf0wQEcel0zZWC4vw7WYDwAVlj45gUPMjDZv0xWmGmXc8n&#10;uuehEjGEfYYKTAhtJqUvDVn0U9cSR+7iOoshwq6SusM+httGpkkylxZrjg0GW/oxVF7zm1VwrKRZ&#10;/h/a3V9an5nzouivQ6LU+HPYfoMINIS3+OXeawXpLM6PZ+IRkO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FSoMAAAADcAAAADwAAAAAAAAAAAAAAAACYAgAAZHJzL2Rvd25y&#10;ZXYueG1sUEsFBgAAAAAEAAQA9QAAAIUDAAAAAA==&#10;" fillcolor="#4bacc6" stroked="f" strokeweight="3pt">
                        <v:stroke dashstyle="1 1"/>
                      </v:oval>
                      <v:oval id="Oval 251" o:spid="_x0000_s1028" style="position:absolute;left:60284;top:60284;width:216024;height:216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laJcIA&#10;AADcAAAADwAAAGRycy9kb3ducmV2LnhtbESPzYrCQBCE7wu+w9ALe1nWiaIiWUcRIWy8+fcATaZN&#10;wmZ6QqbV+PaOIHgsquorarHqXaOu1IXas4HRMAFFXHhbc2ngdMx+5qCCIFtsPJOBOwVYLQcfC0yt&#10;v/GergcpVYRwSNFAJdKmWoeiIodh6Fvi6J1951Ci7EptO7xFuGv0OElm2mHNcaHCljYVFf+HizNg&#10;Z5Nz7prsT7Jvu6H1bprvZGvM12e//gUl1Ms7/Grn1sB4OoLnmXgE9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yVolwgAAANwAAAAPAAAAAAAAAAAAAAAAAJgCAABkcnMvZG93&#10;bnJldi54bWxQSwUGAAAAAAQABAD1AAAAhwMAAAAA&#10;" fillcolor="#8064a2" stroked="f" strokeweight="3pt">
                        <v:stroke dashstyle="1 1"/>
                      </v:oval>
                      <w10:anchorlock/>
                    </v:group>
                  </w:pict>
                </mc:Fallback>
              </mc:AlternateContent>
            </w:r>
          </w:p>
        </w:tc>
      </w:tr>
      <w:tr w:rsidR="00094652" w:rsidRPr="0063688B" w14:paraId="0965E7EE" w14:textId="77777777" w:rsidTr="00617D6C">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24" w:type="dxa"/>
          </w:tcPr>
          <w:p w14:paraId="578C3B4C" w14:textId="77777777" w:rsidR="00094652" w:rsidRPr="0036554D" w:rsidRDefault="00094652" w:rsidP="00617D6C">
            <w:pPr>
              <w:widowControl w:val="0"/>
              <w:rPr>
                <w:rStyle w:val="Strong"/>
              </w:rPr>
            </w:pPr>
            <w:r w:rsidRPr="0036554D">
              <w:rPr>
                <w:rStyle w:val="Strong"/>
                <w:b/>
                <w:bCs w:val="0"/>
              </w:rPr>
              <w:t>Description</w:t>
            </w:r>
          </w:p>
        </w:tc>
        <w:tc>
          <w:tcPr>
            <w:tcW w:w="3446" w:type="dxa"/>
            <w:gridSpan w:val="2"/>
            <w:shd w:val="clear" w:color="auto" w:fill="auto"/>
          </w:tcPr>
          <w:p w14:paraId="39CBAFF9" w14:textId="77777777" w:rsidR="00094652" w:rsidRPr="00377B83"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Partial:</w:t>
            </w:r>
            <w:r w:rsidRPr="00377B83">
              <w:rPr>
                <w:rStyle w:val="Strong"/>
              </w:rPr>
              <w:t xml:space="preserve"> Some PSPF core and supporting requirements are implemented although are not well understood across the entity. Security outcomes are not being achieved in some areas.</w:t>
            </w:r>
          </w:p>
        </w:tc>
        <w:tc>
          <w:tcPr>
            <w:tcW w:w="3458" w:type="dxa"/>
            <w:gridSpan w:val="2"/>
            <w:shd w:val="clear" w:color="auto" w:fill="auto"/>
          </w:tcPr>
          <w:p w14:paraId="562AA35F" w14:textId="77777777" w:rsidR="00094652" w:rsidRPr="00377B83"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Substantial:</w:t>
            </w:r>
            <w:r w:rsidRPr="00377B83">
              <w:rPr>
                <w:rStyle w:val="Strong"/>
              </w:rPr>
              <w:t xml:space="preserve"> The majority of PSPF core and supporting requirements are implemented, broadly managed and understood across the entity. Entity is largely meeting security outcomes.</w:t>
            </w:r>
          </w:p>
        </w:tc>
        <w:tc>
          <w:tcPr>
            <w:tcW w:w="3455" w:type="dxa"/>
            <w:gridSpan w:val="2"/>
            <w:shd w:val="clear" w:color="auto" w:fill="auto"/>
          </w:tcPr>
          <w:p w14:paraId="3CCA4B07" w14:textId="77777777" w:rsidR="00094652" w:rsidRPr="0063688B"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pPr>
            <w:r w:rsidRPr="0063688B">
              <w:rPr>
                <w:bCs/>
              </w:rPr>
              <w:t>Full</w:t>
            </w:r>
            <w:r w:rsidRPr="0063688B">
              <w:t xml:space="preserve">: </w:t>
            </w:r>
            <w:r w:rsidRPr="0063688B">
              <w:rPr>
                <w:b w:val="0"/>
              </w:rPr>
              <w:t>A</w:t>
            </w:r>
            <w:r w:rsidRPr="0063688B">
              <w:rPr>
                <w:b w:val="0"/>
                <w:bCs/>
              </w:rPr>
              <w:t>ll PSPF core and supporting requirements are implemented, integrated into business practices and effectively disseminated across the entity. Entity meets security outcomes.</w:t>
            </w:r>
          </w:p>
        </w:tc>
        <w:tc>
          <w:tcPr>
            <w:tcW w:w="3469" w:type="dxa"/>
            <w:gridSpan w:val="2"/>
            <w:shd w:val="clear" w:color="auto" w:fill="auto"/>
          </w:tcPr>
          <w:p w14:paraId="37AD2B61" w14:textId="77777777" w:rsidR="00094652" w:rsidRPr="0063688B"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pPr>
            <w:r w:rsidRPr="0063688B">
              <w:rPr>
                <w:bCs/>
              </w:rPr>
              <w:t>Excelled</w:t>
            </w:r>
            <w:r w:rsidRPr="0063688B">
              <w:t xml:space="preserve">: </w:t>
            </w:r>
            <w:r w:rsidRPr="0063688B">
              <w:rPr>
                <w:b w:val="0"/>
              </w:rPr>
              <w:t>A</w:t>
            </w:r>
            <w:r w:rsidRPr="0063688B">
              <w:rPr>
                <w:b w:val="0"/>
                <w:bCs/>
              </w:rPr>
              <w:t>ll PSPF core and supporting requirements are implemented, are effectively integrated and exceeding security outcomes with better-practice guidance achieving high performance.</w:t>
            </w:r>
          </w:p>
        </w:tc>
      </w:tr>
      <w:tr w:rsidR="00094652" w:rsidRPr="00F044F9" w14:paraId="3193865F" w14:textId="77777777" w:rsidTr="00617D6C">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24" w:type="dxa"/>
            <w:shd w:val="clear" w:color="auto" w:fill="DFD8E8"/>
          </w:tcPr>
          <w:p w14:paraId="257F5813" w14:textId="77777777" w:rsidR="00094652" w:rsidRPr="00F044F9" w:rsidRDefault="00094652" w:rsidP="00617D6C">
            <w:pPr>
              <w:spacing w:before="60" w:after="60"/>
              <w:rPr>
                <w:rStyle w:val="Strong"/>
                <w:b/>
              </w:rPr>
            </w:pPr>
            <w:r w:rsidRPr="00F044F9">
              <w:rPr>
                <w:rStyle w:val="Strong"/>
                <w:b/>
              </w:rPr>
              <w:t xml:space="preserve">Eligibility and suitability </w:t>
            </w:r>
          </w:p>
        </w:tc>
        <w:tc>
          <w:tcPr>
            <w:tcW w:w="3446" w:type="dxa"/>
            <w:gridSpan w:val="2"/>
            <w:shd w:val="clear" w:color="auto" w:fill="DFD8E8"/>
          </w:tcPr>
          <w:p w14:paraId="216296BD" w14:textId="77777777" w:rsidR="00094652" w:rsidRPr="00F044F9"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The entity partially has procedures and systems in place to ensure personnel are eligible and suitable to access Australian Government resources. Pre-employment screening is ad hoc and security vetting requirements (where relevant) are partially followed. Some risks associated with eligibility and suitability of personnel are managed.</w:t>
            </w:r>
          </w:p>
        </w:tc>
        <w:tc>
          <w:tcPr>
            <w:tcW w:w="3458" w:type="dxa"/>
            <w:gridSpan w:val="2"/>
            <w:shd w:val="clear" w:color="auto" w:fill="DFD8E8"/>
          </w:tcPr>
          <w:p w14:paraId="5E3D8F39" w14:textId="77777777" w:rsidR="00094652" w:rsidRPr="00F044F9"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The entity has developed the majority of the entity’s procedures and systems to ensure that personnel are eligible and suitable to access Australian Government resources. Pre-employment screening practices are substantially in place and security vetting requirements (where relevant) mostly followed. The entity manages the majority of risks associated with eligibility and suitability of personnel.</w:t>
            </w:r>
          </w:p>
        </w:tc>
        <w:tc>
          <w:tcPr>
            <w:tcW w:w="3455" w:type="dxa"/>
            <w:gridSpan w:val="2"/>
            <w:shd w:val="clear" w:color="auto" w:fill="DFD8E8"/>
          </w:tcPr>
          <w:p w14:paraId="7AAC713E" w14:textId="77777777" w:rsidR="00094652" w:rsidRPr="00F044F9"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Procedures and systems are in place to ensure that all personnel are eligible and suitable to access Australian Government resources. All pre-employment screening and security vetting (where relevant) requirements are followed. These procedures and systems mitigate risks identified in the entity’s personnel security risk assessment.</w:t>
            </w:r>
          </w:p>
        </w:tc>
        <w:tc>
          <w:tcPr>
            <w:tcW w:w="3469" w:type="dxa"/>
            <w:gridSpan w:val="2"/>
            <w:shd w:val="clear" w:color="auto" w:fill="DFD8E8"/>
          </w:tcPr>
          <w:p w14:paraId="44815B2C" w14:textId="77777777" w:rsidR="00094652" w:rsidRPr="00F044F9"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The entity excels in implementing efficient and timely processes to ensure the eligibility and suitability of personnel to access Australian</w:t>
            </w:r>
            <w:r>
              <w:rPr>
                <w:b w:val="0"/>
              </w:rPr>
              <w:t> </w:t>
            </w:r>
            <w:r w:rsidRPr="00F044F9">
              <w:rPr>
                <w:b w:val="0"/>
              </w:rPr>
              <w:t>Government resources. All requirements are followed and the entity has comprehensive practices in place to proactively manage risks identified in its personnel security risk assessment.</w:t>
            </w:r>
          </w:p>
        </w:tc>
      </w:tr>
      <w:tr w:rsidR="00094652" w:rsidRPr="00F044F9" w14:paraId="01849849" w14:textId="77777777" w:rsidTr="00617D6C">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24" w:type="dxa"/>
          </w:tcPr>
          <w:p w14:paraId="0396A6C2" w14:textId="77777777" w:rsidR="00094652" w:rsidRPr="00F044F9" w:rsidRDefault="00094652" w:rsidP="00617D6C">
            <w:pPr>
              <w:widowControl w:val="0"/>
              <w:spacing w:before="60" w:after="60"/>
              <w:rPr>
                <w:rStyle w:val="Strong"/>
                <w:b/>
              </w:rPr>
            </w:pPr>
            <w:r w:rsidRPr="00F044F9">
              <w:rPr>
                <w:rStyle w:val="Strong"/>
                <w:b/>
              </w:rPr>
              <w:t>Ongoing assessment of personnel</w:t>
            </w:r>
          </w:p>
        </w:tc>
        <w:tc>
          <w:tcPr>
            <w:tcW w:w="3446" w:type="dxa"/>
            <w:gridSpan w:val="2"/>
            <w:shd w:val="clear" w:color="auto" w:fill="auto"/>
          </w:tcPr>
          <w:p w14:paraId="45881573" w14:textId="28CABB36" w:rsidR="00094652" w:rsidRPr="00F044F9"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 xml:space="preserve">The entity </w:t>
            </w:r>
            <w:r>
              <w:rPr>
                <w:b w:val="0"/>
              </w:rPr>
              <w:t xml:space="preserve">partially </w:t>
            </w:r>
            <w:r w:rsidRPr="00F044F9">
              <w:rPr>
                <w:b w:val="0"/>
              </w:rPr>
              <w:t xml:space="preserve">assesses and manages ongoing suitability of </w:t>
            </w:r>
            <w:r>
              <w:rPr>
                <w:b w:val="0"/>
              </w:rPr>
              <w:t>its</w:t>
            </w:r>
            <w:r w:rsidRPr="00F044F9">
              <w:rPr>
                <w:b w:val="0"/>
              </w:rPr>
              <w:t xml:space="preserve"> personnel</w:t>
            </w:r>
            <w:r>
              <w:rPr>
                <w:b w:val="0"/>
              </w:rPr>
              <w:t>.</w:t>
            </w:r>
            <w:r w:rsidRPr="00F044F9">
              <w:rPr>
                <w:b w:val="0"/>
              </w:rPr>
              <w:t xml:space="preserve"> Information of security concern for ongoing suitability of personnel is assessed and shared on an ad hoc basis with relevant stakeholders. Some security clearance maintenance requirements (where relevant) are met.</w:t>
            </w:r>
          </w:p>
        </w:tc>
        <w:tc>
          <w:tcPr>
            <w:tcW w:w="3458" w:type="dxa"/>
            <w:gridSpan w:val="2"/>
            <w:shd w:val="clear" w:color="auto" w:fill="auto"/>
          </w:tcPr>
          <w:p w14:paraId="10ABC6BB" w14:textId="047CDCDD" w:rsidR="00094652" w:rsidRPr="00F044F9"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 xml:space="preserve">The entity has substantially developed its procedures and systems to assess and manage ongoing suitability of </w:t>
            </w:r>
            <w:r>
              <w:rPr>
                <w:b w:val="0"/>
              </w:rPr>
              <w:t>its</w:t>
            </w:r>
            <w:r w:rsidRPr="00F044F9">
              <w:rPr>
                <w:b w:val="0"/>
              </w:rPr>
              <w:t xml:space="preserve"> personnel. In the majority of cases, information of security concern for ongoing suitability of personnel is assessed and shared by the entity with relevant stakeholders. Procedures are mostly in place to ensure compliance with security clearance maintenance requirements (where relevant).</w:t>
            </w:r>
          </w:p>
        </w:tc>
        <w:tc>
          <w:tcPr>
            <w:tcW w:w="3455" w:type="dxa"/>
            <w:gridSpan w:val="2"/>
            <w:shd w:val="clear" w:color="auto" w:fill="auto"/>
          </w:tcPr>
          <w:p w14:paraId="28F3A144" w14:textId="77777777" w:rsidR="00094652" w:rsidRPr="00F044F9"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Procedures and systems are in place to ensure that the ongoing suitability of personnel is assessed and managed in accordance with the entity’s personnel security risk assessment. The entity has established lines of communication and processes to ensure information of security concern is shared with stakeholders as appropriate. The entity has procedures in place to ensure compliance with all security clearance maintenance requirements (where relevant).</w:t>
            </w:r>
          </w:p>
        </w:tc>
        <w:tc>
          <w:tcPr>
            <w:tcW w:w="3469" w:type="dxa"/>
            <w:gridSpan w:val="2"/>
            <w:shd w:val="clear" w:color="auto" w:fill="auto"/>
          </w:tcPr>
          <w:p w14:paraId="257E836C" w14:textId="77777777" w:rsidR="00094652" w:rsidRPr="00F044F9"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The entity is proactive in assessing and managing the suitability of personnel, including security clearance maintenance requirements (where relevant), to ensure integrity of the entity’s core business. The entity has well established lines of communication and robust processes to ensure information of security concern for ongoing suitability of personnel is shared with stakeholders in a timely manner.</w:t>
            </w:r>
          </w:p>
        </w:tc>
      </w:tr>
    </w:tbl>
    <w:p w14:paraId="5B86CE18" w14:textId="77777777" w:rsidR="00094652" w:rsidRDefault="00094652" w:rsidP="0019550C">
      <w:pPr>
        <w:keepNext/>
      </w:pPr>
    </w:p>
    <w:p w14:paraId="7793F920" w14:textId="77777777" w:rsidR="00094652" w:rsidRDefault="00094652"/>
    <w:p w14:paraId="02C93811" w14:textId="77777777" w:rsidR="00094652" w:rsidRDefault="00094652"/>
    <w:tbl>
      <w:tblPr>
        <w:tblStyle w:val="LightShading-Accent41"/>
        <w:tblW w:w="0" w:type="auto"/>
        <w:tblLook w:val="04A0" w:firstRow="1" w:lastRow="0" w:firstColumn="1" w:lastColumn="0" w:noHBand="0" w:noVBand="1"/>
        <w:tblCaption w:val="PSPF maturity self-assessment model - Personnel security"/>
        <w:tblDescription w:val="This table supports self-assessment of maturity for each of the PSPF's core requirements relating to personnel security.&#10;For each core requirement, maturity can be assessed as: Ad hoc, Developing, Managing or Embedded.&#10;&#10;Ad hoc maturity is described as partial maturity. This means some PSPF core and supporting requirements are implemented although are not well understood across the entity. Security outcomes are not being achieved in some areas.&#10;Developing security is described as substantial maturity. This means the majority of PSPF core and supporting requirements are implemented, broadly managed and understood across the entity. Entity is largely meeting security outcomes.&#10;Managing security is described as full matuity. This means all PSPF core and supporting requirements are implemented, integrated into business practices and effectively disseminated across the entity. Entity meets security outcomes. &#10;Embedded security is described as excelled maturity. This means all PSPF core and supporting requirements are implemented, effectively integrated and exceeding security outcomes. Entity’s implementation of better-practice guidance drives achieving high performance.&#10;&#10;For the core requirement on eligibility and suitability of personnel, each maturity level is described as follows.&#10;Ad hoc: The entity partially has procedures and systems in place to ensure personnel are eligible and suitable to access Australian Government resources. Pre-employment screening is ad hoc and security vetting requirements (where relevant) are partially followed. Some risks associated with eligibility and suitability of personnel are managed.&#10;Developing: The entity has developed the majority of the entity’s procedures and systems to ensure that personnel are eligible and suitable to access Australian Government resources. Pre-employment screening practices are substantially in place and security vetting requirements (where relevant) mostly followed. The entity manages the majority of risks associated with eligibility and suitability of personnel.&#10;Managing: Procedures and systems are in place to ensure that all personnel are eligible and suitable to access Australian Government resources. All pre-employment screening and security vetting (where relevant) requirements are followed. These procedures and systems mitigate risks identified in the entity’s personnel security risk assessment.&#10;Embedded: The entity excels in implementing efficient and timely processes to ensure the eligibility and suitability of personnel to access Australian Government resources. All requirements are followed and the entity has comprehensive practices in place to proactively manage risks identified in its personnel security risk assessment.&#10;&#10;For the core requirement on the ongoing assessment of personnel, each maturity level is described as follows.&#10;Ad hoc: The entity assesses and partially manages ongoing suitability of all personnel affecting. Information of security concern for ongoing suitability of personnel is assessed and shared on an ad hoc basis with relevant stakeholders. Some security clearance maintenance requirements (where relevant) are met. &#10;Developing: The entity has substantially developed its procedures and systems to assess and manage ongoing suitability of all personnel. In the majority of cases, information of security concern for ongoing suitability of personnel is assessed and shared by the entity with relevant stakeholders. Procedures are mostly in place to ensure compliance with security clearance maintenance requirements (where relevant).&#10;Managing: Procedures and systems are in place to ensure that the ongoing suitability of personnel is assessed and managed in accordance with the entity’s personnel security risk assessment. The entity has established lines of communication and processes to ensure information of security concern is shared with stakeholders as appropriate. The entity has procedures in place to ensure compliance with all security clearance maintenance requirements (where relevant). &#10;Embedded: The entity is proactive in assessing and managing the suitability of personnel, including security clearance maintenance requirements (where relevant), to ensure integrity of the entity’s core business. The entity has well established lines of communication and robust processes to ensure information of security concern for ongoing suitability of personnel is shared with stakeholders in a timely manner.&#10;&#10;For the core requirement on separating personnel, each maturity level is described as follows.&#10;Ad hoc: Partial ad hoc processes are in place to ensure that separating personnel have their access to Australian Government resources withdrawn and are informed of their ongoing security obligations.&#10;Developing: Separating personnel, in the majority of cases, understand their ongoing security obligations and have their access to Australian Government resources withdrawn. Systems and processes are substantially developed to verify consistency of separating personnel practices across the entity. &#10;Managing: The entity has in place systems and processes to ensure that all separating personnel understand their ongoing security obligations, particularly where they have had access to sensitive and security classified information and resources during their employment. Separating personnel have their access to Australian Government resources withdrawn within an appropriate timeframe. &#10;Embedded: The entity has proactively implemented systems and processes that are reviewed regularly for separating personnel. Access to Australian Government resources is withdrawn from personnel on separation. The entity ensures separating personnel are debriefed and provided a comprehensive understanding of their ongoing security obligations. Information of security concern about separating personnel is shared with relevant stakeholders, including internally, where appropriate. Risk assessments are undertaken, where appropriate.&#10;"/>
      </w:tblPr>
      <w:tblGrid>
        <w:gridCol w:w="1524"/>
        <w:gridCol w:w="834"/>
        <w:gridCol w:w="2612"/>
        <w:gridCol w:w="1199"/>
        <w:gridCol w:w="2259"/>
        <w:gridCol w:w="1082"/>
        <w:gridCol w:w="2373"/>
        <w:gridCol w:w="1151"/>
        <w:gridCol w:w="2318"/>
      </w:tblGrid>
      <w:tr w:rsidR="00094652" w:rsidRPr="00C166C3" w14:paraId="2396B6C8" w14:textId="77777777" w:rsidTr="00617D6C">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24" w:type="dxa"/>
          </w:tcPr>
          <w:p w14:paraId="46C3122D" w14:textId="77777777" w:rsidR="00094652" w:rsidRPr="0036554D" w:rsidRDefault="00094652" w:rsidP="00617D6C">
            <w:pPr>
              <w:rPr>
                <w:rStyle w:val="Strong"/>
              </w:rPr>
            </w:pPr>
          </w:p>
        </w:tc>
        <w:tc>
          <w:tcPr>
            <w:tcW w:w="834" w:type="dxa"/>
          </w:tcPr>
          <w:p w14:paraId="449D2A47" w14:textId="77777777" w:rsidR="00094652"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 xml:space="preserve">Ad hoc </w:t>
            </w:r>
          </w:p>
        </w:tc>
        <w:tc>
          <w:tcPr>
            <w:tcW w:w="2612" w:type="dxa"/>
          </w:tcPr>
          <w:p w14:paraId="5C6BCF24" w14:textId="77777777" w:rsidR="00094652" w:rsidRPr="00C166C3"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19646455" wp14:editId="3B69D8D0">
                      <wp:extent cx="216024" cy="216024"/>
                      <wp:effectExtent l="0" t="0" r="12700" b="12700"/>
                      <wp:docPr id="42" name="Group 9"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43" name="Pie 43"/>
                              <wps:cNvSpPr/>
                              <wps:spPr>
                                <a:xfrm rot="16200000">
                                  <a:off x="0" y="0"/>
                                  <a:ext cx="288032" cy="288032"/>
                                </a:xfrm>
                                <a:prstGeom prst="pie">
                                  <a:avLst>
                                    <a:gd name="adj1" fmla="val 0"/>
                                    <a:gd name="adj2" fmla="val 10747591"/>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Oval 44"/>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49317479" id="Group 9"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">
                      <v:shape id="Pie 43"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zGrsYA&#10;AADbAAAADwAAAGRycy9kb3ducmV2LnhtbESPQWvCQBSE74X+h+UVvNWNVaRE1xAKBbVYMXrQ2yP7&#10;TGKzb2N2G9N/3y0IPQ4z8w0zT3pTi45aV1lWMBpGIIhzqysuFBz278+vIJxH1lhbJgU/5CBZPD7M&#10;Mdb2xjvqMl+IAGEXo4LS+yaW0uUlGXRD2xAH72xbgz7ItpC6xVuAm1q+RNFUGqw4LJTY0FtJ+Vf2&#10;bRRsPlbpZ3coTvI43a2y7fi6l5e1UoOnPp2B8NT7//C9vdQKJmP4+xJ+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zGrsYAAADbAAAADwAAAAAAAAAAAAAAAACYAgAAZHJz&#10;L2Rvd25yZXYueG1sUEsFBgAAAAAEAAQA9QAAAIsDAAAAAA==&#10;" path="m288032,144016v,79109,-63811,143409,-142918,144012c66007,288631,1223,225312,17,146212r143999,-2196l288032,144016xe" fillcolor="#8064a2" stroked="f" strokeweight="2pt">
                        <v:path arrowok="t" o:connecttype="custom" o:connectlocs="288032,144016;145114,288028;17,146212;144016,144016;288032,144016" o:connectangles="0,0,0,0,0"/>
                      </v:shape>
                      <v:oval id="Oval 44"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3E+MQA&#10;AADbAAAADwAAAGRycy9kb3ducmV2LnhtbESPT2sCMRTE7wW/Q3gFbzVbkSJbo4iL1ZPgHxRvj+S5&#10;u3TzsiSprt++EQSPw8z8hpnMOtuIK/lQO1bwOchAEGtnai4VHPbLjzGIEJENNo5JwZ0CzKa9twnm&#10;xt14S9ddLEWCcMhRQRVjm0sZdEUWw8C1xMm7OG8xJulLaTzeEtw2cphlX9JizWmhwpYWFenf3Z9V&#10;MP85nzebbrE/+ZWm4/BSFHpbKNV/7+bfICJ18RV+ttdGwWgEjy/pB8jp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txPjEAAAA2wAAAA8AAAAAAAAAAAAAAAAAmAIAAGRycy9k&#10;b3ducmV2LnhtbFBLBQYAAAAABAAEAPUAAACJAwAAAAA=&#10;" filled="f" strokecolor="#8064a2" strokeweight=".5pt"/>
                      <w10:anchorlock/>
                    </v:group>
                  </w:pict>
                </mc:Fallback>
              </mc:AlternateContent>
            </w:r>
          </w:p>
        </w:tc>
        <w:tc>
          <w:tcPr>
            <w:tcW w:w="1199" w:type="dxa"/>
          </w:tcPr>
          <w:p w14:paraId="2EF680C1" w14:textId="77777777" w:rsidR="00094652"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Developing</w:t>
            </w:r>
          </w:p>
        </w:tc>
        <w:tc>
          <w:tcPr>
            <w:tcW w:w="2259" w:type="dxa"/>
          </w:tcPr>
          <w:p w14:paraId="41B63C70" w14:textId="77777777" w:rsidR="00094652" w:rsidRPr="00C166C3"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66AF656C" wp14:editId="71D2D379">
                      <wp:extent cx="216024" cy="216024"/>
                      <wp:effectExtent l="0" t="0" r="12700" b="12700"/>
                      <wp:docPr id="45" name="Group 10"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46" name="Pie 46"/>
                              <wps:cNvSpPr/>
                              <wps:spPr>
                                <a:xfrm rot="16200000">
                                  <a:off x="0" y="0"/>
                                  <a:ext cx="288032" cy="288032"/>
                                </a:xfrm>
                                <a:prstGeom prst="pie">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Oval 47"/>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71E48EF7" id="Group 10"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">
                      <v:shape id="Pie 46"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tlNsYA&#10;AADbAAAADwAAAGRycy9kb3ducmV2LnhtbESPQWvCQBSE74X+h+UVvNVNWwkSXUUEoSpWTDzo7ZF9&#10;TdJm36bZNcZ/3xUKPQ4z8w0znfemFh21rrKs4GUYgSDOra64UHDMVs9jEM4ja6wtk4IbOZjPHh+m&#10;mGh75QN1qS9EgLBLUEHpfZNI6fKSDLqhbYiD92lbgz7ItpC6xWuAm1q+RlEsDVYcFkpsaFlS/p1e&#10;jILddr346I7FWZ7iwzrdv/1k8muj1OCpX0xAeOr9f/iv/a4VjGK4fwk/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etlNsYAAADbAAAADwAAAAAAAAAAAAAAAACYAgAAZHJz&#10;L2Rvd25yZXYueG1sUEsFBgAAAAAEAAQA9QAAAIsDAAAAAA==&#10;" path="m288032,144016v,79538,-64478,144016,-144016,144016c64478,288032,,223554,,144016,,64478,64478,,144016,r,144016l288032,144016xe" fillcolor="#8064a2" stroked="f" strokeweight="2pt">
                        <v:path arrowok="t" o:connecttype="custom" o:connectlocs="288032,144016;144016,288032;0,144016;144016,0;144016,144016;288032,144016" o:connectangles="0,0,0,0,0,0"/>
                      </v:shape>
                      <v:oval id="Oval 47"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9aj8QA&#10;AADbAAAADwAAAGRycy9kb3ducmV2LnhtbESPQWsCMRSE74L/IbxCb5qtFFtWo4iL1pOglhZvj+S5&#10;u7h5WZKo239vhILHYWa+YabzzjbiSj7UjhW8DTMQxNqZmksF34fV4BNEiMgGG8ek4I8CzGf93hRz&#10;4268o+s+liJBOOSooIqxzaUMuiKLYeha4uSdnLcYk/SlNB5vCW4bOcqysbRYc1qosKVlRfq8v1gF&#10;i/XxuN12y8Ov/9L0MzoVhd4VSr2+dIsJiEhdfIb/2xuj4P0DHl/SD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o/EAAAA2wAAAA8AAAAAAAAAAAAAAAAAmAIAAGRycy9k&#10;b3ducmV2LnhtbFBLBQYAAAAABAAEAPUAAACJAwAAAAA=&#10;" filled="f" strokecolor="#8064a2" strokeweight=".5pt"/>
                      <w10:anchorlock/>
                    </v:group>
                  </w:pict>
                </mc:Fallback>
              </mc:AlternateContent>
            </w:r>
          </w:p>
        </w:tc>
        <w:tc>
          <w:tcPr>
            <w:tcW w:w="1082" w:type="dxa"/>
          </w:tcPr>
          <w:p w14:paraId="073963BE" w14:textId="77777777" w:rsidR="00094652"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Managing</w:t>
            </w:r>
          </w:p>
        </w:tc>
        <w:tc>
          <w:tcPr>
            <w:tcW w:w="2373" w:type="dxa"/>
          </w:tcPr>
          <w:p w14:paraId="3FB41557" w14:textId="77777777" w:rsidR="00094652" w:rsidRPr="00C166C3"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s">
                  <w:drawing>
                    <wp:inline distT="0" distB="0" distL="0" distR="0" wp14:anchorId="4007B0BC" wp14:editId="0213E5CE">
                      <wp:extent cx="216024" cy="216024"/>
                      <wp:effectExtent l="0" t="0" r="12700" b="12700"/>
                      <wp:docPr id="51" name="Oval 18" descr="Decorative"/>
                      <wp:cNvGraphicFramePr/>
                      <a:graphic xmlns:a="http://schemas.openxmlformats.org/drawingml/2006/main">
                        <a:graphicData uri="http://schemas.microsoft.com/office/word/2010/wordprocessingShape">
                          <wps:wsp>
                            <wps:cNvSpPr/>
                            <wps:spPr>
                              <a:xfrm>
                                <a:off x="0" y="0"/>
                                <a:ext cx="216024" cy="216024"/>
                              </a:xfrm>
                              <a:prstGeom prst="ellipse">
                                <a:avLst/>
                              </a:prstGeom>
                              <a:solidFill>
                                <a:srgbClr val="8064A2"/>
                              </a:solid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inline>
                  </w:drawing>
                </mc:Choice>
                <mc:Fallback>
                  <w:pict>
                    <v:oval w14:anchorId="16CF4AF4" id="Oval 18" o:spid="_x0000_s1026" alt="Decorative" style="width:1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" fillcolor="#8064a2" strokecolor="#8064a2" strokeweight=".5pt">
                      <w10:anchorlock/>
                    </v:oval>
                  </w:pict>
                </mc:Fallback>
              </mc:AlternateContent>
            </w:r>
          </w:p>
        </w:tc>
        <w:tc>
          <w:tcPr>
            <w:tcW w:w="1151" w:type="dxa"/>
          </w:tcPr>
          <w:p w14:paraId="7AA36F9C" w14:textId="77777777" w:rsidR="00094652"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Embedded</w:t>
            </w:r>
          </w:p>
        </w:tc>
        <w:tc>
          <w:tcPr>
            <w:tcW w:w="2318" w:type="dxa"/>
          </w:tcPr>
          <w:p w14:paraId="6AFDBF09" w14:textId="77777777" w:rsidR="00094652" w:rsidRPr="00C166C3" w:rsidRDefault="00094652" w:rsidP="00617D6C">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g">
                  <w:drawing>
                    <wp:inline distT="0" distB="0" distL="0" distR="0" wp14:anchorId="5063CA94" wp14:editId="1F5F7932">
                      <wp:extent cx="339400" cy="339400"/>
                      <wp:effectExtent l="0" t="0" r="3810" b="3810"/>
                      <wp:docPr id="53" name="Group 1" descr="Decorative"/>
                      <wp:cNvGraphicFramePr/>
                      <a:graphic xmlns:a="http://schemas.openxmlformats.org/drawingml/2006/main">
                        <a:graphicData uri="http://schemas.microsoft.com/office/word/2010/wordprocessingGroup">
                          <wpg:wgp>
                            <wpg:cNvGrpSpPr/>
                            <wpg:grpSpPr>
                              <a:xfrm>
                                <a:off x="0" y="0"/>
                                <a:ext cx="339400" cy="339400"/>
                                <a:chOff x="0" y="0"/>
                                <a:chExt cx="339400" cy="339400"/>
                              </a:xfrm>
                            </wpg:grpSpPr>
                            <wps:wsp>
                              <wps:cNvPr id="54" name="Oval 54"/>
                              <wps:cNvSpPr/>
                              <wps:spPr>
                                <a:xfrm>
                                  <a:off x="0" y="0"/>
                                  <a:ext cx="339400" cy="339400"/>
                                </a:xfrm>
                                <a:prstGeom prst="ellipse">
                                  <a:avLst/>
                                </a:prstGeom>
                                <a:solidFill>
                                  <a:srgbClr val="4BACC6"/>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Oval 55"/>
                              <wps:cNvSpPr/>
                              <wps:spPr>
                                <a:xfrm>
                                  <a:off x="60284" y="60284"/>
                                  <a:ext cx="216024" cy="216024"/>
                                </a:xfrm>
                                <a:prstGeom prst="ellipse">
                                  <a:avLst/>
                                </a:prstGeom>
                                <a:solidFill>
                                  <a:srgbClr val="8064A2"/>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5C35DD1D" id="Group 1" o:spid="_x0000_s1026" alt="Decorative" style="width:26.7pt;height:26.7pt;mso-position-horizontal-relative:char;mso-position-vertical-relative:line" coordsize="339400,33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">
                      <v:oval id="Oval 54" o:spid="_x0000_s1027" style="position:absolute;width:339400;height:339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lZjcMA&#10;AADbAAAADwAAAGRycy9kb3ducmV2LnhtbESP0WrCQBRE3wv+w3KFvtWNUqWNbqQUW4SCYMwHXLPX&#10;bEj2bsiuJv69Wyj0cZiZM8xmO9pW3Kj3tWMF81kCgrh0uuZKQXH6enkD4QOyxtYxKbiTh202edpg&#10;qt3AR7rloRIRwj5FBSaELpXSl4Ys+pnriKN3cb3FEGVfSd3jEOG2lYskWUmLNccFgx19Giqb/GoV&#10;HCpp3s8/3e57UZ+Y86IYmjFR6nk6fqxBBBrDf/ivvdcKlq/w+yX+AJ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lZjcMAAADbAAAADwAAAAAAAAAAAAAAAACYAgAAZHJzL2Rv&#10;d25yZXYueG1sUEsFBgAAAAAEAAQA9QAAAIgDAAAAAA==&#10;" fillcolor="#4bacc6" stroked="f" strokeweight="3pt">
                        <v:stroke dashstyle="1 1"/>
                      </v:oval>
                      <v:oval id="Oval 55" o:spid="_x0000_s1028" style="position:absolute;left:60284;top:60284;width:216024;height:216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KusIA&#10;AADbAAAADwAAAGRycy9kb3ducmV2LnhtbESPUWvCQBCE3wv+h2MFX4pelEYkeooIoembVX/AkluT&#10;YG4v5LYa/71XKPRxmJlvmM1ucK26Ux8azwbmswQUceltw5WByzmfrkAFQbbYeiYDTwqw247eNphZ&#10;/+Bvup+kUhHCIUMDtUiXaR3KmhyGme+Io3f1vUOJsq+07fER4a7ViyRZaocNx4UaOzrUVN5OP86A&#10;XX5cC9fmn5K/2wPtj2lxlC9jJuNhvwYlNMh/+K9dWANpCr9f4g/Q2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wIq6wgAAANsAAAAPAAAAAAAAAAAAAAAAAJgCAABkcnMvZG93&#10;bnJldi54bWxQSwUGAAAAAAQABAD1AAAAhwMAAAAA&#10;" fillcolor="#8064a2" stroked="f" strokeweight="3pt">
                        <v:stroke dashstyle="1 1"/>
                      </v:oval>
                      <w10:anchorlock/>
                    </v:group>
                  </w:pict>
                </mc:Fallback>
              </mc:AlternateContent>
            </w:r>
          </w:p>
        </w:tc>
      </w:tr>
      <w:tr w:rsidR="00094652" w:rsidRPr="0063688B" w14:paraId="33C7F73B" w14:textId="77777777" w:rsidTr="00617D6C">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24" w:type="dxa"/>
          </w:tcPr>
          <w:p w14:paraId="67EEC988" w14:textId="77777777" w:rsidR="00094652" w:rsidRPr="0036554D" w:rsidRDefault="00094652" w:rsidP="00617D6C">
            <w:pPr>
              <w:widowControl w:val="0"/>
              <w:rPr>
                <w:rStyle w:val="Strong"/>
              </w:rPr>
            </w:pPr>
            <w:r w:rsidRPr="0036554D">
              <w:rPr>
                <w:rStyle w:val="Strong"/>
                <w:b/>
                <w:bCs w:val="0"/>
              </w:rPr>
              <w:t>Description</w:t>
            </w:r>
          </w:p>
        </w:tc>
        <w:tc>
          <w:tcPr>
            <w:tcW w:w="3446" w:type="dxa"/>
            <w:gridSpan w:val="2"/>
            <w:shd w:val="clear" w:color="auto" w:fill="auto"/>
          </w:tcPr>
          <w:p w14:paraId="4EB64D0F" w14:textId="77777777" w:rsidR="00094652" w:rsidRPr="00377B83"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Partial:</w:t>
            </w:r>
            <w:r w:rsidRPr="00377B83">
              <w:rPr>
                <w:rStyle w:val="Strong"/>
              </w:rPr>
              <w:t xml:space="preserve"> Some PSPF core and supporting requirements are implemented although are not well understood across the entity. Security outcomes are not being achieved in some areas.</w:t>
            </w:r>
          </w:p>
        </w:tc>
        <w:tc>
          <w:tcPr>
            <w:tcW w:w="3458" w:type="dxa"/>
            <w:gridSpan w:val="2"/>
            <w:shd w:val="clear" w:color="auto" w:fill="auto"/>
          </w:tcPr>
          <w:p w14:paraId="42B70C72" w14:textId="77777777" w:rsidR="00094652" w:rsidRPr="00377B83"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Substantial:</w:t>
            </w:r>
            <w:r w:rsidRPr="00377B83">
              <w:rPr>
                <w:rStyle w:val="Strong"/>
              </w:rPr>
              <w:t xml:space="preserve"> The majority of PSPF core and supporting requirements are implemented, broadly managed and understood across the entity. Entity is largely meeting security outcomes.</w:t>
            </w:r>
          </w:p>
        </w:tc>
        <w:tc>
          <w:tcPr>
            <w:tcW w:w="3455" w:type="dxa"/>
            <w:gridSpan w:val="2"/>
            <w:shd w:val="clear" w:color="auto" w:fill="auto"/>
          </w:tcPr>
          <w:p w14:paraId="03653CA5" w14:textId="77777777" w:rsidR="00094652" w:rsidRPr="0063688B"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pPr>
            <w:r w:rsidRPr="0063688B">
              <w:rPr>
                <w:bCs/>
              </w:rPr>
              <w:t>Full</w:t>
            </w:r>
            <w:r w:rsidRPr="0063688B">
              <w:t xml:space="preserve">: </w:t>
            </w:r>
            <w:r w:rsidRPr="0063688B">
              <w:rPr>
                <w:b w:val="0"/>
              </w:rPr>
              <w:t>A</w:t>
            </w:r>
            <w:r w:rsidRPr="0063688B">
              <w:rPr>
                <w:b w:val="0"/>
                <w:bCs/>
              </w:rPr>
              <w:t>ll PSPF core and supporting requirements are implemented, integrated into business practices and effectively disseminated across the entity. Entity meets security outcomes.</w:t>
            </w:r>
          </w:p>
        </w:tc>
        <w:tc>
          <w:tcPr>
            <w:tcW w:w="3469" w:type="dxa"/>
            <w:gridSpan w:val="2"/>
            <w:shd w:val="clear" w:color="auto" w:fill="auto"/>
          </w:tcPr>
          <w:p w14:paraId="5DD44781" w14:textId="77777777" w:rsidR="00094652" w:rsidRPr="0063688B" w:rsidRDefault="00094652" w:rsidP="00617D6C">
            <w:pPr>
              <w:pStyle w:val="Tablebody"/>
              <w:widowControl w:val="0"/>
              <w:cnfStyle w:val="100000000000" w:firstRow="1" w:lastRow="0" w:firstColumn="0" w:lastColumn="0" w:oddVBand="0" w:evenVBand="0" w:oddHBand="0" w:evenHBand="0" w:firstRowFirstColumn="0" w:firstRowLastColumn="0" w:lastRowFirstColumn="0" w:lastRowLastColumn="0"/>
            </w:pPr>
            <w:r w:rsidRPr="0063688B">
              <w:rPr>
                <w:bCs/>
              </w:rPr>
              <w:t>Excelled</w:t>
            </w:r>
            <w:r w:rsidRPr="0063688B">
              <w:t xml:space="preserve">: </w:t>
            </w:r>
            <w:r w:rsidRPr="0063688B">
              <w:rPr>
                <w:b w:val="0"/>
              </w:rPr>
              <w:t>A</w:t>
            </w:r>
            <w:r w:rsidRPr="0063688B">
              <w:rPr>
                <w:b w:val="0"/>
                <w:bCs/>
              </w:rPr>
              <w:t>ll PSPF core and supporting requirements are implemented, are effectively integrated and exceeding security outcomes with better-practice guidance achieving high performance.</w:t>
            </w:r>
          </w:p>
        </w:tc>
      </w:tr>
      <w:tr w:rsidR="00CA7A03" w:rsidRPr="0063688B" w14:paraId="33687E0F" w14:textId="77777777" w:rsidTr="0019550C">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24" w:type="dxa"/>
            <w:shd w:val="clear" w:color="auto" w:fill="DFD8E8"/>
          </w:tcPr>
          <w:p w14:paraId="7FC6378C" w14:textId="77777777" w:rsidR="00CA7A03" w:rsidRPr="00F044F9" w:rsidRDefault="00CA7A03" w:rsidP="00795D95">
            <w:pPr>
              <w:widowControl w:val="0"/>
              <w:spacing w:before="60" w:after="60"/>
              <w:rPr>
                <w:rStyle w:val="Strong"/>
                <w:b/>
              </w:rPr>
            </w:pPr>
            <w:r w:rsidRPr="00F044F9">
              <w:rPr>
                <w:rStyle w:val="Strong"/>
                <w:b/>
              </w:rPr>
              <w:t>Separating personnel</w:t>
            </w:r>
          </w:p>
        </w:tc>
        <w:tc>
          <w:tcPr>
            <w:tcW w:w="3446" w:type="dxa"/>
            <w:gridSpan w:val="2"/>
            <w:shd w:val="clear" w:color="auto" w:fill="DFD8E8"/>
          </w:tcPr>
          <w:p w14:paraId="724E021F" w14:textId="77777777" w:rsidR="00CA7A03" w:rsidRPr="00F044F9" w:rsidRDefault="00CA7A03" w:rsidP="00795D95">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Partial ad hoc processes are in place to ensure that separating personnel have their access to Australian Government resources withdrawn and are informed of their ongoing security obligations.</w:t>
            </w:r>
          </w:p>
        </w:tc>
        <w:tc>
          <w:tcPr>
            <w:tcW w:w="3458" w:type="dxa"/>
            <w:gridSpan w:val="2"/>
            <w:shd w:val="clear" w:color="auto" w:fill="DFD8E8"/>
          </w:tcPr>
          <w:p w14:paraId="35B460AA" w14:textId="77777777" w:rsidR="00CA7A03" w:rsidRPr="00F044F9" w:rsidRDefault="00CA7A03" w:rsidP="00795D95">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Separating personnel, in the majority of cases, understand their ongoing security obligations and have their access to Australian Government resources withdrawn. Systems and processes are substantially developed to verify consistency of separating personnel practices across the entity.</w:t>
            </w:r>
          </w:p>
        </w:tc>
        <w:tc>
          <w:tcPr>
            <w:tcW w:w="3455" w:type="dxa"/>
            <w:gridSpan w:val="2"/>
            <w:shd w:val="clear" w:color="auto" w:fill="DFD8E8"/>
          </w:tcPr>
          <w:p w14:paraId="63ED27E8" w14:textId="77777777" w:rsidR="00CA7A03" w:rsidRPr="00F044F9" w:rsidRDefault="00CA7A03" w:rsidP="00795D95">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The entity has in place systems and processes to ensure that all separating personnel understand their ongoing security obligations, particularly where they have had access to sensitive and security classified information and resources during their employment. Separating personnel have their access to Australian Government resources withdrawn within an appropriate timeframe.</w:t>
            </w:r>
          </w:p>
        </w:tc>
        <w:tc>
          <w:tcPr>
            <w:tcW w:w="3469" w:type="dxa"/>
            <w:gridSpan w:val="2"/>
            <w:shd w:val="clear" w:color="auto" w:fill="DFD8E8"/>
          </w:tcPr>
          <w:p w14:paraId="1C20DA6E" w14:textId="77777777" w:rsidR="00CA7A03" w:rsidRPr="00F044F9" w:rsidRDefault="00CA7A03" w:rsidP="00795D95">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The entity has proactively implemented systems and processes that are reviewed regularly for separating personnel. Access to Australian Government resources is withdrawn from personnel on separation. The entity ensures separating personnel are debriefed and provided a comprehensive understanding of their ongoing security obligations. Information of security concern about separating personnel is shared with relevant stakeholders, including internally, where appropriate. Risk assessments are undertaken, where appropriate.</w:t>
            </w:r>
          </w:p>
        </w:tc>
      </w:tr>
    </w:tbl>
    <w:p w14:paraId="31ECA6D2" w14:textId="77777777" w:rsidR="0075565E" w:rsidRDefault="0075565E"/>
    <w:sectPr w:rsidR="0075565E" w:rsidSect="000C7534">
      <w:footerReference w:type="default" r:id="rId11"/>
      <w:headerReference w:type="first" r:id="rId12"/>
      <w:pgSz w:w="16838" w:h="11906" w:orient="landscape" w:code="9"/>
      <w:pgMar w:top="720" w:right="766" w:bottom="720" w:left="720" w:header="284" w:footer="28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944F0" w14:textId="77777777" w:rsidR="0005587B" w:rsidRDefault="0005587B" w:rsidP="007D070A">
      <w:pPr>
        <w:spacing w:after="0"/>
      </w:pPr>
      <w:r>
        <w:separator/>
      </w:r>
    </w:p>
  </w:endnote>
  <w:endnote w:type="continuationSeparator" w:id="0">
    <w:p w14:paraId="67A75FE5" w14:textId="77777777" w:rsidR="0005587B" w:rsidRDefault="0005587B" w:rsidP="007D070A">
      <w:pPr>
        <w:spacing w:after="0"/>
      </w:pPr>
      <w:r>
        <w:continuationSeparator/>
      </w:r>
    </w:p>
  </w:endnote>
  <w:endnote w:type="continuationNotice" w:id="1">
    <w:p w14:paraId="54FBE294" w14:textId="77777777" w:rsidR="0005587B" w:rsidRDefault="00055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198198"/>
      <w:docPartObj>
        <w:docPartGallery w:val="Page Numbers (Bottom of Page)"/>
        <w:docPartUnique/>
      </w:docPartObj>
    </w:sdtPr>
    <w:sdtEndPr/>
    <w:sdtContent>
      <w:p w14:paraId="12AF68B0" w14:textId="200C750B" w:rsidR="005305FF" w:rsidRPr="000C7534" w:rsidRDefault="005305FF" w:rsidP="000C7534">
        <w:pPr>
          <w:pStyle w:val="Landscapefooter"/>
        </w:pPr>
        <w:r w:rsidRPr="006F61B7">
          <w:rPr>
            <w:noProof/>
            <w:lang w:eastAsia="en-AU"/>
          </w:rPr>
          <mc:AlternateContent>
            <mc:Choice Requires="wps">
              <w:drawing>
                <wp:anchor distT="0" distB="0" distL="114300" distR="114300" simplePos="0" relativeHeight="251491840" behindDoc="0" locked="0" layoutInCell="1" allowOverlap="1" wp14:anchorId="29E8D59F" wp14:editId="7809FD5B">
                  <wp:simplePos x="0" y="0"/>
                  <wp:positionH relativeFrom="column">
                    <wp:posOffset>-635</wp:posOffset>
                  </wp:positionH>
                  <wp:positionV relativeFrom="paragraph">
                    <wp:posOffset>-78105</wp:posOffset>
                  </wp:positionV>
                  <wp:extent cx="9763125" cy="45085"/>
                  <wp:effectExtent l="0" t="0" r="9525" b="0"/>
                  <wp:wrapNone/>
                  <wp:docPr id="33" name="Rectangle 33"/>
                  <wp:cNvGraphicFramePr/>
                  <a:graphic xmlns:a="http://schemas.openxmlformats.org/drawingml/2006/main">
                    <a:graphicData uri="http://schemas.microsoft.com/office/word/2010/wordprocessingShape">
                      <wps:wsp>
                        <wps:cNvSpPr/>
                        <wps:spPr>
                          <a:xfrm>
                            <a:off x="0" y="0"/>
                            <a:ext cx="9763125" cy="4508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A0DFCB" id="Rectangle 33" o:spid="_x0000_s1026" style="position:absolute;margin-left:-.05pt;margin-top:-6.15pt;width:768.75pt;height:3.55pt;z-index:2514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" fillcolor="#483a70" stroked="f" strokeweight="2pt"/>
              </w:pict>
            </mc:Fallback>
          </mc:AlternateContent>
        </w:r>
        <w:sdt>
          <w:sdtPr>
            <w:id w:val="-1896112714"/>
            <w:docPartObj>
              <w:docPartGallery w:val="Page Numbers (Bottom of Page)"/>
              <w:docPartUnique/>
            </w:docPartObj>
          </w:sdtPr>
          <w:sdtEndPr>
            <w:rPr>
              <w:noProof/>
            </w:rPr>
          </w:sdtEndPr>
          <w:sdtContent>
            <w:r w:rsidRPr="000C7534">
              <w:t>v2018.</w:t>
            </w:r>
            <w:r w:rsidR="00977925">
              <w:t>2</w:t>
            </w:r>
            <w:r>
              <w:tab/>
              <w:t>5 Reporting on security</w:t>
            </w:r>
            <w:r>
              <w:tab/>
            </w:r>
            <w:r w:rsidRPr="000C7534">
              <w:fldChar w:fldCharType="begin"/>
            </w:r>
            <w:r w:rsidRPr="000C7534">
              <w:instrText xml:space="preserve"> REF _Ref513635379 \r \h  \* MERGEFORMAT </w:instrText>
            </w:r>
            <w:r w:rsidRPr="000C7534">
              <w:fldChar w:fldCharType="separate"/>
            </w:r>
            <w:r w:rsidRPr="000C7534">
              <w:t>Annex A</w:t>
            </w:r>
            <w:r w:rsidRPr="000C7534">
              <w:fldChar w:fldCharType="end"/>
            </w:r>
            <w:r w:rsidRPr="000C7534">
              <w:t>-</w:t>
            </w:r>
            <w:r w:rsidRPr="000C7534">
              <w:fldChar w:fldCharType="begin"/>
            </w:r>
            <w:r w:rsidRPr="006F61B7">
              <w:instrText xml:space="preserve"> PAGE   \* MERGEFORMAT </w:instrText>
            </w:r>
            <w:r w:rsidRPr="000C7534">
              <w:fldChar w:fldCharType="separate"/>
            </w:r>
            <w:r w:rsidR="00B443CC">
              <w:rPr>
                <w:noProof/>
              </w:rPr>
              <w:t>2</w:t>
            </w:r>
            <w:r w:rsidRPr="000C7534">
              <w:fldChar w:fldCharType="end"/>
            </w:r>
          </w:sdtContent>
        </w:sdt>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1CB77" w14:textId="77777777" w:rsidR="0005587B" w:rsidRDefault="0005587B" w:rsidP="007D070A">
      <w:pPr>
        <w:spacing w:after="0"/>
      </w:pPr>
      <w:r>
        <w:separator/>
      </w:r>
    </w:p>
  </w:footnote>
  <w:footnote w:type="continuationSeparator" w:id="0">
    <w:p w14:paraId="5FD389C9" w14:textId="77777777" w:rsidR="0005587B" w:rsidRDefault="0005587B" w:rsidP="007D070A">
      <w:pPr>
        <w:spacing w:after="0"/>
      </w:pPr>
      <w:r>
        <w:continuationSeparator/>
      </w:r>
    </w:p>
  </w:footnote>
  <w:footnote w:type="continuationNotice" w:id="1">
    <w:p w14:paraId="7CD23BB3" w14:textId="77777777" w:rsidR="0005587B" w:rsidRDefault="0005587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7FDA9" w14:textId="77777777" w:rsidR="005305FF" w:rsidRDefault="005305FF" w:rsidP="00FE19D2">
    <w:pPr>
      <w:pStyle w:val="FootnoteText"/>
    </w:pPr>
    <w:r>
      <w:rPr>
        <w:noProof/>
        <w:lang w:eastAsia="en-AU"/>
      </w:rPr>
      <mc:AlternateContent>
        <mc:Choice Requires="wps">
          <w:drawing>
            <wp:anchor distT="0" distB="0" distL="114300" distR="114300" simplePos="0" relativeHeight="251614720" behindDoc="0" locked="0" layoutInCell="1" allowOverlap="1" wp14:anchorId="1E1AEF93" wp14:editId="32497DCD">
              <wp:simplePos x="0" y="0"/>
              <wp:positionH relativeFrom="column">
                <wp:posOffset>1962150</wp:posOffset>
              </wp:positionH>
              <wp:positionV relativeFrom="paragraph">
                <wp:posOffset>1127711</wp:posOffset>
              </wp:positionV>
              <wp:extent cx="4685421" cy="443133"/>
              <wp:effectExtent l="0" t="0" r="0" b="0"/>
              <wp:wrapNone/>
              <wp:docPr id="219" name="Text Box 219"/>
              <wp:cNvGraphicFramePr/>
              <a:graphic xmlns:a="http://schemas.openxmlformats.org/drawingml/2006/main">
                <a:graphicData uri="http://schemas.microsoft.com/office/word/2010/wordprocessingShape">
                  <wps:wsp>
                    <wps:cNvSpPr txBox="1"/>
                    <wps:spPr>
                      <a:xfrm>
                        <a:off x="0" y="0"/>
                        <a:ext cx="4685421" cy="4431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A9860A" w14:textId="77777777" w:rsidR="005305FF" w:rsidRPr="00361D34" w:rsidRDefault="005305FF"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1AEF93" id="_x0000_t202" coordsize="21600,21600" o:spt="202" path="m,l,21600r21600,l21600,xe">
              <v:stroke joinstyle="miter"/>
              <v:path gradientshapeok="t" o:connecttype="rect"/>
            </v:shapetype>
            <v:shape id="Text Box 219" o:spid="_x0000_s1031" type="#_x0000_t202" style="position:absolute;margin-left:154.5pt;margin-top:88.8pt;width:368.95pt;height:34.9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" filled="f" stroked="f" strokeweight=".5pt">
              <v:textbox>
                <w:txbxContent>
                  <w:p w14:paraId="28A9860A" w14:textId="77777777" w:rsidR="00CA7A03" w:rsidRPr="00361D34" w:rsidRDefault="00CA7A03"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603456" behindDoc="1" locked="0" layoutInCell="1" allowOverlap="1" wp14:anchorId="7559DE66" wp14:editId="486BF11F">
          <wp:simplePos x="0" y="0"/>
          <wp:positionH relativeFrom="column">
            <wp:posOffset>0</wp:posOffset>
          </wp:positionH>
          <wp:positionV relativeFrom="page">
            <wp:posOffset>457200</wp:posOffset>
          </wp:positionV>
          <wp:extent cx="6645600" cy="1288800"/>
          <wp:effectExtent l="0" t="0" r="3175" b="6985"/>
          <wp:wrapTopAndBottom/>
          <wp:docPr id="1" name="Picture 1"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600" cy="128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D32F6F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D4049B"/>
    <w:multiLevelType w:val="hybridMultilevel"/>
    <w:tmpl w:val="FCF252C8"/>
    <w:lvl w:ilvl="0" w:tplc="F9142DD0">
      <w:start w:val="1"/>
      <w:numFmt w:val="lowerRoman"/>
      <w:pStyle w:val="Tablebodybullet2"/>
      <w:lvlText w:val="%1."/>
      <w:lvlJc w:val="right"/>
      <w:pPr>
        <w:ind w:left="1800" w:hanging="360"/>
      </w:pPr>
    </w:lvl>
    <w:lvl w:ilvl="1" w:tplc="08090001">
      <w:start w:val="1"/>
      <w:numFmt w:val="bullet"/>
      <w:pStyle w:val="Tablebodybullet3"/>
      <w:lvlText w:val=""/>
      <w:lvlJc w:val="left"/>
      <w:pPr>
        <w:ind w:left="2520" w:hanging="360"/>
      </w:pPr>
      <w:rPr>
        <w:rFonts w:ascii="Symbol" w:hAnsi="Symbol" w:hint="default"/>
      </w:r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2" w15:restartNumberingAfterBreak="0">
    <w:nsid w:val="022F65BF"/>
    <w:multiLevelType w:val="hybridMultilevel"/>
    <w:tmpl w:val="4A669666"/>
    <w:lvl w:ilvl="0" w:tplc="D4BCE58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 w15:restartNumberingAfterBreak="0">
    <w:nsid w:val="04C6557B"/>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5134FAB"/>
    <w:multiLevelType w:val="multilevel"/>
    <w:tmpl w:val="B22E10AC"/>
    <w:styleLink w:val="Numberedparagraphs"/>
    <w:lvl w:ilvl="0">
      <w:start w:val="1"/>
      <w:numFmt w:val="decimal"/>
      <w:pStyle w:val="Listbullet1"/>
      <w:lvlText w:val="%1."/>
      <w:lvlJc w:val="left"/>
      <w:pPr>
        <w:ind w:left="9129" w:hanging="340"/>
      </w:pPr>
      <w:rPr>
        <w:rFonts w:hint="default"/>
      </w:rPr>
    </w:lvl>
    <w:lvl w:ilvl="1">
      <w:start w:val="1"/>
      <w:numFmt w:val="lowerLetter"/>
      <w:lvlText w:val="%2."/>
      <w:lvlJc w:val="left"/>
      <w:pPr>
        <w:ind w:left="907" w:hanging="340"/>
      </w:pPr>
      <w:rPr>
        <w:rFonts w:hint="default"/>
      </w:rPr>
    </w:lvl>
    <w:lvl w:ilvl="2">
      <w:start w:val="1"/>
      <w:numFmt w:val="lowerRoman"/>
      <w:lvlText w:val="%3."/>
      <w:lvlJc w:val="right"/>
      <w:pPr>
        <w:ind w:left="1474" w:hanging="340"/>
      </w:pPr>
      <w:rPr>
        <w:rFonts w:hint="default"/>
      </w:rPr>
    </w:lvl>
    <w:lvl w:ilvl="3">
      <w:start w:val="1"/>
      <w:numFmt w:val="upperLetter"/>
      <w:lvlText w:val="%4."/>
      <w:lvlJc w:val="left"/>
      <w:pPr>
        <w:ind w:left="2041" w:hanging="340"/>
      </w:pPr>
      <w:rPr>
        <w:rFonts w:hint="default"/>
      </w:rPr>
    </w:lvl>
    <w:lvl w:ilvl="4">
      <w:start w:val="1"/>
      <w:numFmt w:val="upperRoman"/>
      <w:lvlText w:val="%5."/>
      <w:lvlJc w:val="left"/>
      <w:pPr>
        <w:ind w:left="2608" w:hanging="340"/>
      </w:pPr>
      <w:rPr>
        <w:rFonts w:hint="default"/>
      </w:rPr>
    </w:lvl>
    <w:lvl w:ilvl="5">
      <w:start w:val="1"/>
      <w:numFmt w:val="lowerRoman"/>
      <w:lvlText w:val="%6."/>
      <w:lvlJc w:val="right"/>
      <w:pPr>
        <w:ind w:left="3175" w:hanging="340"/>
      </w:pPr>
      <w:rPr>
        <w:rFonts w:hint="default"/>
      </w:rPr>
    </w:lvl>
    <w:lvl w:ilvl="6">
      <w:start w:val="1"/>
      <w:numFmt w:val="decimal"/>
      <w:lvlText w:val="%7."/>
      <w:lvlJc w:val="left"/>
      <w:pPr>
        <w:ind w:left="3742" w:hanging="340"/>
      </w:pPr>
      <w:rPr>
        <w:rFonts w:hint="default"/>
      </w:rPr>
    </w:lvl>
    <w:lvl w:ilvl="7">
      <w:start w:val="1"/>
      <w:numFmt w:val="lowerLetter"/>
      <w:lvlText w:val="%8."/>
      <w:lvlJc w:val="left"/>
      <w:pPr>
        <w:ind w:left="4309" w:hanging="340"/>
      </w:pPr>
      <w:rPr>
        <w:rFonts w:hint="default"/>
      </w:rPr>
    </w:lvl>
    <w:lvl w:ilvl="8">
      <w:start w:val="1"/>
      <w:numFmt w:val="lowerRoman"/>
      <w:lvlText w:val="%9."/>
      <w:lvlJc w:val="right"/>
      <w:pPr>
        <w:ind w:left="4876" w:hanging="340"/>
      </w:pPr>
      <w:rPr>
        <w:rFonts w:hint="default"/>
      </w:rPr>
    </w:lvl>
  </w:abstractNum>
  <w:abstractNum w:abstractNumId="5" w15:restartNumberingAfterBreak="0">
    <w:nsid w:val="08265C89"/>
    <w:multiLevelType w:val="multilevel"/>
    <w:tmpl w:val="64FCA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11121F"/>
    <w:multiLevelType w:val="hybridMultilevel"/>
    <w:tmpl w:val="B94C1756"/>
    <w:lvl w:ilvl="0" w:tplc="C00E7378">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7" w15:restartNumberingAfterBreak="0">
    <w:nsid w:val="096F1958"/>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8" w15:restartNumberingAfterBreak="0">
    <w:nsid w:val="0AD94C3F"/>
    <w:multiLevelType w:val="hybridMultilevel"/>
    <w:tmpl w:val="9A9A91AC"/>
    <w:lvl w:ilvl="0" w:tplc="E98AFDBE">
      <w:start w:val="1"/>
      <w:numFmt w:val="bullet"/>
      <w:pStyle w:val="Table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AF516EB"/>
    <w:multiLevelType w:val="hybridMultilevel"/>
    <w:tmpl w:val="6E2ABDB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AF61EB5"/>
    <w:multiLevelType w:val="hybridMultilevel"/>
    <w:tmpl w:val="530C78AE"/>
    <w:lvl w:ilvl="0" w:tplc="432E93DA">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0B073882"/>
    <w:multiLevelType w:val="hybridMultilevel"/>
    <w:tmpl w:val="5644D360"/>
    <w:lvl w:ilvl="0" w:tplc="0809001B">
      <w:start w:val="1"/>
      <w:numFmt w:val="lowerRoman"/>
      <w:lvlText w:val="%1."/>
      <w:lvlJc w:val="righ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CE5A5D"/>
    <w:multiLevelType w:val="hybridMultilevel"/>
    <w:tmpl w:val="D0280872"/>
    <w:lvl w:ilvl="0" w:tplc="0C09001B">
      <w:start w:val="1"/>
      <w:numFmt w:val="lowerRoman"/>
      <w:lvlText w:val="%1."/>
      <w:lvlJc w:val="right"/>
      <w:pPr>
        <w:ind w:left="180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1F34BF3"/>
    <w:multiLevelType w:val="multilevel"/>
    <w:tmpl w:val="C10EEBF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2963885"/>
    <w:multiLevelType w:val="hybridMultilevel"/>
    <w:tmpl w:val="EF9CD694"/>
    <w:lvl w:ilvl="0" w:tplc="83CA406C">
      <w:start w:val="1"/>
      <w:numFmt w:val="lowerRoman"/>
      <w:lvlText w:val="%1."/>
      <w:lvlJc w:val="right"/>
      <w:pPr>
        <w:ind w:left="1500" w:hanging="360"/>
      </w:pPr>
    </w:lvl>
    <w:lvl w:ilvl="1" w:tplc="08090019">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6" w15:restartNumberingAfterBreak="0">
    <w:nsid w:val="12DB221F"/>
    <w:multiLevelType w:val="hybridMultilevel"/>
    <w:tmpl w:val="7D2A2374"/>
    <w:lvl w:ilvl="0" w:tplc="D7705FF2">
      <w:start w:val="1"/>
      <w:numFmt w:val="bullet"/>
      <w:lvlText w:val=""/>
      <w:lvlJc w:val="left"/>
      <w:pPr>
        <w:ind w:left="993" w:hanging="360"/>
      </w:pPr>
      <w:rPr>
        <w:rFonts w:ascii="Symbol" w:hAnsi="Symbol" w:hint="default"/>
        <w:color w:val="95B3D7" w:themeColor="accent1" w:themeTint="99"/>
      </w:rPr>
    </w:lvl>
    <w:lvl w:ilvl="1" w:tplc="03DA082E">
      <w:start w:val="1"/>
      <w:numFmt w:val="bullet"/>
      <w:lvlText w:val="-"/>
      <w:lvlJc w:val="left"/>
      <w:pPr>
        <w:ind w:left="1440" w:hanging="360"/>
      </w:pPr>
      <w:rPr>
        <w:rFonts w:ascii="Courier New" w:hAnsi="Courier New" w:cs="Times New Roman" w:hint="default"/>
      </w:rPr>
    </w:lvl>
    <w:lvl w:ilvl="2" w:tplc="0C090005">
      <w:start w:val="1"/>
      <w:numFmt w:val="bullet"/>
      <w:lvlText w:val=""/>
      <w:lvlJc w:val="left"/>
      <w:pPr>
        <w:ind w:left="2160" w:hanging="360"/>
      </w:pPr>
      <w:rPr>
        <w:rFonts w:ascii="Wingdings" w:hAnsi="Wingdings" w:hint="default"/>
      </w:r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7" w15:restartNumberingAfterBreak="0">
    <w:nsid w:val="14997703"/>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8" w15:restartNumberingAfterBreak="0">
    <w:nsid w:val="14D01BAB"/>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15A352B1"/>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16E03D2E"/>
    <w:multiLevelType w:val="multilevel"/>
    <w:tmpl w:val="8E560E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18C31B5B"/>
    <w:multiLevelType w:val="hybridMultilevel"/>
    <w:tmpl w:val="6E2ABDB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BB63F57"/>
    <w:multiLevelType w:val="hybridMultilevel"/>
    <w:tmpl w:val="B9C40B3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3" w15:restartNumberingAfterBreak="0">
    <w:nsid w:val="1BF259D3"/>
    <w:multiLevelType w:val="hybridMultilevel"/>
    <w:tmpl w:val="3F5E7596"/>
    <w:lvl w:ilvl="0" w:tplc="08090019">
      <w:start w:val="1"/>
      <w:numFmt w:val="lowerLetter"/>
      <w:lvlText w:val="%1."/>
      <w:lvlJc w:val="left"/>
      <w:pPr>
        <w:ind w:left="1080" w:hanging="360"/>
      </w:pPr>
    </w:lvl>
    <w:lvl w:ilvl="1" w:tplc="60EC93C2">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 w15:restartNumberingAfterBreak="0">
    <w:nsid w:val="1D836529"/>
    <w:multiLevelType w:val="hybridMultilevel"/>
    <w:tmpl w:val="0B74B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665D7D"/>
    <w:multiLevelType w:val="multilevel"/>
    <w:tmpl w:val="9B6E58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1E710101"/>
    <w:multiLevelType w:val="hybridMultilevel"/>
    <w:tmpl w:val="E0687394"/>
    <w:lvl w:ilvl="0" w:tplc="9FA4D312">
      <w:start w:val="1"/>
      <w:numFmt w:val="lowerLetter"/>
      <w:lvlText w:val="%1."/>
      <w:lvlJc w:val="left"/>
      <w:pPr>
        <w:ind w:left="720" w:hanging="360"/>
      </w:pPr>
      <w:rPr>
        <w:b w:val="0"/>
      </w:rPr>
    </w:lvl>
    <w:lvl w:ilvl="1" w:tplc="0C090013">
      <w:start w:val="1"/>
      <w:numFmt w:val="upp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224D1A94"/>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252C31E9"/>
    <w:multiLevelType w:val="hybridMultilevel"/>
    <w:tmpl w:val="C234BD64"/>
    <w:lvl w:ilvl="0" w:tplc="3CF61D94">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9" w15:restartNumberingAfterBreak="0">
    <w:nsid w:val="25684487"/>
    <w:multiLevelType w:val="hybridMultilevel"/>
    <w:tmpl w:val="693EC888"/>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25FE346A"/>
    <w:multiLevelType w:val="hybridMultilevel"/>
    <w:tmpl w:val="0308B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79E1E86"/>
    <w:multiLevelType w:val="multilevel"/>
    <w:tmpl w:val="B22E10AC"/>
    <w:numStyleLink w:val="Numberedparagraphs"/>
  </w:abstractNum>
  <w:abstractNum w:abstractNumId="32" w15:restartNumberingAfterBreak="0">
    <w:nsid w:val="28795378"/>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28C70AF2"/>
    <w:multiLevelType w:val="hybridMultilevel"/>
    <w:tmpl w:val="3F5E7596"/>
    <w:lvl w:ilvl="0" w:tplc="08090019">
      <w:start w:val="1"/>
      <w:numFmt w:val="lowerLetter"/>
      <w:lvlText w:val="%1."/>
      <w:lvlJc w:val="left"/>
      <w:pPr>
        <w:ind w:left="1080" w:hanging="360"/>
      </w:pPr>
    </w:lvl>
    <w:lvl w:ilvl="1" w:tplc="60EC93C2">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4" w15:restartNumberingAfterBreak="0">
    <w:nsid w:val="2C667D53"/>
    <w:multiLevelType w:val="hybridMultilevel"/>
    <w:tmpl w:val="3F5E7596"/>
    <w:lvl w:ilvl="0" w:tplc="08090019">
      <w:start w:val="1"/>
      <w:numFmt w:val="lowerLetter"/>
      <w:lvlText w:val="%1."/>
      <w:lvlJc w:val="left"/>
      <w:pPr>
        <w:ind w:left="1080" w:hanging="360"/>
      </w:pPr>
    </w:lvl>
    <w:lvl w:ilvl="1" w:tplc="60EC93C2">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5" w15:restartNumberingAfterBreak="0">
    <w:nsid w:val="2C7C45EA"/>
    <w:multiLevelType w:val="hybridMultilevel"/>
    <w:tmpl w:val="A698ABEC"/>
    <w:lvl w:ilvl="0" w:tplc="564E4384">
      <w:start w:val="1"/>
      <w:numFmt w:val="decimal"/>
      <w:lvlText w:val="%1."/>
      <w:lvlJc w:val="left"/>
      <w:pPr>
        <w:ind w:left="360" w:hanging="360"/>
      </w:pPr>
      <w:rPr>
        <w:b w:val="0"/>
        <w:i w:val="0"/>
        <w:color w:val="auto"/>
        <w:sz w:val="20"/>
        <w:szCs w:val="20"/>
      </w:rPr>
    </w:lvl>
    <w:lvl w:ilvl="1" w:tplc="0C090001">
      <w:start w:val="1"/>
      <w:numFmt w:val="bullet"/>
      <w:lvlText w:val=""/>
      <w:lvlJc w:val="left"/>
      <w:pPr>
        <w:ind w:left="1080" w:hanging="360"/>
      </w:pPr>
      <w:rPr>
        <w:rFonts w:ascii="Symbol" w:hAnsi="Symbol" w:hint="default"/>
        <w:i w:val="0"/>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6" w15:restartNumberingAfterBreak="0">
    <w:nsid w:val="2EFC2721"/>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7" w15:restartNumberingAfterBreak="0">
    <w:nsid w:val="32B17C87"/>
    <w:multiLevelType w:val="hybridMultilevel"/>
    <w:tmpl w:val="B9C40B3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8" w15:restartNumberingAfterBreak="0">
    <w:nsid w:val="34C704CC"/>
    <w:multiLevelType w:val="hybridMultilevel"/>
    <w:tmpl w:val="4C4215FC"/>
    <w:lvl w:ilvl="0" w:tplc="A274AB4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4970F4"/>
    <w:multiLevelType w:val="hybridMultilevel"/>
    <w:tmpl w:val="4F42F490"/>
    <w:lvl w:ilvl="0" w:tplc="564E4384">
      <w:start w:val="1"/>
      <w:numFmt w:val="decimal"/>
      <w:lvlText w:val="%1."/>
      <w:lvlJc w:val="left"/>
      <w:pPr>
        <w:ind w:left="360" w:hanging="360"/>
      </w:pPr>
      <w:rPr>
        <w:b w:val="0"/>
        <w:i w:val="0"/>
        <w:color w:val="auto"/>
        <w:sz w:val="20"/>
        <w:szCs w:val="20"/>
      </w:rPr>
    </w:lvl>
    <w:lvl w:ilvl="1" w:tplc="0C090019">
      <w:start w:val="1"/>
      <w:numFmt w:val="lowerLetter"/>
      <w:lvlText w:val="%2."/>
      <w:lvlJc w:val="left"/>
      <w:pPr>
        <w:ind w:left="1080" w:hanging="360"/>
      </w:pPr>
      <w:rPr>
        <w:rFonts w:hint="default"/>
        <w:b w:val="0"/>
        <w:i w:val="0"/>
      </w:rPr>
    </w:lvl>
    <w:lvl w:ilvl="2" w:tplc="0C090017">
      <w:start w:val="1"/>
      <w:numFmt w:val="lowerLetter"/>
      <w:lvlText w:val="%3)"/>
      <w:lvlJc w:val="lef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0" w15:restartNumberingAfterBreak="0">
    <w:nsid w:val="35E30921"/>
    <w:multiLevelType w:val="hybridMultilevel"/>
    <w:tmpl w:val="B436177C"/>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41" w15:restartNumberingAfterBreak="0">
    <w:nsid w:val="36A04AD9"/>
    <w:multiLevelType w:val="hybridMultilevel"/>
    <w:tmpl w:val="5F803806"/>
    <w:lvl w:ilvl="0" w:tplc="D75678AC">
      <w:start w:val="1"/>
      <w:numFmt w:val="bullet"/>
      <w:lvlText w:val=""/>
      <w:lvlJc w:val="left"/>
      <w:pPr>
        <w:ind w:left="993" w:hanging="360"/>
      </w:pPr>
      <w:rPr>
        <w:rFonts w:ascii="Symbol" w:hAnsi="Symbol" w:hint="default"/>
      </w:rPr>
    </w:lvl>
    <w:lvl w:ilvl="1" w:tplc="03DA082E">
      <w:start w:val="1"/>
      <w:numFmt w:val="bullet"/>
      <w:lvlText w:val="-"/>
      <w:lvlJc w:val="left"/>
      <w:pPr>
        <w:ind w:left="1440" w:hanging="360"/>
      </w:pPr>
      <w:rPr>
        <w:rFonts w:ascii="Courier New" w:hAnsi="Courier New" w:cs="Times New Roman" w:hint="default"/>
      </w:rPr>
    </w:lvl>
    <w:lvl w:ilvl="2" w:tplc="0C090005">
      <w:start w:val="1"/>
      <w:numFmt w:val="bullet"/>
      <w:pStyle w:val="Dot3"/>
      <w:lvlText w:val=""/>
      <w:lvlJc w:val="left"/>
      <w:pPr>
        <w:ind w:left="2160" w:hanging="360"/>
      </w:pPr>
      <w:rPr>
        <w:rFonts w:ascii="Wingdings" w:hAnsi="Wingdings" w:hint="default"/>
      </w:r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42" w15:restartNumberingAfterBreak="0">
    <w:nsid w:val="36B4553D"/>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43" w15:restartNumberingAfterBreak="0">
    <w:nsid w:val="373A6C93"/>
    <w:multiLevelType w:val="hybridMultilevel"/>
    <w:tmpl w:val="2390C180"/>
    <w:lvl w:ilvl="0" w:tplc="F9142DD0">
      <w:start w:val="1"/>
      <w:numFmt w:val="lowerRoman"/>
      <w:lvlText w:val="%1."/>
      <w:lvlJc w:val="right"/>
      <w:pPr>
        <w:ind w:left="1440" w:hanging="360"/>
      </w:pPr>
    </w:lvl>
    <w:lvl w:ilvl="1" w:tplc="08090001">
      <w:start w:val="1"/>
      <w:numFmt w:val="bullet"/>
      <w:lvlText w:val=""/>
      <w:lvlJc w:val="left"/>
      <w:pPr>
        <w:ind w:left="2160" w:hanging="360"/>
      </w:pPr>
      <w:rPr>
        <w:rFonts w:ascii="Symbol" w:hAnsi="Symbol" w:hint="default"/>
      </w:rPr>
    </w:lvl>
    <w:lvl w:ilvl="2" w:tplc="08090001">
      <w:start w:val="1"/>
      <w:numFmt w:val="bullet"/>
      <w:lvlText w:val=""/>
      <w:lvlJc w:val="left"/>
      <w:pPr>
        <w:ind w:left="2880" w:hanging="180"/>
      </w:pPr>
      <w:rPr>
        <w:rFonts w:ascii="Symbol" w:hAnsi="Symbol" w:hint="default"/>
      </w:r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4" w15:restartNumberingAfterBreak="0">
    <w:nsid w:val="386E0B54"/>
    <w:multiLevelType w:val="hybridMultilevel"/>
    <w:tmpl w:val="6E2ABDB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9D607A2"/>
    <w:multiLevelType w:val="hybridMultilevel"/>
    <w:tmpl w:val="1F60FEF8"/>
    <w:lvl w:ilvl="0" w:tplc="0C09001B">
      <w:start w:val="1"/>
      <w:numFmt w:val="lowerRoman"/>
      <w:lvlText w:val="%1."/>
      <w:lvlJc w:val="right"/>
      <w:pPr>
        <w:ind w:left="180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A1A4470"/>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47" w15:restartNumberingAfterBreak="0">
    <w:nsid w:val="3CA42FC9"/>
    <w:multiLevelType w:val="hybridMultilevel"/>
    <w:tmpl w:val="607A876C"/>
    <w:lvl w:ilvl="0" w:tplc="A5204180">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8" w15:restartNumberingAfterBreak="0">
    <w:nsid w:val="3CA83939"/>
    <w:multiLevelType w:val="multilevel"/>
    <w:tmpl w:val="E82219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3CBD711D"/>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0" w15:restartNumberingAfterBreak="0">
    <w:nsid w:val="3DFB0AD5"/>
    <w:multiLevelType w:val="hybridMultilevel"/>
    <w:tmpl w:val="CE5E6EF4"/>
    <w:lvl w:ilvl="0" w:tplc="FA2AA2B0">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1" w15:restartNumberingAfterBreak="0">
    <w:nsid w:val="3F14345A"/>
    <w:multiLevelType w:val="hybridMultilevel"/>
    <w:tmpl w:val="338838E2"/>
    <w:lvl w:ilvl="0" w:tplc="C1D21FE6">
      <w:start w:val="1"/>
      <w:numFmt w:val="decimal"/>
      <w:lvlText w:val="%1."/>
      <w:lvlJc w:val="left"/>
      <w:pPr>
        <w:ind w:left="792" w:hanging="360"/>
      </w:pPr>
    </w:lvl>
    <w:lvl w:ilvl="1" w:tplc="08090019">
      <w:start w:val="1"/>
      <w:numFmt w:val="lowerLetter"/>
      <w:lvlText w:val="%2."/>
      <w:lvlJc w:val="left"/>
      <w:pPr>
        <w:ind w:left="1512" w:hanging="360"/>
      </w:pPr>
    </w:lvl>
    <w:lvl w:ilvl="2" w:tplc="0809001B">
      <w:start w:val="1"/>
      <w:numFmt w:val="lowerRoman"/>
      <w:lvlText w:val="%3."/>
      <w:lvlJc w:val="right"/>
      <w:pPr>
        <w:ind w:left="2232" w:hanging="180"/>
      </w:pPr>
    </w:lvl>
    <w:lvl w:ilvl="3" w:tplc="0809000F">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52" w15:restartNumberingAfterBreak="0">
    <w:nsid w:val="43235ED3"/>
    <w:multiLevelType w:val="hybridMultilevel"/>
    <w:tmpl w:val="FA44CC9C"/>
    <w:lvl w:ilvl="0" w:tplc="FA984D4A">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3" w15:restartNumberingAfterBreak="0">
    <w:nsid w:val="436410F3"/>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54" w15:restartNumberingAfterBreak="0">
    <w:nsid w:val="45E47A96"/>
    <w:multiLevelType w:val="hybridMultilevel"/>
    <w:tmpl w:val="281E8C8A"/>
    <w:lvl w:ilvl="0" w:tplc="03E6D220">
      <w:start w:val="1"/>
      <w:numFmt w:val="lowerRoman"/>
      <w:pStyle w:val="ListBullet3"/>
      <w:lvlText w:val="%1."/>
      <w:lvlJc w:val="righ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55" w15:restartNumberingAfterBreak="0">
    <w:nsid w:val="474B5CD8"/>
    <w:multiLevelType w:val="hybridMultilevel"/>
    <w:tmpl w:val="1960C234"/>
    <w:lvl w:ilvl="0" w:tplc="FEF2365A">
      <w:start w:val="1"/>
      <w:numFmt w:val="lowerRoman"/>
      <w:lvlText w:val="%1."/>
      <w:lvlJc w:val="right"/>
      <w:pPr>
        <w:ind w:left="1800" w:hanging="360"/>
      </w:pPr>
      <w:rPr>
        <w:rFonts w:hint="default"/>
      </w:r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56" w15:restartNumberingAfterBreak="0">
    <w:nsid w:val="48396A00"/>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7" w15:restartNumberingAfterBreak="0">
    <w:nsid w:val="48663BB3"/>
    <w:multiLevelType w:val="hybridMultilevel"/>
    <w:tmpl w:val="2BFCD4E2"/>
    <w:lvl w:ilvl="0" w:tplc="6DFCB9B6">
      <w:start w:val="1"/>
      <w:numFmt w:val="lowerRoman"/>
      <w:lvlText w:val="%1."/>
      <w:lvlJc w:val="right"/>
      <w:pPr>
        <w:ind w:left="2203" w:hanging="360"/>
      </w:pPr>
      <w:rPr>
        <w:rFonts w:hint="default"/>
      </w:r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58" w15:restartNumberingAfterBreak="0">
    <w:nsid w:val="4B857351"/>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9" w15:restartNumberingAfterBreak="0">
    <w:nsid w:val="504E7A51"/>
    <w:multiLevelType w:val="hybridMultilevel"/>
    <w:tmpl w:val="FFD08BF4"/>
    <w:lvl w:ilvl="0" w:tplc="08090019">
      <w:start w:val="1"/>
      <w:numFmt w:val="lowerLetter"/>
      <w:pStyle w:val="ListBullet2"/>
      <w:lvlText w:val="%1."/>
      <w:lvlJc w:val="left"/>
      <w:pPr>
        <w:ind w:left="720" w:hanging="360"/>
      </w:pPr>
    </w:lvl>
    <w:lvl w:ilvl="1" w:tplc="60EC93C2"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55252C8E"/>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1" w15:restartNumberingAfterBreak="0">
    <w:nsid w:val="55E86C30"/>
    <w:multiLevelType w:val="hybridMultilevel"/>
    <w:tmpl w:val="91142792"/>
    <w:lvl w:ilvl="0" w:tplc="E89C63CA">
      <w:start w:val="1"/>
      <w:numFmt w:val="upperLetter"/>
      <w:lvlText w:val="Annex %1."/>
      <w:lvlJc w:val="left"/>
      <w:pPr>
        <w:ind w:left="644" w:hanging="360"/>
      </w:pPr>
      <w:rPr>
        <w:rFonts w:hint="default"/>
      </w:rPr>
    </w:lvl>
    <w:lvl w:ilvl="1" w:tplc="0C090019">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62"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63" w15:restartNumberingAfterBreak="0">
    <w:nsid w:val="606A7B3A"/>
    <w:multiLevelType w:val="hybridMultilevel"/>
    <w:tmpl w:val="068687EA"/>
    <w:lvl w:ilvl="0" w:tplc="9FDE7630">
      <w:start w:val="1"/>
      <w:numFmt w:val="lowerRoman"/>
      <w:lvlText w:val="%1."/>
      <w:lvlJc w:val="righ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4" w15:restartNumberingAfterBreak="0">
    <w:nsid w:val="62B0511C"/>
    <w:multiLevelType w:val="hybridMultilevel"/>
    <w:tmpl w:val="CC36E40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15:restartNumberingAfterBreak="0">
    <w:nsid w:val="63A15FB9"/>
    <w:multiLevelType w:val="multilevel"/>
    <w:tmpl w:val="7AEE62D6"/>
    <w:lvl w:ilvl="0">
      <w:start w:val="1"/>
      <w:numFmt w:val="decimal"/>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4764CC8"/>
    <w:multiLevelType w:val="hybridMultilevel"/>
    <w:tmpl w:val="8FCE7210"/>
    <w:lvl w:ilvl="0" w:tplc="564E4384">
      <w:start w:val="1"/>
      <w:numFmt w:val="decimal"/>
      <w:lvlText w:val="%1."/>
      <w:lvlJc w:val="left"/>
      <w:pPr>
        <w:ind w:left="360" w:hanging="360"/>
      </w:pPr>
      <w:rPr>
        <w:b w:val="0"/>
        <w:i w:val="0"/>
        <w:color w:val="auto"/>
        <w:sz w:val="20"/>
        <w:szCs w:val="20"/>
      </w:rPr>
    </w:lvl>
    <w:lvl w:ilvl="1" w:tplc="0C090019">
      <w:start w:val="1"/>
      <w:numFmt w:val="lowerLetter"/>
      <w:lvlText w:val="%2."/>
      <w:lvlJc w:val="left"/>
      <w:pPr>
        <w:ind w:left="1080" w:hanging="360"/>
      </w:pPr>
      <w:rPr>
        <w:rFonts w:hint="default"/>
        <w:b w:val="0"/>
        <w:i w:val="0"/>
      </w:rPr>
    </w:lvl>
    <w:lvl w:ilvl="2" w:tplc="0C090019">
      <w:start w:val="1"/>
      <w:numFmt w:val="lowerLetter"/>
      <w:lvlText w:val="%3."/>
      <w:lvlJc w:val="left"/>
      <w:pPr>
        <w:ind w:left="1800" w:hanging="180"/>
      </w:pPr>
    </w:lvl>
    <w:lvl w:ilvl="3" w:tplc="0C09000F">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7" w15:restartNumberingAfterBreak="0">
    <w:nsid w:val="65A77CC3"/>
    <w:multiLevelType w:val="multilevel"/>
    <w:tmpl w:val="DA6E3D06"/>
    <w:lvl w:ilvl="0">
      <w:start w:val="1"/>
      <w:numFmt w:val="upperLetter"/>
      <w:pStyle w:val="Heading2"/>
      <w:lvlText w:val="%1."/>
      <w:lvlJc w:val="left"/>
      <w:pPr>
        <w:ind w:left="432" w:hanging="432"/>
      </w:pPr>
    </w:lvl>
    <w:lvl w:ilvl="1">
      <w:start w:val="1"/>
      <w:numFmt w:val="decimal"/>
      <w:pStyle w:val="Heading3"/>
      <w:lvlText w:val="%1.%2"/>
      <w:lvlJc w:val="left"/>
      <w:pPr>
        <w:ind w:left="718" w:hanging="576"/>
      </w:pPr>
    </w:lvl>
    <w:lvl w:ilvl="2">
      <w:start w:val="1"/>
      <w:numFmt w:val="decimal"/>
      <w:pStyle w:val="Heading4"/>
      <w:lvlText w:val="%1.%2.%3"/>
      <w:lvlJc w:val="left"/>
      <w:pPr>
        <w:ind w:left="4548" w:hanging="720"/>
      </w:pPr>
    </w:lvl>
    <w:lvl w:ilvl="3">
      <w:start w:val="1"/>
      <w:numFmt w:val="decimal"/>
      <w:pStyle w:val="Heading5"/>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8" w15:restartNumberingAfterBreak="0">
    <w:nsid w:val="690E0FE6"/>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9" w15:restartNumberingAfterBreak="0">
    <w:nsid w:val="6E3D69AA"/>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0" w15:restartNumberingAfterBreak="0">
    <w:nsid w:val="6F9C0F56"/>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1" w15:restartNumberingAfterBreak="0">
    <w:nsid w:val="72CB1A20"/>
    <w:multiLevelType w:val="hybridMultilevel"/>
    <w:tmpl w:val="FF5C299A"/>
    <w:lvl w:ilvl="0" w:tplc="63F66794">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72" w15:restartNumberingAfterBreak="0">
    <w:nsid w:val="75686220"/>
    <w:multiLevelType w:val="hybridMultilevel"/>
    <w:tmpl w:val="461AA046"/>
    <w:lvl w:ilvl="0" w:tplc="0F348542">
      <w:start w:val="1"/>
      <w:numFmt w:val="lowerLetter"/>
      <w:pStyle w:val="Tablebodybullet1"/>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3" w15:restartNumberingAfterBreak="0">
    <w:nsid w:val="775B3CF1"/>
    <w:multiLevelType w:val="hybridMultilevel"/>
    <w:tmpl w:val="E1702FD8"/>
    <w:lvl w:ilvl="0" w:tplc="E89C2AB0">
      <w:start w:val="1"/>
      <w:numFmt w:val="lowerLetter"/>
      <w:lvlText w:val="%1."/>
      <w:lvlJc w:val="left"/>
      <w:pPr>
        <w:ind w:left="785" w:hanging="360"/>
      </w:pPr>
    </w:lvl>
    <w:lvl w:ilvl="1" w:tplc="60EC93C2">
      <w:start w:val="1"/>
      <w:numFmt w:val="lowerLetter"/>
      <w:lvlText w:val="%2."/>
      <w:lvlJc w:val="left"/>
      <w:pPr>
        <w:ind w:left="1505" w:hanging="360"/>
      </w:pPr>
    </w:lvl>
    <w:lvl w:ilvl="2" w:tplc="0C09001B">
      <w:start w:val="1"/>
      <w:numFmt w:val="lowerRoman"/>
      <w:lvlText w:val="%3."/>
      <w:lvlJc w:val="right"/>
      <w:pPr>
        <w:ind w:left="2225" w:hanging="180"/>
      </w:pPr>
    </w:lvl>
    <w:lvl w:ilvl="3" w:tplc="0C09000F" w:tentative="1">
      <w:start w:val="1"/>
      <w:numFmt w:val="decimal"/>
      <w:lvlText w:val="%4."/>
      <w:lvlJc w:val="left"/>
      <w:pPr>
        <w:ind w:left="2945" w:hanging="360"/>
      </w:pPr>
    </w:lvl>
    <w:lvl w:ilvl="4" w:tplc="0C090019" w:tentative="1">
      <w:start w:val="1"/>
      <w:numFmt w:val="lowerLetter"/>
      <w:lvlText w:val="%5."/>
      <w:lvlJc w:val="left"/>
      <w:pPr>
        <w:ind w:left="3665" w:hanging="360"/>
      </w:pPr>
    </w:lvl>
    <w:lvl w:ilvl="5" w:tplc="0C09001B" w:tentative="1">
      <w:start w:val="1"/>
      <w:numFmt w:val="lowerRoman"/>
      <w:lvlText w:val="%6."/>
      <w:lvlJc w:val="right"/>
      <w:pPr>
        <w:ind w:left="4385" w:hanging="180"/>
      </w:pPr>
    </w:lvl>
    <w:lvl w:ilvl="6" w:tplc="0C09000F" w:tentative="1">
      <w:start w:val="1"/>
      <w:numFmt w:val="decimal"/>
      <w:lvlText w:val="%7."/>
      <w:lvlJc w:val="left"/>
      <w:pPr>
        <w:ind w:left="5105" w:hanging="360"/>
      </w:pPr>
    </w:lvl>
    <w:lvl w:ilvl="7" w:tplc="0C090019" w:tentative="1">
      <w:start w:val="1"/>
      <w:numFmt w:val="lowerLetter"/>
      <w:lvlText w:val="%8."/>
      <w:lvlJc w:val="left"/>
      <w:pPr>
        <w:ind w:left="5825" w:hanging="360"/>
      </w:pPr>
    </w:lvl>
    <w:lvl w:ilvl="8" w:tplc="0C09001B" w:tentative="1">
      <w:start w:val="1"/>
      <w:numFmt w:val="lowerRoman"/>
      <w:lvlText w:val="%9."/>
      <w:lvlJc w:val="right"/>
      <w:pPr>
        <w:ind w:left="6545" w:hanging="180"/>
      </w:pPr>
    </w:lvl>
  </w:abstractNum>
  <w:abstractNum w:abstractNumId="74" w15:restartNumberingAfterBreak="0">
    <w:nsid w:val="77B36092"/>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75" w15:restartNumberingAfterBreak="0">
    <w:nsid w:val="788902D7"/>
    <w:multiLevelType w:val="multilevel"/>
    <w:tmpl w:val="B22E10AC"/>
    <w:numStyleLink w:val="Numberedparagraphs"/>
  </w:abstractNum>
  <w:abstractNum w:abstractNumId="76" w15:restartNumberingAfterBreak="0">
    <w:nsid w:val="789363F9"/>
    <w:multiLevelType w:val="hybridMultilevel"/>
    <w:tmpl w:val="4A669666"/>
    <w:lvl w:ilvl="0" w:tplc="D4BCE58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77" w15:restartNumberingAfterBreak="0">
    <w:nsid w:val="7B9264F2"/>
    <w:multiLevelType w:val="hybridMultilevel"/>
    <w:tmpl w:val="C9D46B74"/>
    <w:lvl w:ilvl="0" w:tplc="0C09001B">
      <w:start w:val="1"/>
      <w:numFmt w:val="lowerRoman"/>
      <w:lvlText w:val="%1."/>
      <w:lvlJc w:val="right"/>
      <w:pPr>
        <w:ind w:left="1836" w:hanging="180"/>
      </w:p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78" w15:restartNumberingAfterBreak="0">
    <w:nsid w:val="7D9F1035"/>
    <w:multiLevelType w:val="hybridMultilevel"/>
    <w:tmpl w:val="9D52C928"/>
    <w:lvl w:ilvl="0" w:tplc="08090001">
      <w:start w:val="1"/>
      <w:numFmt w:val="bullet"/>
      <w:lvlText w:val=""/>
      <w:lvlJc w:val="left"/>
      <w:pPr>
        <w:ind w:left="780" w:hanging="360"/>
      </w:pPr>
      <w:rPr>
        <w:rFonts w:ascii="Symbol" w:hAnsi="Symbol" w:hint="default"/>
      </w:rPr>
    </w:lvl>
    <w:lvl w:ilvl="1" w:tplc="0809001B">
      <w:start w:val="1"/>
      <w:numFmt w:val="lowerRoman"/>
      <w:lvlText w:val="%2."/>
      <w:lvlJc w:val="right"/>
      <w:pPr>
        <w:ind w:left="1500" w:hanging="360"/>
      </w:pPr>
      <w:rPr>
        <w:rFonts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65"/>
  </w:num>
  <w:num w:numId="2">
    <w:abstractNumId w:val="12"/>
  </w:num>
  <w:num w:numId="3">
    <w:abstractNumId w:val="67"/>
  </w:num>
  <w:num w:numId="4">
    <w:abstractNumId w:val="72"/>
  </w:num>
  <w:num w:numId="5">
    <w:abstractNumId w:val="1"/>
  </w:num>
  <w:num w:numId="6">
    <w:abstractNumId w:val="58"/>
  </w:num>
  <w:num w:numId="7">
    <w:abstractNumId w:val="59"/>
  </w:num>
  <w:num w:numId="8">
    <w:abstractNumId w:val="54"/>
  </w:num>
  <w:num w:numId="9">
    <w:abstractNumId w:val="62"/>
  </w:num>
  <w:num w:numId="10">
    <w:abstractNumId w:val="39"/>
  </w:num>
  <w:num w:numId="11">
    <w:abstractNumId w:val="35"/>
  </w:num>
  <w:num w:numId="12">
    <w:abstractNumId w:val="59"/>
    <w:lvlOverride w:ilvl="0">
      <w:startOverride w:val="1"/>
    </w:lvlOverride>
  </w:num>
  <w:num w:numId="13">
    <w:abstractNumId w:val="59"/>
    <w:lvlOverride w:ilvl="0">
      <w:startOverride w:val="1"/>
    </w:lvlOverride>
  </w:num>
  <w:num w:numId="14">
    <w:abstractNumId w:val="59"/>
    <w:lvlOverride w:ilvl="0">
      <w:startOverride w:val="1"/>
    </w:lvlOverride>
  </w:num>
  <w:num w:numId="15">
    <w:abstractNumId w:val="16"/>
  </w:num>
  <w:num w:numId="16">
    <w:abstractNumId w:val="8"/>
  </w:num>
  <w:num w:numId="17">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9"/>
  </w:num>
  <w:num w:numId="19">
    <w:abstractNumId w:val="72"/>
    <w:lvlOverride w:ilvl="0">
      <w:startOverride w:val="1"/>
    </w:lvlOverride>
  </w:num>
  <w:num w:numId="20">
    <w:abstractNumId w:val="72"/>
    <w:lvlOverride w:ilvl="0">
      <w:startOverride w:val="1"/>
    </w:lvlOverride>
  </w:num>
  <w:num w:numId="21">
    <w:abstractNumId w:val="1"/>
    <w:lvlOverride w:ilvl="0">
      <w:startOverride w:val="1"/>
    </w:lvlOverride>
  </w:num>
  <w:num w:numId="22">
    <w:abstractNumId w:val="59"/>
    <w:lvlOverride w:ilvl="0">
      <w:startOverride w:val="1"/>
    </w:lvlOverride>
  </w:num>
  <w:num w:numId="23">
    <w:abstractNumId w:val="27"/>
  </w:num>
  <w:num w:numId="24">
    <w:abstractNumId w:val="65"/>
  </w:num>
  <w:num w:numId="25">
    <w:abstractNumId w:val="59"/>
    <w:lvlOverride w:ilvl="0">
      <w:startOverride w:val="1"/>
    </w:lvlOverride>
  </w:num>
  <w:num w:numId="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70"/>
  </w:num>
  <w:num w:numId="29">
    <w:abstractNumId w:val="61"/>
  </w:num>
  <w:num w:numId="30">
    <w:abstractNumId w:val="32"/>
  </w:num>
  <w:num w:numId="31">
    <w:abstractNumId w:val="64"/>
  </w:num>
  <w:num w:numId="32">
    <w:abstractNumId w:val="65"/>
  </w:num>
  <w:num w:numId="33">
    <w:abstractNumId w:val="66"/>
  </w:num>
  <w:num w:numId="34">
    <w:abstractNumId w:val="59"/>
  </w:num>
  <w:num w:numId="35">
    <w:abstractNumId w:val="59"/>
    <w:lvlOverride w:ilvl="0">
      <w:startOverride w:val="1"/>
    </w:lvlOverride>
  </w:num>
  <w:num w:numId="36">
    <w:abstractNumId w:val="59"/>
  </w:num>
  <w:num w:numId="37">
    <w:abstractNumId w:val="65"/>
  </w:num>
  <w:num w:numId="38">
    <w:abstractNumId w:val="72"/>
    <w:lvlOverride w:ilvl="0">
      <w:startOverride w:val="1"/>
    </w:lvlOverride>
  </w:num>
  <w:num w:numId="39">
    <w:abstractNumId w:val="67"/>
  </w:num>
  <w:num w:numId="40">
    <w:abstractNumId w:val="25"/>
  </w:num>
  <w:num w:numId="41">
    <w:abstractNumId w:val="20"/>
  </w:num>
  <w:num w:numId="4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7"/>
  </w:num>
  <w:num w:numId="44">
    <w:abstractNumId w:val="65"/>
  </w:num>
  <w:num w:numId="45">
    <w:abstractNumId w:val="38"/>
  </w:num>
  <w:num w:numId="46">
    <w:abstractNumId w:val="38"/>
    <w:lvlOverride w:ilvl="0">
      <w:startOverride w:val="1"/>
    </w:lvlOverride>
  </w:num>
  <w:num w:numId="47">
    <w:abstractNumId w:val="59"/>
  </w:num>
  <w:num w:numId="48">
    <w:abstractNumId w:val="59"/>
    <w:lvlOverride w:ilvl="0">
      <w:startOverride w:val="1"/>
    </w:lvlOverride>
  </w:num>
  <w:num w:numId="49">
    <w:abstractNumId w:val="0"/>
  </w:num>
  <w:num w:numId="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num>
  <w:num w:numId="53">
    <w:abstractNumId w:val="65"/>
  </w:num>
  <w:num w:numId="54">
    <w:abstractNumId w:val="67"/>
  </w:num>
  <w:num w:numId="55">
    <w:abstractNumId w:val="67"/>
  </w:num>
  <w:num w:numId="56">
    <w:abstractNumId w:val="65"/>
  </w:num>
  <w:num w:numId="57">
    <w:abstractNumId w:val="65"/>
  </w:num>
  <w:num w:numId="58">
    <w:abstractNumId w:val="65"/>
  </w:num>
  <w:num w:numId="59">
    <w:abstractNumId w:val="59"/>
  </w:num>
  <w:num w:numId="60">
    <w:abstractNumId w:val="65"/>
  </w:num>
  <w:num w:numId="61">
    <w:abstractNumId w:val="59"/>
  </w:num>
  <w:num w:numId="62">
    <w:abstractNumId w:val="59"/>
  </w:num>
  <w:num w:numId="63">
    <w:abstractNumId w:val="59"/>
    <w:lvlOverride w:ilvl="0">
      <w:startOverride w:val="1"/>
    </w:lvlOverride>
  </w:num>
  <w:num w:numId="64">
    <w:abstractNumId w:val="59"/>
    <w:lvlOverride w:ilvl="0">
      <w:startOverride w:val="1"/>
    </w:lvlOverride>
  </w:num>
  <w:num w:numId="65">
    <w:abstractNumId w:val="59"/>
  </w:num>
  <w:num w:numId="66">
    <w:abstractNumId w:val="59"/>
  </w:num>
  <w:num w:numId="67">
    <w:abstractNumId w:val="59"/>
  </w:num>
  <w:num w:numId="68">
    <w:abstractNumId w:val="59"/>
  </w:num>
  <w:num w:numId="69">
    <w:abstractNumId w:val="59"/>
  </w:num>
  <w:num w:numId="70">
    <w:abstractNumId w:val="59"/>
  </w:num>
  <w:num w:numId="71">
    <w:abstractNumId w:val="59"/>
  </w:num>
  <w:num w:numId="72">
    <w:abstractNumId w:val="59"/>
  </w:num>
  <w:num w:numId="73">
    <w:abstractNumId w:val="59"/>
    <w:lvlOverride w:ilvl="0">
      <w:startOverride w:val="1"/>
    </w:lvlOverride>
  </w:num>
  <w:num w:numId="74">
    <w:abstractNumId w:val="59"/>
  </w:num>
  <w:num w:numId="75">
    <w:abstractNumId w:val="59"/>
  </w:num>
  <w:num w:numId="76">
    <w:abstractNumId w:val="59"/>
  </w:num>
  <w:num w:numId="77">
    <w:abstractNumId w:val="59"/>
  </w:num>
  <w:num w:numId="78">
    <w:abstractNumId w:val="59"/>
  </w:num>
  <w:num w:numId="79">
    <w:abstractNumId w:val="59"/>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9"/>
  </w:num>
  <w:num w:numId="82">
    <w:abstractNumId w:val="59"/>
    <w:lvlOverride w:ilvl="0">
      <w:startOverride w:val="1"/>
    </w:lvlOverride>
  </w:num>
  <w:num w:numId="83">
    <w:abstractNumId w:val="65"/>
  </w:num>
  <w:num w:numId="84">
    <w:abstractNumId w:val="59"/>
  </w:num>
  <w:num w:numId="85">
    <w:abstractNumId w:val="67"/>
  </w:num>
  <w:num w:numId="86">
    <w:abstractNumId w:val="67"/>
  </w:num>
  <w:num w:numId="87">
    <w:abstractNumId w:val="77"/>
  </w:num>
  <w:num w:numId="88">
    <w:abstractNumId w:val="13"/>
  </w:num>
  <w:num w:numId="89">
    <w:abstractNumId w:val="45"/>
  </w:num>
  <w:num w:numId="90">
    <w:abstractNumId w:val="67"/>
  </w:num>
  <w:num w:numId="91">
    <w:abstractNumId w:val="67"/>
  </w:num>
  <w:num w:numId="92">
    <w:abstractNumId w:val="67"/>
  </w:num>
  <w:num w:numId="93">
    <w:abstractNumId w:val="67"/>
  </w:num>
  <w:num w:numId="94">
    <w:abstractNumId w:val="67"/>
  </w:num>
  <w:num w:numId="95">
    <w:abstractNumId w:val="67"/>
  </w:num>
  <w:num w:numId="96">
    <w:abstractNumId w:val="67"/>
  </w:num>
  <w:num w:numId="97">
    <w:abstractNumId w:val="67"/>
  </w:num>
  <w:num w:numId="98">
    <w:abstractNumId w:val="67"/>
  </w:num>
  <w:num w:numId="99">
    <w:abstractNumId w:val="65"/>
  </w:num>
  <w:num w:numId="100">
    <w:abstractNumId w:val="48"/>
  </w:num>
  <w:num w:numId="101">
    <w:abstractNumId w:val="78"/>
  </w:num>
  <w:num w:numId="102">
    <w:abstractNumId w:val="9"/>
  </w:num>
  <w:num w:numId="103">
    <w:abstractNumId w:val="65"/>
  </w:num>
  <w:num w:numId="104">
    <w:abstractNumId w:val="65"/>
  </w:num>
  <w:num w:numId="105">
    <w:abstractNumId w:val="59"/>
  </w:num>
  <w:num w:numId="106">
    <w:abstractNumId w:val="59"/>
    <w:lvlOverride w:ilvl="0">
      <w:startOverride w:val="1"/>
    </w:lvlOverride>
  </w:num>
  <w:num w:numId="107">
    <w:abstractNumId w:val="78"/>
    <w:lvlOverride w:ilvl="0">
      <w:startOverride w:val="1"/>
    </w:lvlOverride>
  </w:num>
  <w:num w:numId="108">
    <w:abstractNumId w:val="15"/>
  </w:num>
  <w:num w:numId="109">
    <w:abstractNumId w:val="15"/>
    <w:lvlOverride w:ilvl="0">
      <w:startOverride w:val="1"/>
    </w:lvlOverride>
  </w:num>
  <w:num w:numId="110">
    <w:abstractNumId w:val="15"/>
    <w:lvlOverride w:ilvl="0">
      <w:startOverride w:val="1"/>
    </w:lvlOverride>
  </w:num>
  <w:num w:numId="111">
    <w:abstractNumId w:val="15"/>
  </w:num>
  <w:num w:numId="112">
    <w:abstractNumId w:val="15"/>
  </w:num>
  <w:num w:numId="113">
    <w:abstractNumId w:val="65"/>
  </w:num>
  <w:num w:numId="114">
    <w:abstractNumId w:val="65"/>
  </w:num>
  <w:num w:numId="115">
    <w:abstractNumId w:val="65"/>
  </w:num>
  <w:num w:numId="116">
    <w:abstractNumId w:val="15"/>
  </w:num>
  <w:num w:numId="117">
    <w:abstractNumId w:val="65"/>
  </w:num>
  <w:num w:numId="118">
    <w:abstractNumId w:val="15"/>
    <w:lvlOverride w:ilvl="0">
      <w:startOverride w:val="1"/>
    </w:lvlOverride>
  </w:num>
  <w:num w:numId="119">
    <w:abstractNumId w:val="67"/>
  </w:num>
  <w:num w:numId="120">
    <w:abstractNumId w:val="67"/>
  </w:num>
  <w:num w:numId="121">
    <w:abstractNumId w:val="67"/>
  </w:num>
  <w:num w:numId="122">
    <w:abstractNumId w:val="67"/>
  </w:num>
  <w:num w:numId="123">
    <w:abstractNumId w:val="15"/>
  </w:num>
  <w:num w:numId="124">
    <w:abstractNumId w:val="15"/>
  </w:num>
  <w:num w:numId="125">
    <w:abstractNumId w:val="15"/>
  </w:num>
  <w:num w:numId="126">
    <w:abstractNumId w:val="15"/>
  </w:num>
  <w:num w:numId="127">
    <w:abstractNumId w:val="15"/>
  </w:num>
  <w:num w:numId="128">
    <w:abstractNumId w:val="73"/>
  </w:num>
  <w:num w:numId="129">
    <w:abstractNumId w:val="73"/>
    <w:lvlOverride w:ilvl="0">
      <w:startOverride w:val="1"/>
    </w:lvlOverride>
  </w:num>
  <w:num w:numId="130">
    <w:abstractNumId w:val="73"/>
  </w:num>
  <w:num w:numId="131">
    <w:abstractNumId w:val="73"/>
  </w:num>
  <w:num w:numId="132">
    <w:abstractNumId w:val="73"/>
  </w:num>
  <w:num w:numId="133">
    <w:abstractNumId w:val="73"/>
  </w:num>
  <w:num w:numId="134">
    <w:abstractNumId w:val="73"/>
  </w:num>
  <w:num w:numId="135">
    <w:abstractNumId w:val="73"/>
  </w:num>
  <w:num w:numId="136">
    <w:abstractNumId w:val="73"/>
  </w:num>
  <w:num w:numId="137">
    <w:abstractNumId w:val="73"/>
  </w:num>
  <w:num w:numId="138">
    <w:abstractNumId w:val="73"/>
  </w:num>
  <w:num w:numId="139">
    <w:abstractNumId w:val="73"/>
  </w:num>
  <w:num w:numId="140">
    <w:abstractNumId w:val="73"/>
  </w:num>
  <w:num w:numId="141">
    <w:abstractNumId w:val="73"/>
  </w:num>
  <w:num w:numId="142">
    <w:abstractNumId w:val="65"/>
  </w:num>
  <w:num w:numId="143">
    <w:abstractNumId w:val="63"/>
  </w:num>
  <w:num w:numId="144">
    <w:abstractNumId w:val="73"/>
  </w:num>
  <w:num w:numId="145">
    <w:abstractNumId w:val="73"/>
  </w:num>
  <w:num w:numId="146">
    <w:abstractNumId w:val="73"/>
  </w:num>
  <w:num w:numId="147">
    <w:abstractNumId w:val="73"/>
  </w:num>
  <w:num w:numId="148">
    <w:abstractNumId w:val="73"/>
  </w:num>
  <w:num w:numId="149">
    <w:abstractNumId w:val="73"/>
  </w:num>
  <w:num w:numId="150">
    <w:abstractNumId w:val="73"/>
  </w:num>
  <w:num w:numId="151">
    <w:abstractNumId w:val="73"/>
  </w:num>
  <w:num w:numId="152">
    <w:abstractNumId w:val="6"/>
  </w:num>
  <w:num w:numId="153">
    <w:abstractNumId w:val="6"/>
    <w:lvlOverride w:ilvl="0">
      <w:startOverride w:val="1"/>
    </w:lvlOverride>
  </w:num>
  <w:num w:numId="154">
    <w:abstractNumId w:val="6"/>
  </w:num>
  <w:num w:numId="155">
    <w:abstractNumId w:val="59"/>
    <w:lvlOverride w:ilvl="0">
      <w:startOverride w:val="1"/>
    </w:lvlOverride>
  </w:num>
  <w:num w:numId="156">
    <w:abstractNumId w:val="59"/>
  </w:num>
  <w:num w:numId="157">
    <w:abstractNumId w:val="59"/>
  </w:num>
  <w:num w:numId="158">
    <w:abstractNumId w:val="59"/>
  </w:num>
  <w:num w:numId="159">
    <w:abstractNumId w:val="59"/>
  </w:num>
  <w:num w:numId="160">
    <w:abstractNumId w:val="23"/>
  </w:num>
  <w:num w:numId="161">
    <w:abstractNumId w:val="59"/>
  </w:num>
  <w:num w:numId="162">
    <w:abstractNumId w:val="42"/>
  </w:num>
  <w:num w:numId="163">
    <w:abstractNumId w:val="67"/>
  </w:num>
  <w:num w:numId="164">
    <w:abstractNumId w:val="59"/>
  </w:num>
  <w:num w:numId="165">
    <w:abstractNumId w:val="46"/>
  </w:num>
  <w:num w:numId="166">
    <w:abstractNumId w:val="59"/>
  </w:num>
  <w:num w:numId="167">
    <w:abstractNumId w:val="59"/>
  </w:num>
  <w:num w:numId="168">
    <w:abstractNumId w:val="59"/>
  </w:num>
  <w:num w:numId="169">
    <w:abstractNumId w:val="59"/>
  </w:num>
  <w:num w:numId="170">
    <w:abstractNumId w:val="59"/>
  </w:num>
  <w:num w:numId="171">
    <w:abstractNumId w:val="74"/>
  </w:num>
  <w:num w:numId="172">
    <w:abstractNumId w:val="59"/>
  </w:num>
  <w:num w:numId="173">
    <w:abstractNumId w:val="59"/>
  </w:num>
  <w:num w:numId="174">
    <w:abstractNumId w:val="59"/>
  </w:num>
  <w:num w:numId="175">
    <w:abstractNumId w:val="59"/>
  </w:num>
  <w:num w:numId="176">
    <w:abstractNumId w:val="59"/>
  </w:num>
  <w:num w:numId="177">
    <w:abstractNumId w:val="59"/>
  </w:num>
  <w:num w:numId="178">
    <w:abstractNumId w:val="47"/>
  </w:num>
  <w:num w:numId="179">
    <w:abstractNumId w:val="47"/>
    <w:lvlOverride w:ilvl="0">
      <w:startOverride w:val="1"/>
    </w:lvlOverride>
  </w:num>
  <w:num w:numId="180">
    <w:abstractNumId w:val="47"/>
  </w:num>
  <w:num w:numId="181">
    <w:abstractNumId w:val="47"/>
  </w:num>
  <w:num w:numId="182">
    <w:abstractNumId w:val="47"/>
  </w:num>
  <w:num w:numId="183">
    <w:abstractNumId w:val="47"/>
  </w:num>
  <w:num w:numId="184">
    <w:abstractNumId w:val="33"/>
  </w:num>
  <w:num w:numId="185">
    <w:abstractNumId w:val="47"/>
  </w:num>
  <w:num w:numId="186">
    <w:abstractNumId w:val="47"/>
  </w:num>
  <w:num w:numId="187">
    <w:abstractNumId w:val="47"/>
  </w:num>
  <w:num w:numId="188">
    <w:abstractNumId w:val="47"/>
  </w:num>
  <w:num w:numId="189">
    <w:abstractNumId w:val="47"/>
  </w:num>
  <w:num w:numId="190">
    <w:abstractNumId w:val="47"/>
  </w:num>
  <w:num w:numId="191">
    <w:abstractNumId w:val="47"/>
  </w:num>
  <w:num w:numId="192">
    <w:abstractNumId w:val="47"/>
  </w:num>
  <w:num w:numId="193">
    <w:abstractNumId w:val="34"/>
  </w:num>
  <w:num w:numId="194">
    <w:abstractNumId w:val="47"/>
    <w:lvlOverride w:ilvl="0">
      <w:startOverride w:val="1"/>
    </w:lvlOverride>
  </w:num>
  <w:num w:numId="195">
    <w:abstractNumId w:val="47"/>
  </w:num>
  <w:num w:numId="196">
    <w:abstractNumId w:val="47"/>
  </w:num>
  <w:num w:numId="197">
    <w:abstractNumId w:val="47"/>
  </w:num>
  <w:num w:numId="198">
    <w:abstractNumId w:val="47"/>
    <w:lvlOverride w:ilvl="0">
      <w:startOverride w:val="1"/>
    </w:lvlOverride>
  </w:num>
  <w:num w:numId="199">
    <w:abstractNumId w:val="47"/>
  </w:num>
  <w:num w:numId="200">
    <w:abstractNumId w:val="47"/>
  </w:num>
  <w:num w:numId="201">
    <w:abstractNumId w:val="47"/>
  </w:num>
  <w:num w:numId="202">
    <w:abstractNumId w:val="47"/>
    <w:lvlOverride w:ilvl="0">
      <w:startOverride w:val="1"/>
    </w:lvlOverride>
  </w:num>
  <w:num w:numId="203">
    <w:abstractNumId w:val="47"/>
    <w:lvlOverride w:ilvl="0">
      <w:startOverride w:val="1"/>
    </w:lvlOverride>
  </w:num>
  <w:num w:numId="204">
    <w:abstractNumId w:val="47"/>
    <w:lvlOverride w:ilvl="0">
      <w:startOverride w:val="1"/>
    </w:lvlOverride>
  </w:num>
  <w:num w:numId="205">
    <w:abstractNumId w:val="47"/>
  </w:num>
  <w:num w:numId="206">
    <w:abstractNumId w:val="47"/>
    <w:lvlOverride w:ilvl="0">
      <w:startOverride w:val="1"/>
    </w:lvlOverride>
  </w:num>
  <w:num w:numId="207">
    <w:abstractNumId w:val="47"/>
    <w:lvlOverride w:ilvl="0">
      <w:startOverride w:val="1"/>
    </w:lvlOverride>
  </w:num>
  <w:num w:numId="208">
    <w:abstractNumId w:val="47"/>
    <w:lvlOverride w:ilvl="0">
      <w:startOverride w:val="1"/>
    </w:lvlOverride>
  </w:num>
  <w:num w:numId="209">
    <w:abstractNumId w:val="47"/>
    <w:lvlOverride w:ilvl="0">
      <w:startOverride w:val="1"/>
    </w:lvlOverride>
  </w:num>
  <w:num w:numId="210">
    <w:abstractNumId w:val="47"/>
  </w:num>
  <w:num w:numId="211">
    <w:abstractNumId w:val="47"/>
  </w:num>
  <w:num w:numId="212">
    <w:abstractNumId w:val="47"/>
  </w:num>
  <w:num w:numId="213">
    <w:abstractNumId w:val="47"/>
  </w:num>
  <w:num w:numId="214">
    <w:abstractNumId w:val="47"/>
  </w:num>
  <w:num w:numId="215">
    <w:abstractNumId w:val="47"/>
    <w:lvlOverride w:ilvl="0">
      <w:startOverride w:val="1"/>
    </w:lvlOverride>
  </w:num>
  <w:num w:numId="216">
    <w:abstractNumId w:val="59"/>
  </w:num>
  <w:num w:numId="217">
    <w:abstractNumId w:val="59"/>
  </w:num>
  <w:num w:numId="218">
    <w:abstractNumId w:val="59"/>
  </w:num>
  <w:num w:numId="219">
    <w:abstractNumId w:val="71"/>
  </w:num>
  <w:num w:numId="220">
    <w:abstractNumId w:val="71"/>
    <w:lvlOverride w:ilvl="0">
      <w:startOverride w:val="1"/>
    </w:lvlOverride>
  </w:num>
  <w:num w:numId="221">
    <w:abstractNumId w:val="71"/>
  </w:num>
  <w:num w:numId="222">
    <w:abstractNumId w:val="65"/>
  </w:num>
  <w:num w:numId="223">
    <w:abstractNumId w:val="65"/>
  </w:num>
  <w:num w:numId="224">
    <w:abstractNumId w:val="65"/>
  </w:num>
  <w:num w:numId="225">
    <w:abstractNumId w:val="65"/>
  </w:num>
  <w:num w:numId="226">
    <w:abstractNumId w:val="11"/>
  </w:num>
  <w:num w:numId="227">
    <w:abstractNumId w:val="51"/>
  </w:num>
  <w:num w:numId="228">
    <w:abstractNumId w:val="71"/>
    <w:lvlOverride w:ilvl="0">
      <w:startOverride w:val="2"/>
    </w:lvlOverride>
  </w:num>
  <w:num w:numId="229">
    <w:abstractNumId w:val="71"/>
    <w:lvlOverride w:ilvl="0">
      <w:startOverride w:val="2"/>
    </w:lvlOverride>
  </w:num>
  <w:num w:numId="230">
    <w:abstractNumId w:val="71"/>
  </w:num>
  <w:num w:numId="231">
    <w:abstractNumId w:val="52"/>
  </w:num>
  <w:num w:numId="232">
    <w:abstractNumId w:val="52"/>
    <w:lvlOverride w:ilvl="0">
      <w:startOverride w:val="1"/>
    </w:lvlOverride>
  </w:num>
  <w:num w:numId="233">
    <w:abstractNumId w:val="52"/>
    <w:lvlOverride w:ilvl="0">
      <w:startOverride w:val="2"/>
    </w:lvlOverride>
  </w:num>
  <w:num w:numId="234">
    <w:abstractNumId w:val="52"/>
    <w:lvlOverride w:ilvl="0">
      <w:startOverride w:val="2"/>
    </w:lvlOverride>
  </w:num>
  <w:num w:numId="235">
    <w:abstractNumId w:val="52"/>
    <w:lvlOverride w:ilvl="0">
      <w:startOverride w:val="2"/>
    </w:lvlOverride>
  </w:num>
  <w:num w:numId="236">
    <w:abstractNumId w:val="52"/>
    <w:lvlOverride w:ilvl="0">
      <w:startOverride w:val="2"/>
    </w:lvlOverride>
  </w:num>
  <w:num w:numId="237">
    <w:abstractNumId w:val="52"/>
    <w:lvlOverride w:ilvl="0">
      <w:startOverride w:val="1"/>
    </w:lvlOverride>
  </w:num>
  <w:num w:numId="238">
    <w:abstractNumId w:val="36"/>
  </w:num>
  <w:num w:numId="239">
    <w:abstractNumId w:val="52"/>
    <w:lvlOverride w:ilvl="0">
      <w:startOverride w:val="1"/>
    </w:lvlOverride>
  </w:num>
  <w:num w:numId="240">
    <w:abstractNumId w:val="52"/>
    <w:lvlOverride w:ilvl="0">
      <w:startOverride w:val="2"/>
    </w:lvlOverride>
  </w:num>
  <w:num w:numId="241">
    <w:abstractNumId w:val="43"/>
  </w:num>
  <w:num w:numId="242">
    <w:abstractNumId w:val="55"/>
  </w:num>
  <w:num w:numId="243">
    <w:abstractNumId w:val="55"/>
  </w:num>
  <w:num w:numId="244">
    <w:abstractNumId w:val="55"/>
    <w:lvlOverride w:ilvl="0">
      <w:startOverride w:val="4"/>
    </w:lvlOverride>
  </w:num>
  <w:num w:numId="245">
    <w:abstractNumId w:val="55"/>
  </w:num>
  <w:num w:numId="246">
    <w:abstractNumId w:val="55"/>
  </w:num>
  <w:num w:numId="247">
    <w:abstractNumId w:val="51"/>
  </w:num>
  <w:num w:numId="248">
    <w:abstractNumId w:val="51"/>
    <w:lvlOverride w:ilvl="0">
      <w:startOverride w:val="1"/>
    </w:lvlOverride>
  </w:num>
  <w:num w:numId="249">
    <w:abstractNumId w:val="51"/>
  </w:num>
  <w:num w:numId="250">
    <w:abstractNumId w:val="55"/>
  </w:num>
  <w:num w:numId="251">
    <w:abstractNumId w:val="76"/>
  </w:num>
  <w:num w:numId="252">
    <w:abstractNumId w:val="55"/>
  </w:num>
  <w:num w:numId="253">
    <w:abstractNumId w:val="51"/>
  </w:num>
  <w:num w:numId="254">
    <w:abstractNumId w:val="55"/>
  </w:num>
  <w:num w:numId="255">
    <w:abstractNumId w:val="7"/>
  </w:num>
  <w:num w:numId="256">
    <w:abstractNumId w:val="55"/>
  </w:num>
  <w:num w:numId="257">
    <w:abstractNumId w:val="55"/>
  </w:num>
  <w:num w:numId="258">
    <w:abstractNumId w:val="60"/>
  </w:num>
  <w:num w:numId="259">
    <w:abstractNumId w:val="55"/>
  </w:num>
  <w:num w:numId="260">
    <w:abstractNumId w:val="55"/>
  </w:num>
  <w:num w:numId="261">
    <w:abstractNumId w:val="55"/>
  </w:num>
  <w:num w:numId="262">
    <w:abstractNumId w:val="55"/>
  </w:num>
  <w:num w:numId="263">
    <w:abstractNumId w:val="55"/>
  </w:num>
  <w:num w:numId="264">
    <w:abstractNumId w:val="72"/>
    <w:lvlOverride w:ilvl="0">
      <w:startOverride w:val="1"/>
    </w:lvlOverride>
  </w:num>
  <w:num w:numId="265">
    <w:abstractNumId w:val="72"/>
  </w:num>
  <w:num w:numId="266">
    <w:abstractNumId w:val="63"/>
  </w:num>
  <w:num w:numId="267">
    <w:abstractNumId w:val="50"/>
  </w:num>
  <w:num w:numId="268">
    <w:abstractNumId w:val="50"/>
    <w:lvlOverride w:ilvl="0">
      <w:startOverride w:val="1"/>
    </w:lvlOverride>
  </w:num>
  <w:num w:numId="269">
    <w:abstractNumId w:val="50"/>
  </w:num>
  <w:num w:numId="270">
    <w:abstractNumId w:val="50"/>
  </w:num>
  <w:num w:numId="271">
    <w:abstractNumId w:val="50"/>
  </w:num>
  <w:num w:numId="272">
    <w:abstractNumId w:val="50"/>
  </w:num>
  <w:num w:numId="273">
    <w:abstractNumId w:val="50"/>
  </w:num>
  <w:num w:numId="274">
    <w:abstractNumId w:val="50"/>
  </w:num>
  <w:num w:numId="275">
    <w:abstractNumId w:val="50"/>
    <w:lvlOverride w:ilvl="0">
      <w:startOverride w:val="1"/>
    </w:lvlOverride>
  </w:num>
  <w:num w:numId="276">
    <w:abstractNumId w:val="50"/>
  </w:num>
  <w:num w:numId="277">
    <w:abstractNumId w:val="50"/>
  </w:num>
  <w:num w:numId="278">
    <w:abstractNumId w:val="50"/>
    <w:lvlOverride w:ilvl="0">
      <w:startOverride w:val="1"/>
    </w:lvlOverride>
  </w:num>
  <w:num w:numId="279">
    <w:abstractNumId w:val="51"/>
  </w:num>
  <w:num w:numId="280">
    <w:abstractNumId w:val="51"/>
  </w:num>
  <w:num w:numId="281">
    <w:abstractNumId w:val="51"/>
  </w:num>
  <w:num w:numId="282">
    <w:abstractNumId w:val="51"/>
  </w:num>
  <w:num w:numId="283">
    <w:abstractNumId w:val="37"/>
  </w:num>
  <w:num w:numId="284">
    <w:abstractNumId w:val="50"/>
    <w:lvlOverride w:ilvl="0">
      <w:startOverride w:val="2"/>
    </w:lvlOverride>
  </w:num>
  <w:num w:numId="285">
    <w:abstractNumId w:val="51"/>
    <w:lvlOverride w:ilvl="0">
      <w:startOverride w:val="1"/>
    </w:lvlOverride>
  </w:num>
  <w:num w:numId="286">
    <w:abstractNumId w:val="51"/>
    <w:lvlOverride w:ilvl="0">
      <w:startOverride w:val="1"/>
    </w:lvlOverride>
  </w:num>
  <w:num w:numId="287">
    <w:abstractNumId w:val="50"/>
    <w:lvlOverride w:ilvl="0">
      <w:startOverride w:val="2"/>
    </w:lvlOverride>
  </w:num>
  <w:num w:numId="288">
    <w:abstractNumId w:val="50"/>
  </w:num>
  <w:num w:numId="289">
    <w:abstractNumId w:val="50"/>
  </w:num>
  <w:num w:numId="290">
    <w:abstractNumId w:val="1"/>
  </w:num>
  <w:num w:numId="291">
    <w:abstractNumId w:val="1"/>
  </w:num>
  <w:num w:numId="292">
    <w:abstractNumId w:val="1"/>
  </w:num>
  <w:num w:numId="293">
    <w:abstractNumId w:val="1"/>
  </w:num>
  <w:num w:numId="294">
    <w:abstractNumId w:val="1"/>
  </w:num>
  <w:num w:numId="295">
    <w:abstractNumId w:val="1"/>
  </w:num>
  <w:num w:numId="296">
    <w:abstractNumId w:val="50"/>
  </w:num>
  <w:num w:numId="297">
    <w:abstractNumId w:val="50"/>
  </w:num>
  <w:num w:numId="298">
    <w:abstractNumId w:val="17"/>
  </w:num>
  <w:num w:numId="299">
    <w:abstractNumId w:val="50"/>
  </w:num>
  <w:num w:numId="300">
    <w:abstractNumId w:val="50"/>
  </w:num>
  <w:num w:numId="301">
    <w:abstractNumId w:val="50"/>
  </w:num>
  <w:num w:numId="302">
    <w:abstractNumId w:val="50"/>
  </w:num>
  <w:num w:numId="303">
    <w:abstractNumId w:val="50"/>
  </w:num>
  <w:num w:numId="304">
    <w:abstractNumId w:val="50"/>
  </w:num>
  <w:num w:numId="305">
    <w:abstractNumId w:val="53"/>
  </w:num>
  <w:num w:numId="306">
    <w:abstractNumId w:val="50"/>
  </w:num>
  <w:num w:numId="307">
    <w:abstractNumId w:val="50"/>
  </w:num>
  <w:num w:numId="308">
    <w:abstractNumId w:val="50"/>
  </w:num>
  <w:num w:numId="309">
    <w:abstractNumId w:val="50"/>
  </w:num>
  <w:num w:numId="310">
    <w:abstractNumId w:val="50"/>
  </w:num>
  <w:num w:numId="311">
    <w:abstractNumId w:val="50"/>
  </w:num>
  <w:num w:numId="312">
    <w:abstractNumId w:val="57"/>
  </w:num>
  <w:num w:numId="313">
    <w:abstractNumId w:val="49"/>
  </w:num>
  <w:num w:numId="314">
    <w:abstractNumId w:val="57"/>
  </w:num>
  <w:num w:numId="315">
    <w:abstractNumId w:val="57"/>
  </w:num>
  <w:num w:numId="316">
    <w:abstractNumId w:val="57"/>
  </w:num>
  <w:num w:numId="317">
    <w:abstractNumId w:val="57"/>
  </w:num>
  <w:num w:numId="318">
    <w:abstractNumId w:val="57"/>
  </w:num>
  <w:num w:numId="319">
    <w:abstractNumId w:val="57"/>
  </w:num>
  <w:num w:numId="320">
    <w:abstractNumId w:val="57"/>
  </w:num>
  <w:num w:numId="321">
    <w:abstractNumId w:val="57"/>
  </w:num>
  <w:num w:numId="322">
    <w:abstractNumId w:val="57"/>
  </w:num>
  <w:num w:numId="323">
    <w:abstractNumId w:val="57"/>
  </w:num>
  <w:num w:numId="324">
    <w:abstractNumId w:val="51"/>
    <w:lvlOverride w:ilvl="0">
      <w:startOverride w:val="1"/>
    </w:lvlOverride>
  </w:num>
  <w:num w:numId="325">
    <w:abstractNumId w:val="57"/>
  </w:num>
  <w:num w:numId="326">
    <w:abstractNumId w:val="57"/>
  </w:num>
  <w:num w:numId="327">
    <w:abstractNumId w:val="57"/>
    <w:lvlOverride w:ilvl="0">
      <w:startOverride w:val="1"/>
    </w:lvlOverride>
  </w:num>
  <w:num w:numId="328">
    <w:abstractNumId w:val="57"/>
  </w:num>
  <w:num w:numId="329">
    <w:abstractNumId w:val="22"/>
  </w:num>
  <w:num w:numId="330">
    <w:abstractNumId w:val="57"/>
  </w:num>
  <w:num w:numId="331">
    <w:abstractNumId w:val="57"/>
  </w:num>
  <w:num w:numId="332">
    <w:abstractNumId w:val="28"/>
  </w:num>
  <w:num w:numId="333">
    <w:abstractNumId w:val="28"/>
    <w:lvlOverride w:ilvl="0">
      <w:startOverride w:val="1"/>
    </w:lvlOverride>
  </w:num>
  <w:num w:numId="334">
    <w:abstractNumId w:val="28"/>
  </w:num>
  <w:num w:numId="335">
    <w:abstractNumId w:val="47"/>
    <w:lvlOverride w:ilvl="0">
      <w:startOverride w:val="1"/>
    </w:lvlOverride>
  </w:num>
  <w:num w:numId="336">
    <w:abstractNumId w:val="47"/>
    <w:lvlOverride w:ilvl="0">
      <w:startOverride w:val="1"/>
    </w:lvlOverride>
  </w:num>
  <w:num w:numId="337">
    <w:abstractNumId w:val="2"/>
  </w:num>
  <w:num w:numId="338">
    <w:abstractNumId w:val="47"/>
    <w:lvlOverride w:ilvl="0">
      <w:startOverride w:val="2"/>
    </w:lvlOverride>
  </w:num>
  <w:num w:numId="339">
    <w:abstractNumId w:val="47"/>
    <w:lvlOverride w:ilvl="0">
      <w:startOverride w:val="2"/>
    </w:lvlOverride>
  </w:num>
  <w:num w:numId="340">
    <w:abstractNumId w:val="47"/>
    <w:lvlOverride w:ilvl="0">
      <w:startOverride w:val="1"/>
    </w:lvlOverride>
  </w:num>
  <w:num w:numId="341">
    <w:abstractNumId w:val="65"/>
  </w:num>
  <w:num w:numId="342">
    <w:abstractNumId w:val="59"/>
  </w:num>
  <w:num w:numId="343">
    <w:abstractNumId w:val="54"/>
  </w:num>
  <w:num w:numId="344">
    <w:abstractNumId w:val="62"/>
  </w:num>
  <w:num w:numId="345">
    <w:abstractNumId w:val="4"/>
  </w:num>
  <w:num w:numId="346">
    <w:abstractNumId w:val="75"/>
  </w:num>
  <w:num w:numId="347">
    <w:abstractNumId w:val="31"/>
  </w:num>
  <w:num w:numId="348">
    <w:abstractNumId w:val="44"/>
  </w:num>
  <w:num w:numId="349">
    <w:abstractNumId w:val="21"/>
  </w:num>
  <w:num w:numId="350">
    <w:abstractNumId w:val="14"/>
  </w:num>
  <w:num w:numId="351">
    <w:abstractNumId w:val="5"/>
  </w:num>
  <w:num w:numId="352">
    <w:abstractNumId w:val="24"/>
  </w:num>
  <w:num w:numId="353">
    <w:abstractNumId w:val="72"/>
  </w:num>
  <w:num w:numId="354">
    <w:abstractNumId w:val="40"/>
  </w:num>
  <w:num w:numId="355">
    <w:abstractNumId w:val="30"/>
  </w:num>
  <w:num w:numId="356">
    <w:abstractNumId w:val="31"/>
  </w:num>
  <w:num w:numId="357">
    <w:abstractNumId w:val="31"/>
  </w:num>
  <w:num w:numId="358">
    <w:abstractNumId w:val="29"/>
  </w:num>
  <w:num w:numId="359">
    <w:abstractNumId w:val="69"/>
  </w:num>
  <w:num w:numId="360">
    <w:abstractNumId w:val="19"/>
  </w:num>
  <w:num w:numId="361">
    <w:abstractNumId w:val="56"/>
  </w:num>
  <w:num w:numId="362">
    <w:abstractNumId w:val="3"/>
  </w:num>
  <w:num w:numId="363">
    <w:abstractNumId w:val="68"/>
  </w:num>
  <w:num w:numId="364">
    <w:abstractNumId w:val="18"/>
  </w:num>
  <w:num w:numId="365">
    <w:abstractNumId w:val="26"/>
  </w:num>
  <w:num w:numId="3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31"/>
  </w:num>
  <w:numIdMacAtCleanup w:val="3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50C"/>
    <w:rsid w:val="000040BD"/>
    <w:rsid w:val="00006EE9"/>
    <w:rsid w:val="00014266"/>
    <w:rsid w:val="00023B91"/>
    <w:rsid w:val="00027192"/>
    <w:rsid w:val="00032AA3"/>
    <w:rsid w:val="00033E1E"/>
    <w:rsid w:val="00035AFF"/>
    <w:rsid w:val="00042085"/>
    <w:rsid w:val="000443FC"/>
    <w:rsid w:val="0005587B"/>
    <w:rsid w:val="00060F41"/>
    <w:rsid w:val="00062FE9"/>
    <w:rsid w:val="00063411"/>
    <w:rsid w:val="00064B0A"/>
    <w:rsid w:val="000679A3"/>
    <w:rsid w:val="000737A2"/>
    <w:rsid w:val="00075F0D"/>
    <w:rsid w:val="0008534F"/>
    <w:rsid w:val="00086166"/>
    <w:rsid w:val="00094652"/>
    <w:rsid w:val="000A427F"/>
    <w:rsid w:val="000A6C5C"/>
    <w:rsid w:val="000B60A9"/>
    <w:rsid w:val="000B6BFA"/>
    <w:rsid w:val="000C0C1A"/>
    <w:rsid w:val="000C7534"/>
    <w:rsid w:val="000E39EF"/>
    <w:rsid w:val="000F26A0"/>
    <w:rsid w:val="000F5E1B"/>
    <w:rsid w:val="00101C41"/>
    <w:rsid w:val="001039E5"/>
    <w:rsid w:val="00104039"/>
    <w:rsid w:val="001074B2"/>
    <w:rsid w:val="00110149"/>
    <w:rsid w:val="00116E26"/>
    <w:rsid w:val="00126EC2"/>
    <w:rsid w:val="0013045F"/>
    <w:rsid w:val="00130B0F"/>
    <w:rsid w:val="00130FA8"/>
    <w:rsid w:val="001311A0"/>
    <w:rsid w:val="00145856"/>
    <w:rsid w:val="00150B3B"/>
    <w:rsid w:val="00172B0E"/>
    <w:rsid w:val="001777C9"/>
    <w:rsid w:val="00185284"/>
    <w:rsid w:val="0018654A"/>
    <w:rsid w:val="0019164A"/>
    <w:rsid w:val="0019550C"/>
    <w:rsid w:val="001A281D"/>
    <w:rsid w:val="001A66C9"/>
    <w:rsid w:val="001B1808"/>
    <w:rsid w:val="001B1B3A"/>
    <w:rsid w:val="001B38C2"/>
    <w:rsid w:val="001B3F71"/>
    <w:rsid w:val="001B444A"/>
    <w:rsid w:val="001B59A9"/>
    <w:rsid w:val="001C54E9"/>
    <w:rsid w:val="001D0232"/>
    <w:rsid w:val="001D4B8B"/>
    <w:rsid w:val="001D7A9D"/>
    <w:rsid w:val="001F1CCB"/>
    <w:rsid w:val="002002FE"/>
    <w:rsid w:val="002041F2"/>
    <w:rsid w:val="0020423B"/>
    <w:rsid w:val="00204C8C"/>
    <w:rsid w:val="00205D30"/>
    <w:rsid w:val="00206C34"/>
    <w:rsid w:val="00217FE0"/>
    <w:rsid w:val="00220E33"/>
    <w:rsid w:val="00226BC2"/>
    <w:rsid w:val="00227A31"/>
    <w:rsid w:val="002339FB"/>
    <w:rsid w:val="002369BB"/>
    <w:rsid w:val="00240CC0"/>
    <w:rsid w:val="002423C0"/>
    <w:rsid w:val="00245E01"/>
    <w:rsid w:val="0025087B"/>
    <w:rsid w:val="002521E0"/>
    <w:rsid w:val="002616C8"/>
    <w:rsid w:val="002709DD"/>
    <w:rsid w:val="00273D0E"/>
    <w:rsid w:val="0028039E"/>
    <w:rsid w:val="0028047D"/>
    <w:rsid w:val="002808C3"/>
    <w:rsid w:val="002828F3"/>
    <w:rsid w:val="00282BBB"/>
    <w:rsid w:val="00295994"/>
    <w:rsid w:val="002A3B34"/>
    <w:rsid w:val="002A62FC"/>
    <w:rsid w:val="002A6B4E"/>
    <w:rsid w:val="002B0434"/>
    <w:rsid w:val="002B74C0"/>
    <w:rsid w:val="002C0F1D"/>
    <w:rsid w:val="002C54BC"/>
    <w:rsid w:val="002C77DE"/>
    <w:rsid w:val="002D0D7F"/>
    <w:rsid w:val="002D0E4E"/>
    <w:rsid w:val="002D6620"/>
    <w:rsid w:val="002D7246"/>
    <w:rsid w:val="002D7D8A"/>
    <w:rsid w:val="002E2CCD"/>
    <w:rsid w:val="002E6B2A"/>
    <w:rsid w:val="002F0D65"/>
    <w:rsid w:val="002F2BCA"/>
    <w:rsid w:val="002F3974"/>
    <w:rsid w:val="002F3E69"/>
    <w:rsid w:val="002F60C8"/>
    <w:rsid w:val="002F6FC7"/>
    <w:rsid w:val="00306902"/>
    <w:rsid w:val="00307674"/>
    <w:rsid w:val="003171E8"/>
    <w:rsid w:val="003200AA"/>
    <w:rsid w:val="00321AAA"/>
    <w:rsid w:val="0033030C"/>
    <w:rsid w:val="00332B32"/>
    <w:rsid w:val="00334F0D"/>
    <w:rsid w:val="0034070E"/>
    <w:rsid w:val="003445F1"/>
    <w:rsid w:val="00351883"/>
    <w:rsid w:val="00352828"/>
    <w:rsid w:val="00355A71"/>
    <w:rsid w:val="00361D34"/>
    <w:rsid w:val="00362877"/>
    <w:rsid w:val="0036554D"/>
    <w:rsid w:val="00365688"/>
    <w:rsid w:val="00371F04"/>
    <w:rsid w:val="0037250A"/>
    <w:rsid w:val="003768FE"/>
    <w:rsid w:val="00377082"/>
    <w:rsid w:val="00377B83"/>
    <w:rsid w:val="00384037"/>
    <w:rsid w:val="003859C2"/>
    <w:rsid w:val="00397AE5"/>
    <w:rsid w:val="003A74DA"/>
    <w:rsid w:val="003B1104"/>
    <w:rsid w:val="003B20BF"/>
    <w:rsid w:val="003B70EB"/>
    <w:rsid w:val="003C47FF"/>
    <w:rsid w:val="003C5426"/>
    <w:rsid w:val="003D3F5E"/>
    <w:rsid w:val="003E673A"/>
    <w:rsid w:val="003F0694"/>
    <w:rsid w:val="003F3BE2"/>
    <w:rsid w:val="0041031A"/>
    <w:rsid w:val="00410A68"/>
    <w:rsid w:val="0041576D"/>
    <w:rsid w:val="00416951"/>
    <w:rsid w:val="00426D43"/>
    <w:rsid w:val="004276D0"/>
    <w:rsid w:val="00437071"/>
    <w:rsid w:val="00441F54"/>
    <w:rsid w:val="0044340A"/>
    <w:rsid w:val="0044706B"/>
    <w:rsid w:val="004540EF"/>
    <w:rsid w:val="00457E28"/>
    <w:rsid w:val="0046024C"/>
    <w:rsid w:val="00462B0D"/>
    <w:rsid w:val="00467FEC"/>
    <w:rsid w:val="004743DC"/>
    <w:rsid w:val="004802DB"/>
    <w:rsid w:val="0048136B"/>
    <w:rsid w:val="004855BB"/>
    <w:rsid w:val="00486F3A"/>
    <w:rsid w:val="00494ED2"/>
    <w:rsid w:val="00496800"/>
    <w:rsid w:val="00496F4B"/>
    <w:rsid w:val="00497766"/>
    <w:rsid w:val="004A696C"/>
    <w:rsid w:val="004B0D09"/>
    <w:rsid w:val="004B26F8"/>
    <w:rsid w:val="004B3318"/>
    <w:rsid w:val="004C3B94"/>
    <w:rsid w:val="004C42AA"/>
    <w:rsid w:val="004C6EE0"/>
    <w:rsid w:val="004D0C20"/>
    <w:rsid w:val="004D3F0B"/>
    <w:rsid w:val="004E62DC"/>
    <w:rsid w:val="004F2F54"/>
    <w:rsid w:val="00512BA2"/>
    <w:rsid w:val="00516DDE"/>
    <w:rsid w:val="005223EA"/>
    <w:rsid w:val="00524A40"/>
    <w:rsid w:val="00524FEB"/>
    <w:rsid w:val="005260E5"/>
    <w:rsid w:val="0052791D"/>
    <w:rsid w:val="005305FF"/>
    <w:rsid w:val="00531917"/>
    <w:rsid w:val="005319DF"/>
    <w:rsid w:val="00544EA7"/>
    <w:rsid w:val="005454A3"/>
    <w:rsid w:val="00545CDB"/>
    <w:rsid w:val="00555668"/>
    <w:rsid w:val="00557656"/>
    <w:rsid w:val="00563082"/>
    <w:rsid w:val="005672A4"/>
    <w:rsid w:val="005706F5"/>
    <w:rsid w:val="0057492D"/>
    <w:rsid w:val="00577087"/>
    <w:rsid w:val="00583024"/>
    <w:rsid w:val="005830A5"/>
    <w:rsid w:val="00583A09"/>
    <w:rsid w:val="00597995"/>
    <w:rsid w:val="005A41D9"/>
    <w:rsid w:val="005A60C1"/>
    <w:rsid w:val="005B028C"/>
    <w:rsid w:val="005B215D"/>
    <w:rsid w:val="005B4C8C"/>
    <w:rsid w:val="005C3697"/>
    <w:rsid w:val="005C3B2D"/>
    <w:rsid w:val="005D40E8"/>
    <w:rsid w:val="005D61E1"/>
    <w:rsid w:val="005F056C"/>
    <w:rsid w:val="005F46FF"/>
    <w:rsid w:val="005F4EE5"/>
    <w:rsid w:val="005F5A2A"/>
    <w:rsid w:val="00611595"/>
    <w:rsid w:val="006209F5"/>
    <w:rsid w:val="00621CC6"/>
    <w:rsid w:val="0062327A"/>
    <w:rsid w:val="00630EE5"/>
    <w:rsid w:val="006311CC"/>
    <w:rsid w:val="0063688B"/>
    <w:rsid w:val="00641FF5"/>
    <w:rsid w:val="006428DE"/>
    <w:rsid w:val="00650A9E"/>
    <w:rsid w:val="00655260"/>
    <w:rsid w:val="0066183D"/>
    <w:rsid w:val="0066520D"/>
    <w:rsid w:val="0066668F"/>
    <w:rsid w:val="0067047E"/>
    <w:rsid w:val="00671002"/>
    <w:rsid w:val="00673060"/>
    <w:rsid w:val="006735D7"/>
    <w:rsid w:val="0067413E"/>
    <w:rsid w:val="00684980"/>
    <w:rsid w:val="0068552B"/>
    <w:rsid w:val="00693A88"/>
    <w:rsid w:val="006A396B"/>
    <w:rsid w:val="006A5552"/>
    <w:rsid w:val="006C2355"/>
    <w:rsid w:val="006C4952"/>
    <w:rsid w:val="006C6589"/>
    <w:rsid w:val="006D15C4"/>
    <w:rsid w:val="006D41E7"/>
    <w:rsid w:val="006D7632"/>
    <w:rsid w:val="006E7E94"/>
    <w:rsid w:val="006F137A"/>
    <w:rsid w:val="006F61B7"/>
    <w:rsid w:val="00704D85"/>
    <w:rsid w:val="007111A5"/>
    <w:rsid w:val="0071153B"/>
    <w:rsid w:val="0071398A"/>
    <w:rsid w:val="007147BC"/>
    <w:rsid w:val="007163EB"/>
    <w:rsid w:val="00724DBE"/>
    <w:rsid w:val="00740427"/>
    <w:rsid w:val="007423F9"/>
    <w:rsid w:val="00743006"/>
    <w:rsid w:val="00750FC7"/>
    <w:rsid w:val="00750FD4"/>
    <w:rsid w:val="00751F3E"/>
    <w:rsid w:val="0075565E"/>
    <w:rsid w:val="00765800"/>
    <w:rsid w:val="00781B2E"/>
    <w:rsid w:val="00794775"/>
    <w:rsid w:val="00795D95"/>
    <w:rsid w:val="007A0098"/>
    <w:rsid w:val="007A01AA"/>
    <w:rsid w:val="007A0D74"/>
    <w:rsid w:val="007B450D"/>
    <w:rsid w:val="007B781E"/>
    <w:rsid w:val="007C0F54"/>
    <w:rsid w:val="007C53A8"/>
    <w:rsid w:val="007D070A"/>
    <w:rsid w:val="007D36E9"/>
    <w:rsid w:val="007E3DA6"/>
    <w:rsid w:val="007F3694"/>
    <w:rsid w:val="00807FF7"/>
    <w:rsid w:val="00812306"/>
    <w:rsid w:val="008166A6"/>
    <w:rsid w:val="00827056"/>
    <w:rsid w:val="00834406"/>
    <w:rsid w:val="008412D4"/>
    <w:rsid w:val="00843C80"/>
    <w:rsid w:val="008458E3"/>
    <w:rsid w:val="0084741E"/>
    <w:rsid w:val="0085342F"/>
    <w:rsid w:val="008546A9"/>
    <w:rsid w:val="008570BC"/>
    <w:rsid w:val="008621BF"/>
    <w:rsid w:val="00866850"/>
    <w:rsid w:val="00873867"/>
    <w:rsid w:val="0087406C"/>
    <w:rsid w:val="0087572E"/>
    <w:rsid w:val="00876A04"/>
    <w:rsid w:val="008936B3"/>
    <w:rsid w:val="0089707A"/>
    <w:rsid w:val="008A099D"/>
    <w:rsid w:val="008A3606"/>
    <w:rsid w:val="008A4E60"/>
    <w:rsid w:val="008A5731"/>
    <w:rsid w:val="008B3F3E"/>
    <w:rsid w:val="008B6A10"/>
    <w:rsid w:val="008B6C40"/>
    <w:rsid w:val="008D128C"/>
    <w:rsid w:val="008E0329"/>
    <w:rsid w:val="008E1890"/>
    <w:rsid w:val="008E295D"/>
    <w:rsid w:val="008F36E8"/>
    <w:rsid w:val="00910484"/>
    <w:rsid w:val="009205EC"/>
    <w:rsid w:val="0092659C"/>
    <w:rsid w:val="00927E27"/>
    <w:rsid w:val="00944990"/>
    <w:rsid w:val="0096501A"/>
    <w:rsid w:val="00965C45"/>
    <w:rsid w:val="00965FAB"/>
    <w:rsid w:val="009665D1"/>
    <w:rsid w:val="00967181"/>
    <w:rsid w:val="00970E6A"/>
    <w:rsid w:val="0097232E"/>
    <w:rsid w:val="009730E8"/>
    <w:rsid w:val="009737F7"/>
    <w:rsid w:val="0097745A"/>
    <w:rsid w:val="00977925"/>
    <w:rsid w:val="00983239"/>
    <w:rsid w:val="00992713"/>
    <w:rsid w:val="00992E24"/>
    <w:rsid w:val="009B25B5"/>
    <w:rsid w:val="009B4F82"/>
    <w:rsid w:val="009B603E"/>
    <w:rsid w:val="009B6D82"/>
    <w:rsid w:val="009B6DDA"/>
    <w:rsid w:val="009B797F"/>
    <w:rsid w:val="009D13D0"/>
    <w:rsid w:val="009D2CDA"/>
    <w:rsid w:val="009E20A7"/>
    <w:rsid w:val="009E5ADA"/>
    <w:rsid w:val="009E7B04"/>
    <w:rsid w:val="009F2390"/>
    <w:rsid w:val="00A0021F"/>
    <w:rsid w:val="00A00F40"/>
    <w:rsid w:val="00A013AF"/>
    <w:rsid w:val="00A01CB4"/>
    <w:rsid w:val="00A02C1D"/>
    <w:rsid w:val="00A05362"/>
    <w:rsid w:val="00A05E45"/>
    <w:rsid w:val="00A1001A"/>
    <w:rsid w:val="00A108FA"/>
    <w:rsid w:val="00A12751"/>
    <w:rsid w:val="00A22D4E"/>
    <w:rsid w:val="00A230ED"/>
    <w:rsid w:val="00A3129A"/>
    <w:rsid w:val="00A349E7"/>
    <w:rsid w:val="00A45A64"/>
    <w:rsid w:val="00A56325"/>
    <w:rsid w:val="00A56AAB"/>
    <w:rsid w:val="00A56DEC"/>
    <w:rsid w:val="00A6021A"/>
    <w:rsid w:val="00A60ACF"/>
    <w:rsid w:val="00A6771C"/>
    <w:rsid w:val="00A72038"/>
    <w:rsid w:val="00A742F1"/>
    <w:rsid w:val="00A744B8"/>
    <w:rsid w:val="00A871FF"/>
    <w:rsid w:val="00A95546"/>
    <w:rsid w:val="00AA1DE8"/>
    <w:rsid w:val="00AA4EDD"/>
    <w:rsid w:val="00AB3C25"/>
    <w:rsid w:val="00AB6319"/>
    <w:rsid w:val="00AC28BE"/>
    <w:rsid w:val="00AC51DB"/>
    <w:rsid w:val="00AD18EF"/>
    <w:rsid w:val="00AD3390"/>
    <w:rsid w:val="00AD33B8"/>
    <w:rsid w:val="00AD3EDD"/>
    <w:rsid w:val="00AD68FC"/>
    <w:rsid w:val="00AE7601"/>
    <w:rsid w:val="00AF0947"/>
    <w:rsid w:val="00AF20F3"/>
    <w:rsid w:val="00AF27C7"/>
    <w:rsid w:val="00B12627"/>
    <w:rsid w:val="00B20BB4"/>
    <w:rsid w:val="00B2380D"/>
    <w:rsid w:val="00B23C49"/>
    <w:rsid w:val="00B26D15"/>
    <w:rsid w:val="00B309EC"/>
    <w:rsid w:val="00B33810"/>
    <w:rsid w:val="00B42499"/>
    <w:rsid w:val="00B443CC"/>
    <w:rsid w:val="00B5296B"/>
    <w:rsid w:val="00B5653A"/>
    <w:rsid w:val="00B61A11"/>
    <w:rsid w:val="00B649DD"/>
    <w:rsid w:val="00B66BAA"/>
    <w:rsid w:val="00B708C1"/>
    <w:rsid w:val="00B77338"/>
    <w:rsid w:val="00B813E6"/>
    <w:rsid w:val="00B834B7"/>
    <w:rsid w:val="00B90F2D"/>
    <w:rsid w:val="00B92F22"/>
    <w:rsid w:val="00B95357"/>
    <w:rsid w:val="00B96C26"/>
    <w:rsid w:val="00BA0DAA"/>
    <w:rsid w:val="00BA20FE"/>
    <w:rsid w:val="00BB5CF1"/>
    <w:rsid w:val="00BB650C"/>
    <w:rsid w:val="00BB6EC0"/>
    <w:rsid w:val="00BC2BE7"/>
    <w:rsid w:val="00BC3715"/>
    <w:rsid w:val="00BC3B6D"/>
    <w:rsid w:val="00BD596B"/>
    <w:rsid w:val="00BD69D6"/>
    <w:rsid w:val="00BE011E"/>
    <w:rsid w:val="00BE09D4"/>
    <w:rsid w:val="00BE38CA"/>
    <w:rsid w:val="00BE5585"/>
    <w:rsid w:val="00BF48A7"/>
    <w:rsid w:val="00C014C9"/>
    <w:rsid w:val="00C02377"/>
    <w:rsid w:val="00C122F4"/>
    <w:rsid w:val="00C13A8D"/>
    <w:rsid w:val="00C166C3"/>
    <w:rsid w:val="00C17DDF"/>
    <w:rsid w:val="00C21E4F"/>
    <w:rsid w:val="00C2709A"/>
    <w:rsid w:val="00C35965"/>
    <w:rsid w:val="00C413E0"/>
    <w:rsid w:val="00C42142"/>
    <w:rsid w:val="00C46416"/>
    <w:rsid w:val="00C47626"/>
    <w:rsid w:val="00C52D6F"/>
    <w:rsid w:val="00C54F8A"/>
    <w:rsid w:val="00C56172"/>
    <w:rsid w:val="00C638DF"/>
    <w:rsid w:val="00C64B44"/>
    <w:rsid w:val="00C716C8"/>
    <w:rsid w:val="00C7594F"/>
    <w:rsid w:val="00C90614"/>
    <w:rsid w:val="00C974B3"/>
    <w:rsid w:val="00CA0B96"/>
    <w:rsid w:val="00CA305B"/>
    <w:rsid w:val="00CA59EA"/>
    <w:rsid w:val="00CA6920"/>
    <w:rsid w:val="00CA70D5"/>
    <w:rsid w:val="00CA7A03"/>
    <w:rsid w:val="00CB2453"/>
    <w:rsid w:val="00CC1CF6"/>
    <w:rsid w:val="00CC476D"/>
    <w:rsid w:val="00CC521C"/>
    <w:rsid w:val="00CD187F"/>
    <w:rsid w:val="00CD2794"/>
    <w:rsid w:val="00CD7B8C"/>
    <w:rsid w:val="00CE020E"/>
    <w:rsid w:val="00CE04BC"/>
    <w:rsid w:val="00CE1B3A"/>
    <w:rsid w:val="00CE1D87"/>
    <w:rsid w:val="00CE5F5D"/>
    <w:rsid w:val="00CF03DB"/>
    <w:rsid w:val="00CF39ED"/>
    <w:rsid w:val="00CF5893"/>
    <w:rsid w:val="00CF5BDF"/>
    <w:rsid w:val="00CF6672"/>
    <w:rsid w:val="00D06CDC"/>
    <w:rsid w:val="00D100D1"/>
    <w:rsid w:val="00D13C90"/>
    <w:rsid w:val="00D15088"/>
    <w:rsid w:val="00D170F2"/>
    <w:rsid w:val="00D2190F"/>
    <w:rsid w:val="00D23885"/>
    <w:rsid w:val="00D24E4D"/>
    <w:rsid w:val="00D354C0"/>
    <w:rsid w:val="00D35EC7"/>
    <w:rsid w:val="00D375DB"/>
    <w:rsid w:val="00D41536"/>
    <w:rsid w:val="00D434A6"/>
    <w:rsid w:val="00D47E88"/>
    <w:rsid w:val="00D5136A"/>
    <w:rsid w:val="00D575DF"/>
    <w:rsid w:val="00D61220"/>
    <w:rsid w:val="00D63E71"/>
    <w:rsid w:val="00D66989"/>
    <w:rsid w:val="00D66AED"/>
    <w:rsid w:val="00D679F9"/>
    <w:rsid w:val="00D67F01"/>
    <w:rsid w:val="00D70F28"/>
    <w:rsid w:val="00D74084"/>
    <w:rsid w:val="00D76FEB"/>
    <w:rsid w:val="00D81BAD"/>
    <w:rsid w:val="00D8743A"/>
    <w:rsid w:val="00D9331D"/>
    <w:rsid w:val="00DA1006"/>
    <w:rsid w:val="00DA260F"/>
    <w:rsid w:val="00DA5924"/>
    <w:rsid w:val="00DA5FD9"/>
    <w:rsid w:val="00DA6AB4"/>
    <w:rsid w:val="00DA7E1C"/>
    <w:rsid w:val="00DB16E5"/>
    <w:rsid w:val="00DB1FE9"/>
    <w:rsid w:val="00DB3BF5"/>
    <w:rsid w:val="00DC2EEA"/>
    <w:rsid w:val="00DC4297"/>
    <w:rsid w:val="00DC6306"/>
    <w:rsid w:val="00DC7D5D"/>
    <w:rsid w:val="00DD5F08"/>
    <w:rsid w:val="00DD6774"/>
    <w:rsid w:val="00DE000A"/>
    <w:rsid w:val="00DE5ECB"/>
    <w:rsid w:val="00DF59C3"/>
    <w:rsid w:val="00DF71AC"/>
    <w:rsid w:val="00E127AD"/>
    <w:rsid w:val="00E27F29"/>
    <w:rsid w:val="00E303C1"/>
    <w:rsid w:val="00E316DC"/>
    <w:rsid w:val="00E33997"/>
    <w:rsid w:val="00E413ED"/>
    <w:rsid w:val="00E507DF"/>
    <w:rsid w:val="00E51F22"/>
    <w:rsid w:val="00E56A7A"/>
    <w:rsid w:val="00E60002"/>
    <w:rsid w:val="00E75D3F"/>
    <w:rsid w:val="00E85E8A"/>
    <w:rsid w:val="00E90818"/>
    <w:rsid w:val="00E95BE6"/>
    <w:rsid w:val="00EA3691"/>
    <w:rsid w:val="00EA61B4"/>
    <w:rsid w:val="00EB0847"/>
    <w:rsid w:val="00EB1DA8"/>
    <w:rsid w:val="00EC12CE"/>
    <w:rsid w:val="00EC1436"/>
    <w:rsid w:val="00EC1552"/>
    <w:rsid w:val="00EC1BDD"/>
    <w:rsid w:val="00EC34E8"/>
    <w:rsid w:val="00EC512B"/>
    <w:rsid w:val="00ED1C02"/>
    <w:rsid w:val="00ED458B"/>
    <w:rsid w:val="00EE0CF7"/>
    <w:rsid w:val="00EE6EA0"/>
    <w:rsid w:val="00EF27A5"/>
    <w:rsid w:val="00EF2DA8"/>
    <w:rsid w:val="00F00558"/>
    <w:rsid w:val="00F03E13"/>
    <w:rsid w:val="00F044F9"/>
    <w:rsid w:val="00F17906"/>
    <w:rsid w:val="00F22CE3"/>
    <w:rsid w:val="00F23887"/>
    <w:rsid w:val="00F34740"/>
    <w:rsid w:val="00F35B1D"/>
    <w:rsid w:val="00F42CD4"/>
    <w:rsid w:val="00F552E9"/>
    <w:rsid w:val="00F562E4"/>
    <w:rsid w:val="00F5676A"/>
    <w:rsid w:val="00F5763E"/>
    <w:rsid w:val="00F5794F"/>
    <w:rsid w:val="00F60BF2"/>
    <w:rsid w:val="00F62A59"/>
    <w:rsid w:val="00F726D2"/>
    <w:rsid w:val="00F801B2"/>
    <w:rsid w:val="00F81F31"/>
    <w:rsid w:val="00F84521"/>
    <w:rsid w:val="00F92FDC"/>
    <w:rsid w:val="00FA1601"/>
    <w:rsid w:val="00FA54B2"/>
    <w:rsid w:val="00FB0098"/>
    <w:rsid w:val="00FB01C5"/>
    <w:rsid w:val="00FB5CFE"/>
    <w:rsid w:val="00FC4202"/>
    <w:rsid w:val="00FC4673"/>
    <w:rsid w:val="00FD241F"/>
    <w:rsid w:val="00FD3957"/>
    <w:rsid w:val="00FD4A3C"/>
    <w:rsid w:val="00FD6231"/>
    <w:rsid w:val="00FE19D2"/>
    <w:rsid w:val="00FE3294"/>
    <w:rsid w:val="00FE4DB5"/>
    <w:rsid w:val="00FF18D4"/>
    <w:rsid w:val="00FF1B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74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0C1"/>
    <w:pPr>
      <w:spacing w:after="120" w:line="240" w:lineRule="auto"/>
    </w:pPr>
    <w:rPr>
      <w:rFonts w:ascii="Calibri" w:eastAsia="Calibri" w:hAnsi="Calibri" w:cs="Calibri"/>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3"/>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5A60C1"/>
    <w:pPr>
      <w:keepNext/>
      <w:numPr>
        <w:ilvl w:val="1"/>
        <w:numId w:val="3"/>
      </w:numPr>
      <w:spacing w:before="240" w:after="60"/>
      <w:ind w:left="567"/>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5A60C1"/>
    <w:pPr>
      <w:numPr>
        <w:ilvl w:val="2"/>
      </w:numPr>
      <w:ind w:left="709"/>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5A60C1"/>
    <w:pPr>
      <w:keepNext/>
      <w:keepLines/>
      <w:numPr>
        <w:ilvl w:val="3"/>
        <w:numId w:val="3"/>
      </w:numPr>
      <w:spacing w:before="200"/>
      <w:ind w:left="862" w:hanging="862"/>
      <w:outlineLvl w:val="4"/>
    </w:pPr>
    <w:rPr>
      <w:rFonts w:asciiTheme="minorHAnsi" w:eastAsiaTheme="majorEastAsia" w:hAnsiTheme="minorHAnsi" w:cstheme="majorBidi"/>
      <w:b/>
      <w:color w:val="243F60" w:themeColor="accent1" w:themeShade="7F"/>
    </w:rPr>
  </w:style>
  <w:style w:type="paragraph" w:styleId="Heading6">
    <w:name w:val="heading 6"/>
    <w:basedOn w:val="Normal"/>
    <w:next w:val="Normal"/>
    <w:link w:val="Heading6Char"/>
    <w:uiPriority w:val="9"/>
    <w:semiHidden/>
    <w:unhideWhenUsed/>
    <w:rsid w:val="00B12627"/>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0C1"/>
    <w:pPr>
      <w:tabs>
        <w:tab w:val="center" w:pos="4513"/>
        <w:tab w:val="right" w:pos="9026"/>
      </w:tabs>
      <w:spacing w:after="0"/>
    </w:pPr>
    <w:rPr>
      <w:sz w:val="20"/>
      <w:szCs w:val="20"/>
    </w:rPr>
  </w:style>
  <w:style w:type="character" w:customStyle="1" w:styleId="HeaderChar">
    <w:name w:val="Header Char"/>
    <w:basedOn w:val="DefaultParagraphFont"/>
    <w:link w:val="Header"/>
    <w:uiPriority w:val="99"/>
    <w:rsid w:val="00743006"/>
    <w:rPr>
      <w:rFonts w:ascii="Calibri" w:eastAsia="Calibri" w:hAnsi="Calibri" w:cs="Calibri"/>
      <w:kern w:val="40"/>
      <w:sz w:val="20"/>
      <w:szCs w:val="20"/>
    </w:rPr>
  </w:style>
  <w:style w:type="paragraph" w:styleId="Footer">
    <w:name w:val="footer"/>
    <w:basedOn w:val="Normal"/>
    <w:link w:val="FooterChar"/>
    <w:uiPriority w:val="99"/>
    <w:unhideWhenUsed/>
    <w:qFormat/>
    <w:rsid w:val="005A60C1"/>
    <w:pPr>
      <w:tabs>
        <w:tab w:val="center" w:pos="5233"/>
        <w:tab w:val="right" w:pos="10467"/>
      </w:tabs>
      <w:spacing w:after="0"/>
    </w:pPr>
    <w:rPr>
      <w:sz w:val="18"/>
    </w:rPr>
  </w:style>
  <w:style w:type="character" w:customStyle="1" w:styleId="FooterChar">
    <w:name w:val="Footer Char"/>
    <w:basedOn w:val="DefaultParagraphFont"/>
    <w:link w:val="Footer"/>
    <w:uiPriority w:val="99"/>
    <w:rsid w:val="00743006"/>
    <w:rPr>
      <w:rFonts w:ascii="Calibri" w:eastAsia="Calibri" w:hAnsi="Calibri" w:cs="Calibri"/>
      <w:kern w:val="40"/>
      <w:sz w:val="18"/>
    </w:rPr>
  </w:style>
  <w:style w:type="character" w:customStyle="1" w:styleId="Heading1Char">
    <w:name w:val="Heading 1 Char"/>
    <w:aliases w:val="Policy Name Char"/>
    <w:basedOn w:val="DefaultParagraphFont"/>
    <w:link w:val="Heading1"/>
    <w:uiPriority w:val="9"/>
    <w:rsid w:val="00743006"/>
    <w:rPr>
      <w:rFonts w:ascii="Calibri" w:eastAsia="SimSun" w:hAnsi="Calibri" w:cs="Angsana New"/>
      <w:b/>
      <w:bCs/>
      <w:color w:val="404040"/>
      <w:kern w:val="32"/>
      <w:sz w:val="52"/>
      <w:szCs w:val="52"/>
    </w:rPr>
  </w:style>
  <w:style w:type="character" w:customStyle="1" w:styleId="Heading2Char">
    <w:name w:val="Heading 2 Char"/>
    <w:aliases w:val="Content Heading 1 Section name Char"/>
    <w:basedOn w:val="DefaultParagraphFont"/>
    <w:link w:val="Heading2"/>
    <w:uiPriority w:val="9"/>
    <w:rsid w:val="00743006"/>
    <w:rPr>
      <w:rFonts w:ascii="Calibri" w:eastAsia="SimSun" w:hAnsi="Calibri" w:cs="Angsana New"/>
      <w:b/>
      <w:bCs/>
      <w:iCs/>
      <w:color w:val="463A70"/>
      <w:kern w:val="40"/>
      <w:sz w:val="40"/>
      <w:szCs w:val="48"/>
    </w:rPr>
  </w:style>
  <w:style w:type="character" w:customStyle="1" w:styleId="Heading3Char">
    <w:name w:val="Heading 3 Char"/>
    <w:aliases w:val="Content Heading 2 Char"/>
    <w:basedOn w:val="DefaultParagraphFont"/>
    <w:link w:val="Heading3"/>
    <w:uiPriority w:val="9"/>
    <w:rsid w:val="00295994"/>
    <w:rPr>
      <w:rFonts w:ascii="Calibri" w:eastAsia="SimSun" w:hAnsi="Calibri" w:cs="Angsana New"/>
      <w:b/>
      <w:bCs/>
      <w:color w:val="404040"/>
      <w:kern w:val="40"/>
      <w:sz w:val="32"/>
      <w:szCs w:val="32"/>
    </w:rPr>
  </w:style>
  <w:style w:type="character" w:customStyle="1" w:styleId="Heading4Char">
    <w:name w:val="Heading 4 Char"/>
    <w:aliases w:val="Content Heading 3 Sub-heading Char"/>
    <w:basedOn w:val="DefaultParagraphFont"/>
    <w:link w:val="Heading4"/>
    <w:uiPriority w:val="9"/>
    <w:rsid w:val="00E303C1"/>
    <w:rPr>
      <w:rFonts w:ascii="Calibri" w:eastAsia="SimSun" w:hAnsi="Calibri" w:cs="Angsana New"/>
      <w:b/>
      <w:bCs/>
      <w:color w:val="595959" w:themeColor="text1" w:themeTint="A6"/>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Normal"/>
    <w:qFormat/>
    <w:rsid w:val="005A60C1"/>
    <w:pPr>
      <w:numPr>
        <w:numId w:val="347"/>
      </w:numPr>
      <w:ind w:left="340"/>
    </w:pPr>
  </w:style>
  <w:style w:type="paragraph" w:styleId="ListBullet2">
    <w:name w:val="List Bullet 2"/>
    <w:basedOn w:val="ListBullet"/>
    <w:uiPriority w:val="99"/>
    <w:unhideWhenUsed/>
    <w:qFormat/>
    <w:rsid w:val="005A60C1"/>
    <w:pPr>
      <w:numPr>
        <w:numId w:val="342"/>
      </w:numPr>
      <w:contextualSpacing w:val="0"/>
    </w:pPr>
  </w:style>
  <w:style w:type="paragraph" w:styleId="ListBullet">
    <w:name w:val="List Bullet"/>
    <w:aliases w:val="List Bullet 1"/>
    <w:basedOn w:val="Normal"/>
    <w:uiPriority w:val="99"/>
    <w:unhideWhenUsed/>
    <w:rsid w:val="00B26D15"/>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5A60C1"/>
    <w:pPr>
      <w:autoSpaceDE w:val="0"/>
      <w:autoSpaceDN w:val="0"/>
      <w:adjustRightInd w:val="0"/>
      <w:spacing w:after="0" w:line="288" w:lineRule="auto"/>
      <w:textAlignment w:val="center"/>
    </w:pPr>
    <w:rPr>
      <w:rFonts w:ascii="Times New Roman" w:eastAsiaTheme="minorHAnsi" w:hAnsi="Times New Roman" w:cs="Times New Roman"/>
      <w:color w:val="0000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B26D15"/>
    <w:pPr>
      <w:numPr>
        <w:numId w:val="343"/>
      </w:numPr>
    </w:pPr>
  </w:style>
  <w:style w:type="paragraph" w:styleId="ListBullet4">
    <w:name w:val="List Bullet 4"/>
    <w:basedOn w:val="Normal"/>
    <w:uiPriority w:val="99"/>
    <w:unhideWhenUsed/>
    <w:qFormat/>
    <w:rsid w:val="00B26D15"/>
    <w:pPr>
      <w:numPr>
        <w:numId w:val="344"/>
      </w:numPr>
    </w:pPr>
  </w:style>
  <w:style w:type="character" w:customStyle="1" w:styleId="Heading5Char">
    <w:name w:val="Heading 5 Char"/>
    <w:aliases w:val="Content heading 4 Minor heading Char"/>
    <w:basedOn w:val="DefaultParagraphFont"/>
    <w:link w:val="Heading5"/>
    <w:uiPriority w:val="9"/>
    <w:rsid w:val="00CA59EA"/>
    <w:rPr>
      <w:rFonts w:eastAsiaTheme="majorEastAsia" w:cstheme="majorBidi"/>
      <w:b/>
      <w:color w:val="243F60" w:themeColor="accent1" w:themeShade="7F"/>
      <w:kern w:val="40"/>
    </w:rPr>
  </w:style>
  <w:style w:type="character" w:customStyle="1" w:styleId="Heading6Char">
    <w:name w:val="Heading 6 Char"/>
    <w:basedOn w:val="DefaultParagraphFont"/>
    <w:link w:val="Heading6"/>
    <w:uiPriority w:val="9"/>
    <w:semiHidden/>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26D15"/>
    <w:pPr>
      <w:numPr>
        <w:numId w:val="0"/>
      </w:numPr>
      <w:ind w:left="864"/>
    </w:pPr>
    <w:rPr>
      <w:i/>
    </w:rPr>
  </w:style>
  <w:style w:type="character" w:customStyle="1" w:styleId="QuoteChar">
    <w:name w:val="Quote Char"/>
    <w:basedOn w:val="DefaultParagraphFont"/>
    <w:link w:val="Quote"/>
    <w:uiPriority w:val="29"/>
    <w:rsid w:val="00743006"/>
    <w:rPr>
      <w:rFonts w:ascii="Calibri" w:eastAsia="Calibri" w:hAnsi="Calibri" w:cs="Calibri"/>
      <w:i/>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743006"/>
    <w:pPr>
      <w:keepNext/>
      <w:spacing w:before="120" w:after="0"/>
    </w:pPr>
    <w:rPr>
      <w:b/>
      <w:bCs/>
      <w:color w:val="463A70"/>
      <w:sz w:val="18"/>
      <w:szCs w:val="18"/>
    </w:rPr>
  </w:style>
  <w:style w:type="character" w:styleId="Strong">
    <w:name w:val="Strong"/>
    <w:aliases w:val="Table column-row heading"/>
    <w:uiPriority w:val="22"/>
    <w:qFormat/>
    <w:rsid w:val="00D61220"/>
    <w:rPr>
      <w:b/>
      <w:color w:val="000000" w:themeColor="text1"/>
      <w:sz w:val="20"/>
    </w:rPr>
  </w:style>
  <w:style w:type="paragraph" w:customStyle="1" w:styleId="Tablebody">
    <w:name w:val="Table body"/>
    <w:basedOn w:val="Normal"/>
    <w:qFormat/>
    <w:rsid w:val="00D61220"/>
    <w:pPr>
      <w:spacing w:after="0"/>
    </w:pPr>
    <w:rPr>
      <w:bCs/>
      <w:color w:val="000000" w:themeColor="text1"/>
      <w:sz w:val="20"/>
    </w:rPr>
  </w:style>
  <w:style w:type="paragraph" w:customStyle="1" w:styleId="Tablebodybullet1">
    <w:name w:val="Table body bullet 1"/>
    <w:basedOn w:val="Tablebody"/>
    <w:qFormat/>
    <w:rsid w:val="005A60C1"/>
    <w:pPr>
      <w:numPr>
        <w:numId w:val="4"/>
      </w:numPr>
    </w:pPr>
    <w:rPr>
      <w:bCs w:val="0"/>
    </w:rPr>
  </w:style>
  <w:style w:type="paragraph" w:customStyle="1" w:styleId="Tablebodybullet2">
    <w:name w:val="Table body bullet 2"/>
    <w:basedOn w:val="Tablebodybullet1"/>
    <w:qFormat/>
    <w:rsid w:val="005A60C1"/>
    <w:pPr>
      <w:numPr>
        <w:numId w:val="5"/>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iPriority w:val="99"/>
    <w:unhideWhenUsed/>
    <w:rsid w:val="00116E26"/>
    <w:pPr>
      <w:spacing w:after="0"/>
    </w:pPr>
    <w:rPr>
      <w:sz w:val="20"/>
      <w:szCs w:val="20"/>
    </w:rPr>
  </w:style>
  <w:style w:type="character" w:customStyle="1" w:styleId="FootnoteTextChar">
    <w:name w:val="Footnote Text Char"/>
    <w:basedOn w:val="DefaultParagraphFont"/>
    <w:link w:val="FootnoteText"/>
    <w:uiPriority w:val="99"/>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semiHidden/>
    <w:unhideWhenUsed/>
    <w:rsid w:val="00116E26"/>
    <w:rPr>
      <w:vertAlign w:val="superscript"/>
    </w:rPr>
  </w:style>
  <w:style w:type="paragraph" w:customStyle="1" w:styleId="Footnote">
    <w:name w:val="Footnote"/>
    <w:basedOn w:val="FootnoteText"/>
    <w:qFormat/>
    <w:rsid w:val="005A60C1"/>
    <w:rPr>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743006"/>
    <w:pPr>
      <w:keepNext/>
      <w:jc w:val="left"/>
    </w:pPr>
    <w:rPr>
      <w:b/>
    </w:rPr>
  </w:style>
  <w:style w:type="paragraph" w:customStyle="1" w:styleId="Casestudytext">
    <w:name w:val="Case study text"/>
    <w:basedOn w:val="Figuretext"/>
    <w:rsid w:val="005A60C1"/>
    <w:pPr>
      <w:pBdr>
        <w:top w:val="single" w:sz="12" w:space="1" w:color="463A70"/>
        <w:left w:val="single" w:sz="12" w:space="4" w:color="463A70"/>
        <w:bottom w:val="single" w:sz="12" w:space="1" w:color="463A70"/>
        <w:right w:val="single" w:sz="12" w:space="4" w:color="463A70"/>
      </w:pBdr>
      <w:shd w:val="clear" w:color="auto" w:fill="E5DFEC" w:themeFill="accent4" w:themeFillTint="33"/>
      <w:spacing w:after="12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rsid w:val="006C4952"/>
    <w:pPr>
      <w:numPr>
        <w:numId w:val="0"/>
      </w:numPr>
      <w:ind w:left="432" w:hanging="432"/>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ind w:left="0"/>
    </w:pPr>
  </w:style>
  <w:style w:type="paragraph" w:styleId="ListParagraph">
    <w:name w:val="List Paragraph"/>
    <w:aliases w:val="List Paragraph1,List Paragraph11,Bullet point,NFP GP Bulleted List,L,bullet point list,1 heading,Bulleted Para,Bullet points,Content descriptions,Bullet Point,NAST Quote,FooterText,numbered,Paragraphe de liste1,列出段落,列出段落1"/>
    <w:basedOn w:val="Normal"/>
    <w:link w:val="ListParagraphChar"/>
    <w:uiPriority w:val="99"/>
    <w:qFormat/>
    <w:rsid w:val="005A60C1"/>
    <w:pPr>
      <w:tabs>
        <w:tab w:val="left" w:pos="567"/>
      </w:tabs>
      <w:autoSpaceDE w:val="0"/>
      <w:autoSpaceDN w:val="0"/>
      <w:adjustRightInd w:val="0"/>
      <w:spacing w:before="240" w:after="0"/>
      <w:ind w:left="720"/>
      <w:contextualSpacing/>
    </w:pPr>
    <w:rPr>
      <w:rFonts w:cs="Times New Roman"/>
      <w:kern w:val="0"/>
    </w:rPr>
  </w:style>
  <w:style w:type="character" w:customStyle="1" w:styleId="ListParagraphChar">
    <w:name w:val="List Paragraph Char"/>
    <w:aliases w:val="List Paragraph1 Char,List Paragraph11 Char,Bullet point Char,NFP GP Bulleted List Char,L Char,bullet point list Char,1 heading Char,Bulleted Para Char,Bullet points Char,Content descriptions Char,Bullet Point Char,NAST Quote Char"/>
    <w:basedOn w:val="DefaultParagraphFont"/>
    <w:link w:val="ListParagraph"/>
    <w:uiPriority w:val="99"/>
    <w:locked/>
    <w:rsid w:val="00BB650C"/>
    <w:rPr>
      <w:rFonts w:ascii="Calibri" w:eastAsia="Calibri" w:hAnsi="Calibri" w:cs="Times New Roman"/>
    </w:rPr>
  </w:style>
  <w:style w:type="character" w:styleId="CommentReference">
    <w:name w:val="annotation reference"/>
    <w:basedOn w:val="DefaultParagraphFont"/>
    <w:uiPriority w:val="99"/>
    <w:semiHidden/>
    <w:unhideWhenUsed/>
    <w:rsid w:val="00AD3EDD"/>
    <w:rPr>
      <w:sz w:val="16"/>
      <w:szCs w:val="16"/>
    </w:rPr>
  </w:style>
  <w:style w:type="paragraph" w:styleId="CommentText">
    <w:name w:val="annotation text"/>
    <w:basedOn w:val="Normal"/>
    <w:link w:val="CommentTextChar"/>
    <w:uiPriority w:val="99"/>
    <w:semiHidden/>
    <w:unhideWhenUsed/>
    <w:rsid w:val="005A60C1"/>
    <w:pPr>
      <w:tabs>
        <w:tab w:val="left" w:pos="567"/>
      </w:tabs>
      <w:autoSpaceDE w:val="0"/>
      <w:autoSpaceDN w:val="0"/>
      <w:adjustRightInd w:val="0"/>
      <w:spacing w:before="240" w:after="0"/>
    </w:pPr>
    <w:rPr>
      <w:rFonts w:cs="Times New Roman"/>
      <w:kern w:val="0"/>
      <w:sz w:val="20"/>
      <w:szCs w:val="20"/>
    </w:rPr>
  </w:style>
  <w:style w:type="character" w:customStyle="1" w:styleId="CommentTextChar">
    <w:name w:val="Comment Text Char"/>
    <w:basedOn w:val="DefaultParagraphFont"/>
    <w:link w:val="CommentText"/>
    <w:uiPriority w:val="99"/>
    <w:semiHidden/>
    <w:rsid w:val="00AD3EDD"/>
    <w:rPr>
      <w:rFonts w:ascii="Calibri" w:eastAsia="Calibri" w:hAnsi="Calibri" w:cs="Times New Roman"/>
      <w:sz w:val="20"/>
      <w:szCs w:val="20"/>
    </w:rPr>
  </w:style>
  <w:style w:type="paragraph" w:styleId="NormalWeb">
    <w:name w:val="Normal (Web)"/>
    <w:basedOn w:val="Normal"/>
    <w:uiPriority w:val="99"/>
    <w:unhideWhenUsed/>
    <w:rsid w:val="005A60C1"/>
    <w:pPr>
      <w:spacing w:before="100" w:beforeAutospacing="1" w:after="100" w:afterAutospacing="1"/>
    </w:pPr>
    <w:rPr>
      <w:rFonts w:ascii="Times New Roman" w:eastAsiaTheme="minorEastAsia" w:hAnsi="Times New Roman" w:cs="Times New Roman"/>
      <w:kern w:val="0"/>
      <w:sz w:val="24"/>
      <w:szCs w:val="24"/>
      <w:lang w:eastAsia="en-AU"/>
    </w:rPr>
  </w:style>
  <w:style w:type="numbering" w:customStyle="1" w:styleId="Numberedparagraphs">
    <w:name w:val="Numbered paragraphs"/>
    <w:uiPriority w:val="99"/>
    <w:rsid w:val="00145856"/>
    <w:pPr>
      <w:numPr>
        <w:numId w:val="345"/>
      </w:numPr>
    </w:pPr>
  </w:style>
  <w:style w:type="paragraph" w:customStyle="1" w:styleId="Dot1">
    <w:name w:val="Dot 1"/>
    <w:basedOn w:val="Normal"/>
    <w:link w:val="Dot1Char"/>
    <w:qFormat/>
    <w:rsid w:val="005A60C1"/>
    <w:pPr>
      <w:spacing w:before="120" w:after="0"/>
    </w:pPr>
    <w:rPr>
      <w:rFonts w:eastAsiaTheme="minorHAnsi" w:cs="Times New Roman"/>
      <w:kern w:val="0"/>
      <w:lang w:eastAsia="en-AU"/>
    </w:rPr>
  </w:style>
  <w:style w:type="paragraph" w:customStyle="1" w:styleId="Tablebullet">
    <w:name w:val="Table bullet"/>
    <w:basedOn w:val="Normal"/>
    <w:link w:val="TablebulletChar"/>
    <w:uiPriority w:val="99"/>
    <w:qFormat/>
    <w:rsid w:val="005A60C1"/>
    <w:pPr>
      <w:framePr w:hSpace="180" w:wrap="around" w:vAnchor="page" w:hAnchor="margin" w:y="2295"/>
      <w:numPr>
        <w:numId w:val="16"/>
      </w:numPr>
      <w:tabs>
        <w:tab w:val="left" w:pos="284"/>
      </w:tabs>
      <w:spacing w:after="0"/>
      <w:ind w:left="0" w:firstLine="0"/>
    </w:pPr>
    <w:rPr>
      <w:rFonts w:ascii="Arial Narrow" w:eastAsia="Times New Roman" w:hAnsi="Arial Narrow" w:cs="Times New Roman"/>
      <w:b/>
      <w:bCs/>
      <w:color w:val="365F91"/>
      <w:kern w:val="0"/>
      <w:sz w:val="18"/>
      <w:szCs w:val="21"/>
      <w:lang w:bidi="en-US"/>
    </w:rPr>
  </w:style>
  <w:style w:type="character" w:customStyle="1" w:styleId="TablebulletChar">
    <w:name w:val="Table bullet Char"/>
    <w:link w:val="Tablebullet"/>
    <w:uiPriority w:val="99"/>
    <w:rsid w:val="00B61A11"/>
    <w:rPr>
      <w:rFonts w:ascii="Arial Narrow" w:eastAsia="Times New Roman" w:hAnsi="Arial Narrow" w:cs="Times New Roman"/>
      <w:b/>
      <w:bCs/>
      <w:color w:val="365F91"/>
      <w:sz w:val="18"/>
      <w:szCs w:val="21"/>
      <w:lang w:bidi="en-US"/>
    </w:rPr>
  </w:style>
  <w:style w:type="character" w:customStyle="1" w:styleId="Dot1Char">
    <w:name w:val="Dot 1 Char"/>
    <w:link w:val="Dot1"/>
    <w:locked/>
    <w:rsid w:val="00B26D15"/>
    <w:rPr>
      <w:rFonts w:ascii="Calibri" w:hAnsi="Calibri" w:cs="Times New Roman"/>
      <w:lang w:eastAsia="en-AU"/>
    </w:rPr>
  </w:style>
  <w:style w:type="character" w:customStyle="1" w:styleId="Dot2Char">
    <w:name w:val="Dot 2 Char"/>
    <w:basedOn w:val="DefaultParagraphFont"/>
    <w:link w:val="Dot2"/>
    <w:locked/>
    <w:rsid w:val="00B26D15"/>
    <w:rPr>
      <w:rFonts w:ascii="Calibri" w:hAnsi="Calibri"/>
    </w:rPr>
  </w:style>
  <w:style w:type="paragraph" w:customStyle="1" w:styleId="Dot3">
    <w:name w:val="Dot 3"/>
    <w:basedOn w:val="Normal"/>
    <w:uiPriority w:val="99"/>
    <w:rsid w:val="005A60C1"/>
    <w:pPr>
      <w:numPr>
        <w:ilvl w:val="2"/>
        <w:numId w:val="17"/>
      </w:numPr>
      <w:spacing w:before="120" w:after="0"/>
      <w:ind w:left="-3622" w:hanging="425"/>
    </w:pPr>
    <w:rPr>
      <w:rFonts w:eastAsiaTheme="minorHAnsi" w:cs="Times New Roman"/>
      <w:kern w:val="0"/>
    </w:rPr>
  </w:style>
  <w:style w:type="table" w:customStyle="1" w:styleId="LightShading-Accent41">
    <w:name w:val="Light Shading - Accent 41"/>
    <w:basedOn w:val="TableNormal"/>
    <w:next w:val="LightShading-Accent4"/>
    <w:uiPriority w:val="60"/>
    <w:rsid w:val="0075565E"/>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CommentSubject">
    <w:name w:val="annotation subject"/>
    <w:basedOn w:val="CommentText"/>
    <w:next w:val="CommentText"/>
    <w:link w:val="CommentSubjectChar"/>
    <w:uiPriority w:val="99"/>
    <w:semiHidden/>
    <w:unhideWhenUsed/>
    <w:rsid w:val="001A281D"/>
    <w:pPr>
      <w:tabs>
        <w:tab w:val="clear" w:pos="567"/>
      </w:tabs>
      <w:autoSpaceDE/>
      <w:autoSpaceDN/>
      <w:adjustRightInd/>
      <w:spacing w:before="0" w:after="120"/>
    </w:pPr>
    <w:rPr>
      <w:rFonts w:cs="Calibri"/>
      <w:b/>
      <w:bCs/>
      <w:w w:val="105"/>
      <w:kern w:val="40"/>
    </w:rPr>
  </w:style>
  <w:style w:type="character" w:customStyle="1" w:styleId="CommentSubjectChar">
    <w:name w:val="Comment Subject Char"/>
    <w:basedOn w:val="CommentTextChar"/>
    <w:link w:val="CommentSubject"/>
    <w:uiPriority w:val="99"/>
    <w:semiHidden/>
    <w:rsid w:val="001A281D"/>
    <w:rPr>
      <w:rFonts w:ascii="Calibri" w:eastAsia="Calibri" w:hAnsi="Calibri" w:cs="Calibri"/>
      <w:b/>
      <w:bCs/>
      <w:w w:val="105"/>
      <w:kern w:val="40"/>
      <w:sz w:val="20"/>
      <w:szCs w:val="20"/>
    </w:rPr>
  </w:style>
  <w:style w:type="character" w:styleId="FollowedHyperlink">
    <w:name w:val="FollowedHyperlink"/>
    <w:basedOn w:val="DefaultParagraphFont"/>
    <w:uiPriority w:val="99"/>
    <w:semiHidden/>
    <w:unhideWhenUsed/>
    <w:rsid w:val="002808C3"/>
    <w:rPr>
      <w:color w:val="800080" w:themeColor="followedHyperlink"/>
      <w:u w:val="single"/>
    </w:rPr>
  </w:style>
  <w:style w:type="table" w:customStyle="1" w:styleId="LightShading-Accent42">
    <w:name w:val="Light Shading - Accent 42"/>
    <w:basedOn w:val="TableNormal"/>
    <w:next w:val="LightShading-Accent4"/>
    <w:uiPriority w:val="60"/>
    <w:rsid w:val="00873867"/>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43">
    <w:name w:val="Light Shading - Accent 43"/>
    <w:basedOn w:val="TableNormal"/>
    <w:next w:val="LightShading-Accent4"/>
    <w:uiPriority w:val="60"/>
    <w:semiHidden/>
    <w:unhideWhenUsed/>
    <w:rsid w:val="00AB3C25"/>
    <w:pPr>
      <w:spacing w:after="0" w:line="240" w:lineRule="auto"/>
    </w:pPr>
    <w:rPr>
      <w:color w:val="5F497A" w:themeColor="accent4" w:themeShade="BF"/>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Dot2">
    <w:name w:val="Dot 2"/>
    <w:basedOn w:val="Normal"/>
    <w:link w:val="Dot2Char"/>
    <w:qFormat/>
    <w:rsid w:val="005A60C1"/>
    <w:pPr>
      <w:spacing w:before="120" w:after="0"/>
    </w:pPr>
    <w:rPr>
      <w:rFonts w:eastAsiaTheme="minorHAnsi" w:cstheme="minorBidi"/>
      <w:kern w:val="0"/>
    </w:rPr>
  </w:style>
  <w:style w:type="paragraph" w:styleId="Revision">
    <w:name w:val="Revision"/>
    <w:hidden/>
    <w:uiPriority w:val="99"/>
    <w:semiHidden/>
    <w:rsid w:val="00765800"/>
    <w:pPr>
      <w:spacing w:after="0" w:line="240" w:lineRule="auto"/>
    </w:pPr>
    <w:rPr>
      <w:rFonts w:ascii="Calibri" w:eastAsia="Calibri" w:hAnsi="Calibri" w:cs="Calibri"/>
      <w:kern w:val="40"/>
    </w:rPr>
  </w:style>
  <w:style w:type="paragraph" w:customStyle="1" w:styleId="Landscapefooter">
    <w:name w:val="Landscape footer"/>
    <w:basedOn w:val="Footer"/>
    <w:qFormat/>
    <w:rsid w:val="003A74DA"/>
    <w:pPr>
      <w:tabs>
        <w:tab w:val="clear" w:pos="5233"/>
        <w:tab w:val="clear" w:pos="10467"/>
        <w:tab w:val="center" w:pos="7655"/>
        <w:tab w:val="right" w:pos="15309"/>
      </w:tabs>
    </w:pPr>
  </w:style>
  <w:style w:type="table" w:styleId="GridTable6Colorful-Accent4">
    <w:name w:val="Grid Table 6 Colorful Accent 4"/>
    <w:basedOn w:val="TableNormal"/>
    <w:uiPriority w:val="51"/>
    <w:rsid w:val="00E303C1"/>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2308">
      <w:bodyDiv w:val="1"/>
      <w:marLeft w:val="0"/>
      <w:marRight w:val="0"/>
      <w:marTop w:val="0"/>
      <w:marBottom w:val="0"/>
      <w:divBdr>
        <w:top w:val="none" w:sz="0" w:space="0" w:color="auto"/>
        <w:left w:val="none" w:sz="0" w:space="0" w:color="auto"/>
        <w:bottom w:val="none" w:sz="0" w:space="0" w:color="auto"/>
        <w:right w:val="none" w:sz="0" w:space="0" w:color="auto"/>
      </w:divBdr>
      <w:divsChild>
        <w:div w:id="1370105418">
          <w:marLeft w:val="0"/>
          <w:marRight w:val="0"/>
          <w:marTop w:val="0"/>
          <w:marBottom w:val="0"/>
          <w:divBdr>
            <w:top w:val="none" w:sz="0" w:space="0" w:color="auto"/>
            <w:left w:val="none" w:sz="0" w:space="0" w:color="auto"/>
            <w:bottom w:val="none" w:sz="0" w:space="0" w:color="auto"/>
            <w:right w:val="none" w:sz="0" w:space="0" w:color="auto"/>
          </w:divBdr>
          <w:divsChild>
            <w:div w:id="59712583">
              <w:marLeft w:val="0"/>
              <w:marRight w:val="0"/>
              <w:marTop w:val="0"/>
              <w:marBottom w:val="0"/>
              <w:divBdr>
                <w:top w:val="none" w:sz="0" w:space="0" w:color="auto"/>
                <w:left w:val="none" w:sz="0" w:space="0" w:color="auto"/>
                <w:bottom w:val="none" w:sz="0" w:space="0" w:color="auto"/>
                <w:right w:val="none" w:sz="0" w:space="0" w:color="auto"/>
              </w:divBdr>
              <w:divsChild>
                <w:div w:id="883324249">
                  <w:marLeft w:val="0"/>
                  <w:marRight w:val="0"/>
                  <w:marTop w:val="0"/>
                  <w:marBottom w:val="0"/>
                  <w:divBdr>
                    <w:top w:val="none" w:sz="0" w:space="0" w:color="auto"/>
                    <w:left w:val="none" w:sz="0" w:space="0" w:color="auto"/>
                    <w:bottom w:val="none" w:sz="0" w:space="0" w:color="auto"/>
                    <w:right w:val="none" w:sz="0" w:space="0" w:color="auto"/>
                  </w:divBdr>
                  <w:divsChild>
                    <w:div w:id="118572532">
                      <w:marLeft w:val="0"/>
                      <w:marRight w:val="0"/>
                      <w:marTop w:val="0"/>
                      <w:marBottom w:val="0"/>
                      <w:divBdr>
                        <w:top w:val="none" w:sz="0" w:space="0" w:color="auto"/>
                        <w:left w:val="none" w:sz="0" w:space="0" w:color="auto"/>
                        <w:bottom w:val="none" w:sz="0" w:space="0" w:color="auto"/>
                        <w:right w:val="none" w:sz="0" w:space="0" w:color="auto"/>
                      </w:divBdr>
                      <w:divsChild>
                        <w:div w:id="1410998301">
                          <w:marLeft w:val="0"/>
                          <w:marRight w:val="0"/>
                          <w:marTop w:val="0"/>
                          <w:marBottom w:val="0"/>
                          <w:divBdr>
                            <w:top w:val="none" w:sz="0" w:space="0" w:color="auto"/>
                            <w:left w:val="none" w:sz="0" w:space="0" w:color="auto"/>
                            <w:bottom w:val="none" w:sz="0" w:space="0" w:color="auto"/>
                            <w:right w:val="none" w:sz="0" w:space="0" w:color="auto"/>
                          </w:divBdr>
                          <w:divsChild>
                            <w:div w:id="127864698">
                              <w:marLeft w:val="0"/>
                              <w:marRight w:val="0"/>
                              <w:marTop w:val="0"/>
                              <w:marBottom w:val="0"/>
                              <w:divBdr>
                                <w:top w:val="none" w:sz="0" w:space="0" w:color="auto"/>
                                <w:left w:val="none" w:sz="0" w:space="0" w:color="auto"/>
                                <w:bottom w:val="none" w:sz="0" w:space="0" w:color="auto"/>
                                <w:right w:val="none" w:sz="0" w:space="0" w:color="auto"/>
                              </w:divBdr>
                              <w:divsChild>
                                <w:div w:id="600185478">
                                  <w:marLeft w:val="0"/>
                                  <w:marRight w:val="0"/>
                                  <w:marTop w:val="0"/>
                                  <w:marBottom w:val="0"/>
                                  <w:divBdr>
                                    <w:top w:val="none" w:sz="0" w:space="0" w:color="auto"/>
                                    <w:left w:val="none" w:sz="0" w:space="0" w:color="auto"/>
                                    <w:bottom w:val="none" w:sz="0" w:space="0" w:color="auto"/>
                                    <w:right w:val="none" w:sz="0" w:space="0" w:color="auto"/>
                                  </w:divBdr>
                                  <w:divsChild>
                                    <w:div w:id="277421486">
                                      <w:marLeft w:val="0"/>
                                      <w:marRight w:val="0"/>
                                      <w:marTop w:val="0"/>
                                      <w:marBottom w:val="0"/>
                                      <w:divBdr>
                                        <w:top w:val="none" w:sz="0" w:space="0" w:color="auto"/>
                                        <w:left w:val="none" w:sz="0" w:space="0" w:color="auto"/>
                                        <w:bottom w:val="none" w:sz="0" w:space="0" w:color="auto"/>
                                        <w:right w:val="none" w:sz="0" w:space="0" w:color="auto"/>
                                      </w:divBdr>
                                      <w:divsChild>
                                        <w:div w:id="1162740636">
                                          <w:marLeft w:val="0"/>
                                          <w:marRight w:val="0"/>
                                          <w:marTop w:val="0"/>
                                          <w:marBottom w:val="0"/>
                                          <w:divBdr>
                                            <w:top w:val="none" w:sz="0" w:space="0" w:color="auto"/>
                                            <w:left w:val="none" w:sz="0" w:space="0" w:color="auto"/>
                                            <w:bottom w:val="none" w:sz="0" w:space="0" w:color="auto"/>
                                            <w:right w:val="none" w:sz="0" w:space="0" w:color="auto"/>
                                          </w:divBdr>
                                          <w:divsChild>
                                            <w:div w:id="1950356443">
                                              <w:marLeft w:val="0"/>
                                              <w:marRight w:val="0"/>
                                              <w:marTop w:val="0"/>
                                              <w:marBottom w:val="0"/>
                                              <w:divBdr>
                                                <w:top w:val="none" w:sz="0" w:space="0" w:color="auto"/>
                                                <w:left w:val="none" w:sz="0" w:space="0" w:color="auto"/>
                                                <w:bottom w:val="none" w:sz="0" w:space="0" w:color="auto"/>
                                                <w:right w:val="none" w:sz="0" w:space="0" w:color="auto"/>
                                              </w:divBdr>
                                              <w:divsChild>
                                                <w:div w:id="1159885678">
                                                  <w:marLeft w:val="0"/>
                                                  <w:marRight w:val="0"/>
                                                  <w:marTop w:val="0"/>
                                                  <w:marBottom w:val="0"/>
                                                  <w:divBdr>
                                                    <w:top w:val="none" w:sz="0" w:space="0" w:color="auto"/>
                                                    <w:left w:val="none" w:sz="0" w:space="0" w:color="auto"/>
                                                    <w:bottom w:val="none" w:sz="0" w:space="0" w:color="auto"/>
                                                    <w:right w:val="none" w:sz="0" w:space="0" w:color="auto"/>
                                                  </w:divBdr>
                                                  <w:divsChild>
                                                    <w:div w:id="1139104953">
                                                      <w:marLeft w:val="0"/>
                                                      <w:marRight w:val="0"/>
                                                      <w:marTop w:val="0"/>
                                                      <w:marBottom w:val="0"/>
                                                      <w:divBdr>
                                                        <w:top w:val="none" w:sz="0" w:space="0" w:color="auto"/>
                                                        <w:left w:val="none" w:sz="0" w:space="0" w:color="auto"/>
                                                        <w:bottom w:val="none" w:sz="0" w:space="0" w:color="auto"/>
                                                        <w:right w:val="none" w:sz="0" w:space="0" w:color="auto"/>
                                                      </w:divBdr>
                                                      <w:divsChild>
                                                        <w:div w:id="181871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16351021">
      <w:bodyDiv w:val="1"/>
      <w:marLeft w:val="0"/>
      <w:marRight w:val="0"/>
      <w:marTop w:val="0"/>
      <w:marBottom w:val="0"/>
      <w:divBdr>
        <w:top w:val="none" w:sz="0" w:space="0" w:color="auto"/>
        <w:left w:val="none" w:sz="0" w:space="0" w:color="auto"/>
        <w:bottom w:val="none" w:sz="0" w:space="0" w:color="auto"/>
        <w:right w:val="none" w:sz="0" w:space="0" w:color="auto"/>
      </w:divBdr>
      <w:divsChild>
        <w:div w:id="518159372">
          <w:marLeft w:val="0"/>
          <w:marRight w:val="0"/>
          <w:marTop w:val="0"/>
          <w:marBottom w:val="0"/>
          <w:divBdr>
            <w:top w:val="none" w:sz="0" w:space="0" w:color="auto"/>
            <w:left w:val="none" w:sz="0" w:space="0" w:color="auto"/>
            <w:bottom w:val="none" w:sz="0" w:space="0" w:color="auto"/>
            <w:right w:val="none" w:sz="0" w:space="0" w:color="auto"/>
          </w:divBdr>
          <w:divsChild>
            <w:div w:id="328675539">
              <w:marLeft w:val="0"/>
              <w:marRight w:val="0"/>
              <w:marTop w:val="0"/>
              <w:marBottom w:val="0"/>
              <w:divBdr>
                <w:top w:val="none" w:sz="0" w:space="0" w:color="auto"/>
                <w:left w:val="none" w:sz="0" w:space="0" w:color="auto"/>
                <w:bottom w:val="none" w:sz="0" w:space="0" w:color="auto"/>
                <w:right w:val="none" w:sz="0" w:space="0" w:color="auto"/>
              </w:divBdr>
              <w:divsChild>
                <w:div w:id="46613889">
                  <w:marLeft w:val="0"/>
                  <w:marRight w:val="0"/>
                  <w:marTop w:val="0"/>
                  <w:marBottom w:val="0"/>
                  <w:divBdr>
                    <w:top w:val="none" w:sz="0" w:space="0" w:color="auto"/>
                    <w:left w:val="none" w:sz="0" w:space="0" w:color="auto"/>
                    <w:bottom w:val="none" w:sz="0" w:space="0" w:color="auto"/>
                    <w:right w:val="none" w:sz="0" w:space="0" w:color="auto"/>
                  </w:divBdr>
                  <w:divsChild>
                    <w:div w:id="1397121995">
                      <w:marLeft w:val="0"/>
                      <w:marRight w:val="0"/>
                      <w:marTop w:val="0"/>
                      <w:marBottom w:val="0"/>
                      <w:divBdr>
                        <w:top w:val="none" w:sz="0" w:space="0" w:color="auto"/>
                        <w:left w:val="none" w:sz="0" w:space="0" w:color="auto"/>
                        <w:bottom w:val="none" w:sz="0" w:space="0" w:color="auto"/>
                        <w:right w:val="none" w:sz="0" w:space="0" w:color="auto"/>
                      </w:divBdr>
                      <w:divsChild>
                        <w:div w:id="1716736415">
                          <w:marLeft w:val="0"/>
                          <w:marRight w:val="0"/>
                          <w:marTop w:val="0"/>
                          <w:marBottom w:val="0"/>
                          <w:divBdr>
                            <w:top w:val="none" w:sz="0" w:space="0" w:color="auto"/>
                            <w:left w:val="none" w:sz="0" w:space="0" w:color="auto"/>
                            <w:bottom w:val="none" w:sz="0" w:space="0" w:color="auto"/>
                            <w:right w:val="none" w:sz="0" w:space="0" w:color="auto"/>
                          </w:divBdr>
                          <w:divsChild>
                            <w:div w:id="74792650">
                              <w:marLeft w:val="0"/>
                              <w:marRight w:val="0"/>
                              <w:marTop w:val="0"/>
                              <w:marBottom w:val="0"/>
                              <w:divBdr>
                                <w:top w:val="none" w:sz="0" w:space="0" w:color="auto"/>
                                <w:left w:val="none" w:sz="0" w:space="0" w:color="auto"/>
                                <w:bottom w:val="none" w:sz="0" w:space="0" w:color="auto"/>
                                <w:right w:val="none" w:sz="0" w:space="0" w:color="auto"/>
                              </w:divBdr>
                              <w:divsChild>
                                <w:div w:id="113837510">
                                  <w:marLeft w:val="0"/>
                                  <w:marRight w:val="0"/>
                                  <w:marTop w:val="0"/>
                                  <w:marBottom w:val="0"/>
                                  <w:divBdr>
                                    <w:top w:val="none" w:sz="0" w:space="0" w:color="auto"/>
                                    <w:left w:val="none" w:sz="0" w:space="0" w:color="auto"/>
                                    <w:bottom w:val="none" w:sz="0" w:space="0" w:color="auto"/>
                                    <w:right w:val="none" w:sz="0" w:space="0" w:color="auto"/>
                                  </w:divBdr>
                                  <w:divsChild>
                                    <w:div w:id="1789664148">
                                      <w:marLeft w:val="0"/>
                                      <w:marRight w:val="0"/>
                                      <w:marTop w:val="0"/>
                                      <w:marBottom w:val="0"/>
                                      <w:divBdr>
                                        <w:top w:val="none" w:sz="0" w:space="0" w:color="auto"/>
                                        <w:left w:val="none" w:sz="0" w:space="0" w:color="auto"/>
                                        <w:bottom w:val="none" w:sz="0" w:space="0" w:color="auto"/>
                                        <w:right w:val="none" w:sz="0" w:space="0" w:color="auto"/>
                                      </w:divBdr>
                                      <w:divsChild>
                                        <w:div w:id="1387949013">
                                          <w:marLeft w:val="0"/>
                                          <w:marRight w:val="0"/>
                                          <w:marTop w:val="0"/>
                                          <w:marBottom w:val="0"/>
                                          <w:divBdr>
                                            <w:top w:val="none" w:sz="0" w:space="0" w:color="auto"/>
                                            <w:left w:val="none" w:sz="0" w:space="0" w:color="auto"/>
                                            <w:bottom w:val="none" w:sz="0" w:space="0" w:color="auto"/>
                                            <w:right w:val="none" w:sz="0" w:space="0" w:color="auto"/>
                                          </w:divBdr>
                                          <w:divsChild>
                                            <w:div w:id="1807624547">
                                              <w:marLeft w:val="0"/>
                                              <w:marRight w:val="0"/>
                                              <w:marTop w:val="0"/>
                                              <w:marBottom w:val="0"/>
                                              <w:divBdr>
                                                <w:top w:val="none" w:sz="0" w:space="0" w:color="auto"/>
                                                <w:left w:val="none" w:sz="0" w:space="0" w:color="auto"/>
                                                <w:bottom w:val="none" w:sz="0" w:space="0" w:color="auto"/>
                                                <w:right w:val="none" w:sz="0" w:space="0" w:color="auto"/>
                                              </w:divBdr>
                                              <w:divsChild>
                                                <w:div w:id="1171679299">
                                                  <w:marLeft w:val="0"/>
                                                  <w:marRight w:val="0"/>
                                                  <w:marTop w:val="0"/>
                                                  <w:marBottom w:val="0"/>
                                                  <w:divBdr>
                                                    <w:top w:val="none" w:sz="0" w:space="0" w:color="auto"/>
                                                    <w:left w:val="none" w:sz="0" w:space="0" w:color="auto"/>
                                                    <w:bottom w:val="none" w:sz="0" w:space="0" w:color="auto"/>
                                                    <w:right w:val="none" w:sz="0" w:space="0" w:color="auto"/>
                                                  </w:divBdr>
                                                  <w:divsChild>
                                                    <w:div w:id="886065045">
                                                      <w:marLeft w:val="0"/>
                                                      <w:marRight w:val="0"/>
                                                      <w:marTop w:val="0"/>
                                                      <w:marBottom w:val="0"/>
                                                      <w:divBdr>
                                                        <w:top w:val="none" w:sz="0" w:space="0" w:color="auto"/>
                                                        <w:left w:val="none" w:sz="0" w:space="0" w:color="auto"/>
                                                        <w:bottom w:val="none" w:sz="0" w:space="0" w:color="auto"/>
                                                        <w:right w:val="none" w:sz="0" w:space="0" w:color="auto"/>
                                                      </w:divBdr>
                                                      <w:divsChild>
                                                        <w:div w:id="16080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93629879">
      <w:bodyDiv w:val="1"/>
      <w:marLeft w:val="0"/>
      <w:marRight w:val="0"/>
      <w:marTop w:val="0"/>
      <w:marBottom w:val="0"/>
      <w:divBdr>
        <w:top w:val="none" w:sz="0" w:space="0" w:color="auto"/>
        <w:left w:val="none" w:sz="0" w:space="0" w:color="auto"/>
        <w:bottom w:val="none" w:sz="0" w:space="0" w:color="auto"/>
        <w:right w:val="none" w:sz="0" w:space="0" w:color="auto"/>
      </w:divBdr>
      <w:divsChild>
        <w:div w:id="332758156">
          <w:marLeft w:val="0"/>
          <w:marRight w:val="0"/>
          <w:marTop w:val="0"/>
          <w:marBottom w:val="0"/>
          <w:divBdr>
            <w:top w:val="none" w:sz="0" w:space="0" w:color="auto"/>
            <w:left w:val="none" w:sz="0" w:space="0" w:color="auto"/>
            <w:bottom w:val="none" w:sz="0" w:space="0" w:color="auto"/>
            <w:right w:val="none" w:sz="0" w:space="0" w:color="auto"/>
          </w:divBdr>
          <w:divsChild>
            <w:div w:id="756948454">
              <w:marLeft w:val="0"/>
              <w:marRight w:val="0"/>
              <w:marTop w:val="0"/>
              <w:marBottom w:val="0"/>
              <w:divBdr>
                <w:top w:val="none" w:sz="0" w:space="0" w:color="auto"/>
                <w:left w:val="none" w:sz="0" w:space="0" w:color="auto"/>
                <w:bottom w:val="none" w:sz="0" w:space="0" w:color="auto"/>
                <w:right w:val="none" w:sz="0" w:space="0" w:color="auto"/>
              </w:divBdr>
              <w:divsChild>
                <w:div w:id="1154101089">
                  <w:marLeft w:val="0"/>
                  <w:marRight w:val="0"/>
                  <w:marTop w:val="0"/>
                  <w:marBottom w:val="0"/>
                  <w:divBdr>
                    <w:top w:val="none" w:sz="0" w:space="0" w:color="auto"/>
                    <w:left w:val="none" w:sz="0" w:space="0" w:color="auto"/>
                    <w:bottom w:val="none" w:sz="0" w:space="0" w:color="auto"/>
                    <w:right w:val="none" w:sz="0" w:space="0" w:color="auto"/>
                  </w:divBdr>
                  <w:divsChild>
                    <w:div w:id="510067484">
                      <w:marLeft w:val="0"/>
                      <w:marRight w:val="0"/>
                      <w:marTop w:val="0"/>
                      <w:marBottom w:val="0"/>
                      <w:divBdr>
                        <w:top w:val="none" w:sz="0" w:space="0" w:color="auto"/>
                        <w:left w:val="none" w:sz="0" w:space="0" w:color="auto"/>
                        <w:bottom w:val="none" w:sz="0" w:space="0" w:color="auto"/>
                        <w:right w:val="none" w:sz="0" w:space="0" w:color="auto"/>
                      </w:divBdr>
                      <w:divsChild>
                        <w:div w:id="943535485">
                          <w:marLeft w:val="0"/>
                          <w:marRight w:val="0"/>
                          <w:marTop w:val="0"/>
                          <w:marBottom w:val="0"/>
                          <w:divBdr>
                            <w:top w:val="none" w:sz="0" w:space="0" w:color="auto"/>
                            <w:left w:val="none" w:sz="0" w:space="0" w:color="auto"/>
                            <w:bottom w:val="none" w:sz="0" w:space="0" w:color="auto"/>
                            <w:right w:val="none" w:sz="0" w:space="0" w:color="auto"/>
                          </w:divBdr>
                          <w:divsChild>
                            <w:div w:id="886071304">
                              <w:marLeft w:val="0"/>
                              <w:marRight w:val="0"/>
                              <w:marTop w:val="0"/>
                              <w:marBottom w:val="0"/>
                              <w:divBdr>
                                <w:top w:val="none" w:sz="0" w:space="0" w:color="auto"/>
                                <w:left w:val="none" w:sz="0" w:space="0" w:color="auto"/>
                                <w:bottom w:val="none" w:sz="0" w:space="0" w:color="auto"/>
                                <w:right w:val="none" w:sz="0" w:space="0" w:color="auto"/>
                              </w:divBdr>
                              <w:divsChild>
                                <w:div w:id="1663120539">
                                  <w:marLeft w:val="0"/>
                                  <w:marRight w:val="0"/>
                                  <w:marTop w:val="0"/>
                                  <w:marBottom w:val="0"/>
                                  <w:divBdr>
                                    <w:top w:val="none" w:sz="0" w:space="0" w:color="auto"/>
                                    <w:left w:val="none" w:sz="0" w:space="0" w:color="auto"/>
                                    <w:bottom w:val="none" w:sz="0" w:space="0" w:color="auto"/>
                                    <w:right w:val="none" w:sz="0" w:space="0" w:color="auto"/>
                                  </w:divBdr>
                                  <w:divsChild>
                                    <w:div w:id="1228418214">
                                      <w:marLeft w:val="0"/>
                                      <w:marRight w:val="0"/>
                                      <w:marTop w:val="0"/>
                                      <w:marBottom w:val="0"/>
                                      <w:divBdr>
                                        <w:top w:val="none" w:sz="0" w:space="0" w:color="auto"/>
                                        <w:left w:val="none" w:sz="0" w:space="0" w:color="auto"/>
                                        <w:bottom w:val="none" w:sz="0" w:space="0" w:color="auto"/>
                                        <w:right w:val="none" w:sz="0" w:space="0" w:color="auto"/>
                                      </w:divBdr>
                                      <w:divsChild>
                                        <w:div w:id="2107724734">
                                          <w:marLeft w:val="0"/>
                                          <w:marRight w:val="0"/>
                                          <w:marTop w:val="0"/>
                                          <w:marBottom w:val="0"/>
                                          <w:divBdr>
                                            <w:top w:val="none" w:sz="0" w:space="0" w:color="auto"/>
                                            <w:left w:val="none" w:sz="0" w:space="0" w:color="auto"/>
                                            <w:bottom w:val="none" w:sz="0" w:space="0" w:color="auto"/>
                                            <w:right w:val="none" w:sz="0" w:space="0" w:color="auto"/>
                                          </w:divBdr>
                                          <w:divsChild>
                                            <w:div w:id="809633258">
                                              <w:marLeft w:val="0"/>
                                              <w:marRight w:val="0"/>
                                              <w:marTop w:val="0"/>
                                              <w:marBottom w:val="0"/>
                                              <w:divBdr>
                                                <w:top w:val="none" w:sz="0" w:space="0" w:color="auto"/>
                                                <w:left w:val="none" w:sz="0" w:space="0" w:color="auto"/>
                                                <w:bottom w:val="none" w:sz="0" w:space="0" w:color="auto"/>
                                                <w:right w:val="none" w:sz="0" w:space="0" w:color="auto"/>
                                              </w:divBdr>
                                              <w:divsChild>
                                                <w:div w:id="252007398">
                                                  <w:marLeft w:val="0"/>
                                                  <w:marRight w:val="0"/>
                                                  <w:marTop w:val="0"/>
                                                  <w:marBottom w:val="0"/>
                                                  <w:divBdr>
                                                    <w:top w:val="none" w:sz="0" w:space="0" w:color="auto"/>
                                                    <w:left w:val="none" w:sz="0" w:space="0" w:color="auto"/>
                                                    <w:bottom w:val="none" w:sz="0" w:space="0" w:color="auto"/>
                                                    <w:right w:val="none" w:sz="0" w:space="0" w:color="auto"/>
                                                  </w:divBdr>
                                                  <w:divsChild>
                                                    <w:div w:id="179643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9235221">
      <w:bodyDiv w:val="1"/>
      <w:marLeft w:val="0"/>
      <w:marRight w:val="0"/>
      <w:marTop w:val="0"/>
      <w:marBottom w:val="0"/>
      <w:divBdr>
        <w:top w:val="none" w:sz="0" w:space="0" w:color="auto"/>
        <w:left w:val="none" w:sz="0" w:space="0" w:color="auto"/>
        <w:bottom w:val="none" w:sz="0" w:space="0" w:color="auto"/>
        <w:right w:val="none" w:sz="0" w:space="0" w:color="auto"/>
      </w:divBdr>
    </w:div>
    <w:div w:id="761530297">
      <w:bodyDiv w:val="1"/>
      <w:marLeft w:val="0"/>
      <w:marRight w:val="0"/>
      <w:marTop w:val="0"/>
      <w:marBottom w:val="0"/>
      <w:divBdr>
        <w:top w:val="none" w:sz="0" w:space="0" w:color="auto"/>
        <w:left w:val="none" w:sz="0" w:space="0" w:color="auto"/>
        <w:bottom w:val="none" w:sz="0" w:space="0" w:color="auto"/>
        <w:right w:val="none" w:sz="0" w:space="0" w:color="auto"/>
      </w:divBdr>
    </w:div>
    <w:div w:id="1273830069">
      <w:bodyDiv w:val="1"/>
      <w:marLeft w:val="0"/>
      <w:marRight w:val="0"/>
      <w:marTop w:val="0"/>
      <w:marBottom w:val="0"/>
      <w:divBdr>
        <w:top w:val="none" w:sz="0" w:space="0" w:color="auto"/>
        <w:left w:val="none" w:sz="0" w:space="0" w:color="auto"/>
        <w:bottom w:val="none" w:sz="0" w:space="0" w:color="auto"/>
        <w:right w:val="none" w:sz="0" w:space="0" w:color="auto"/>
      </w:divBdr>
      <w:divsChild>
        <w:div w:id="169563034">
          <w:marLeft w:val="0"/>
          <w:marRight w:val="0"/>
          <w:marTop w:val="0"/>
          <w:marBottom w:val="0"/>
          <w:divBdr>
            <w:top w:val="none" w:sz="0" w:space="0" w:color="auto"/>
            <w:left w:val="none" w:sz="0" w:space="0" w:color="auto"/>
            <w:bottom w:val="none" w:sz="0" w:space="0" w:color="auto"/>
            <w:right w:val="none" w:sz="0" w:space="0" w:color="auto"/>
          </w:divBdr>
          <w:divsChild>
            <w:div w:id="1639530481">
              <w:marLeft w:val="0"/>
              <w:marRight w:val="0"/>
              <w:marTop w:val="0"/>
              <w:marBottom w:val="0"/>
              <w:divBdr>
                <w:top w:val="none" w:sz="0" w:space="0" w:color="auto"/>
                <w:left w:val="none" w:sz="0" w:space="0" w:color="auto"/>
                <w:bottom w:val="none" w:sz="0" w:space="0" w:color="auto"/>
                <w:right w:val="none" w:sz="0" w:space="0" w:color="auto"/>
              </w:divBdr>
              <w:divsChild>
                <w:div w:id="174615345">
                  <w:marLeft w:val="0"/>
                  <w:marRight w:val="0"/>
                  <w:marTop w:val="0"/>
                  <w:marBottom w:val="0"/>
                  <w:divBdr>
                    <w:top w:val="none" w:sz="0" w:space="0" w:color="auto"/>
                    <w:left w:val="none" w:sz="0" w:space="0" w:color="auto"/>
                    <w:bottom w:val="none" w:sz="0" w:space="0" w:color="auto"/>
                    <w:right w:val="none" w:sz="0" w:space="0" w:color="auto"/>
                  </w:divBdr>
                  <w:divsChild>
                    <w:div w:id="2052726903">
                      <w:marLeft w:val="0"/>
                      <w:marRight w:val="0"/>
                      <w:marTop w:val="0"/>
                      <w:marBottom w:val="0"/>
                      <w:divBdr>
                        <w:top w:val="none" w:sz="0" w:space="0" w:color="auto"/>
                        <w:left w:val="none" w:sz="0" w:space="0" w:color="auto"/>
                        <w:bottom w:val="none" w:sz="0" w:space="0" w:color="auto"/>
                        <w:right w:val="none" w:sz="0" w:space="0" w:color="auto"/>
                      </w:divBdr>
                      <w:divsChild>
                        <w:div w:id="643241949">
                          <w:marLeft w:val="0"/>
                          <w:marRight w:val="0"/>
                          <w:marTop w:val="0"/>
                          <w:marBottom w:val="0"/>
                          <w:divBdr>
                            <w:top w:val="none" w:sz="0" w:space="0" w:color="auto"/>
                            <w:left w:val="none" w:sz="0" w:space="0" w:color="auto"/>
                            <w:bottom w:val="none" w:sz="0" w:space="0" w:color="auto"/>
                            <w:right w:val="none" w:sz="0" w:space="0" w:color="auto"/>
                          </w:divBdr>
                          <w:divsChild>
                            <w:div w:id="1194616063">
                              <w:marLeft w:val="0"/>
                              <w:marRight w:val="0"/>
                              <w:marTop w:val="0"/>
                              <w:marBottom w:val="0"/>
                              <w:divBdr>
                                <w:top w:val="none" w:sz="0" w:space="0" w:color="auto"/>
                                <w:left w:val="none" w:sz="0" w:space="0" w:color="auto"/>
                                <w:bottom w:val="none" w:sz="0" w:space="0" w:color="auto"/>
                                <w:right w:val="none" w:sz="0" w:space="0" w:color="auto"/>
                              </w:divBdr>
                              <w:divsChild>
                                <w:div w:id="1613706212">
                                  <w:marLeft w:val="0"/>
                                  <w:marRight w:val="0"/>
                                  <w:marTop w:val="0"/>
                                  <w:marBottom w:val="0"/>
                                  <w:divBdr>
                                    <w:top w:val="none" w:sz="0" w:space="0" w:color="auto"/>
                                    <w:left w:val="none" w:sz="0" w:space="0" w:color="auto"/>
                                    <w:bottom w:val="none" w:sz="0" w:space="0" w:color="auto"/>
                                    <w:right w:val="none" w:sz="0" w:space="0" w:color="auto"/>
                                  </w:divBdr>
                                  <w:divsChild>
                                    <w:div w:id="1679237745">
                                      <w:marLeft w:val="0"/>
                                      <w:marRight w:val="0"/>
                                      <w:marTop w:val="0"/>
                                      <w:marBottom w:val="0"/>
                                      <w:divBdr>
                                        <w:top w:val="none" w:sz="0" w:space="0" w:color="auto"/>
                                        <w:left w:val="none" w:sz="0" w:space="0" w:color="auto"/>
                                        <w:bottom w:val="none" w:sz="0" w:space="0" w:color="auto"/>
                                        <w:right w:val="none" w:sz="0" w:space="0" w:color="auto"/>
                                      </w:divBdr>
                                      <w:divsChild>
                                        <w:div w:id="640963706">
                                          <w:marLeft w:val="0"/>
                                          <w:marRight w:val="0"/>
                                          <w:marTop w:val="0"/>
                                          <w:marBottom w:val="0"/>
                                          <w:divBdr>
                                            <w:top w:val="none" w:sz="0" w:space="0" w:color="auto"/>
                                            <w:left w:val="none" w:sz="0" w:space="0" w:color="auto"/>
                                            <w:bottom w:val="none" w:sz="0" w:space="0" w:color="auto"/>
                                            <w:right w:val="none" w:sz="0" w:space="0" w:color="auto"/>
                                          </w:divBdr>
                                          <w:divsChild>
                                            <w:div w:id="161163811">
                                              <w:marLeft w:val="0"/>
                                              <w:marRight w:val="0"/>
                                              <w:marTop w:val="0"/>
                                              <w:marBottom w:val="0"/>
                                              <w:divBdr>
                                                <w:top w:val="none" w:sz="0" w:space="0" w:color="auto"/>
                                                <w:left w:val="none" w:sz="0" w:space="0" w:color="auto"/>
                                                <w:bottom w:val="none" w:sz="0" w:space="0" w:color="auto"/>
                                                <w:right w:val="none" w:sz="0" w:space="0" w:color="auto"/>
                                              </w:divBdr>
                                              <w:divsChild>
                                                <w:div w:id="968391652">
                                                  <w:marLeft w:val="0"/>
                                                  <w:marRight w:val="0"/>
                                                  <w:marTop w:val="0"/>
                                                  <w:marBottom w:val="0"/>
                                                  <w:divBdr>
                                                    <w:top w:val="none" w:sz="0" w:space="0" w:color="auto"/>
                                                    <w:left w:val="none" w:sz="0" w:space="0" w:color="auto"/>
                                                    <w:bottom w:val="none" w:sz="0" w:space="0" w:color="auto"/>
                                                    <w:right w:val="none" w:sz="0" w:space="0" w:color="auto"/>
                                                  </w:divBdr>
                                                  <w:divsChild>
                                                    <w:div w:id="1248539690">
                                                      <w:marLeft w:val="0"/>
                                                      <w:marRight w:val="0"/>
                                                      <w:marTop w:val="0"/>
                                                      <w:marBottom w:val="0"/>
                                                      <w:divBdr>
                                                        <w:top w:val="none" w:sz="0" w:space="0" w:color="auto"/>
                                                        <w:left w:val="none" w:sz="0" w:space="0" w:color="auto"/>
                                                        <w:bottom w:val="none" w:sz="0" w:space="0" w:color="auto"/>
                                                        <w:right w:val="none" w:sz="0" w:space="0" w:color="auto"/>
                                                      </w:divBdr>
                                                      <w:divsChild>
                                                        <w:div w:id="144684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7963029">
      <w:bodyDiv w:val="1"/>
      <w:marLeft w:val="0"/>
      <w:marRight w:val="0"/>
      <w:marTop w:val="0"/>
      <w:marBottom w:val="0"/>
      <w:divBdr>
        <w:top w:val="none" w:sz="0" w:space="0" w:color="auto"/>
        <w:left w:val="none" w:sz="0" w:space="0" w:color="auto"/>
        <w:bottom w:val="none" w:sz="0" w:space="0" w:color="auto"/>
        <w:right w:val="none" w:sz="0" w:space="0" w:color="auto"/>
      </w:divBdr>
      <w:divsChild>
        <w:div w:id="594896792">
          <w:marLeft w:val="0"/>
          <w:marRight w:val="0"/>
          <w:marTop w:val="0"/>
          <w:marBottom w:val="0"/>
          <w:divBdr>
            <w:top w:val="none" w:sz="0" w:space="0" w:color="auto"/>
            <w:left w:val="none" w:sz="0" w:space="0" w:color="auto"/>
            <w:bottom w:val="none" w:sz="0" w:space="0" w:color="auto"/>
            <w:right w:val="none" w:sz="0" w:space="0" w:color="auto"/>
          </w:divBdr>
          <w:divsChild>
            <w:div w:id="1005474656">
              <w:marLeft w:val="0"/>
              <w:marRight w:val="0"/>
              <w:marTop w:val="0"/>
              <w:marBottom w:val="0"/>
              <w:divBdr>
                <w:top w:val="none" w:sz="0" w:space="0" w:color="auto"/>
                <w:left w:val="none" w:sz="0" w:space="0" w:color="auto"/>
                <w:bottom w:val="none" w:sz="0" w:space="0" w:color="auto"/>
                <w:right w:val="none" w:sz="0" w:space="0" w:color="auto"/>
              </w:divBdr>
              <w:divsChild>
                <w:div w:id="871189577">
                  <w:marLeft w:val="0"/>
                  <w:marRight w:val="0"/>
                  <w:marTop w:val="0"/>
                  <w:marBottom w:val="0"/>
                  <w:divBdr>
                    <w:top w:val="none" w:sz="0" w:space="0" w:color="auto"/>
                    <w:left w:val="none" w:sz="0" w:space="0" w:color="auto"/>
                    <w:bottom w:val="none" w:sz="0" w:space="0" w:color="auto"/>
                    <w:right w:val="none" w:sz="0" w:space="0" w:color="auto"/>
                  </w:divBdr>
                  <w:divsChild>
                    <w:div w:id="1207182934">
                      <w:marLeft w:val="0"/>
                      <w:marRight w:val="0"/>
                      <w:marTop w:val="0"/>
                      <w:marBottom w:val="0"/>
                      <w:divBdr>
                        <w:top w:val="none" w:sz="0" w:space="0" w:color="auto"/>
                        <w:left w:val="none" w:sz="0" w:space="0" w:color="auto"/>
                        <w:bottom w:val="none" w:sz="0" w:space="0" w:color="auto"/>
                        <w:right w:val="none" w:sz="0" w:space="0" w:color="auto"/>
                      </w:divBdr>
                      <w:divsChild>
                        <w:div w:id="668144189">
                          <w:marLeft w:val="0"/>
                          <w:marRight w:val="0"/>
                          <w:marTop w:val="0"/>
                          <w:marBottom w:val="0"/>
                          <w:divBdr>
                            <w:top w:val="none" w:sz="0" w:space="0" w:color="auto"/>
                            <w:left w:val="none" w:sz="0" w:space="0" w:color="auto"/>
                            <w:bottom w:val="none" w:sz="0" w:space="0" w:color="auto"/>
                            <w:right w:val="none" w:sz="0" w:space="0" w:color="auto"/>
                          </w:divBdr>
                          <w:divsChild>
                            <w:div w:id="603004818">
                              <w:marLeft w:val="0"/>
                              <w:marRight w:val="0"/>
                              <w:marTop w:val="0"/>
                              <w:marBottom w:val="0"/>
                              <w:divBdr>
                                <w:top w:val="none" w:sz="0" w:space="0" w:color="auto"/>
                                <w:left w:val="none" w:sz="0" w:space="0" w:color="auto"/>
                                <w:bottom w:val="none" w:sz="0" w:space="0" w:color="auto"/>
                                <w:right w:val="none" w:sz="0" w:space="0" w:color="auto"/>
                              </w:divBdr>
                              <w:divsChild>
                                <w:div w:id="1771004862">
                                  <w:marLeft w:val="0"/>
                                  <w:marRight w:val="0"/>
                                  <w:marTop w:val="0"/>
                                  <w:marBottom w:val="0"/>
                                  <w:divBdr>
                                    <w:top w:val="none" w:sz="0" w:space="0" w:color="auto"/>
                                    <w:left w:val="none" w:sz="0" w:space="0" w:color="auto"/>
                                    <w:bottom w:val="none" w:sz="0" w:space="0" w:color="auto"/>
                                    <w:right w:val="none" w:sz="0" w:space="0" w:color="auto"/>
                                  </w:divBdr>
                                  <w:divsChild>
                                    <w:div w:id="1536846218">
                                      <w:marLeft w:val="0"/>
                                      <w:marRight w:val="0"/>
                                      <w:marTop w:val="0"/>
                                      <w:marBottom w:val="0"/>
                                      <w:divBdr>
                                        <w:top w:val="none" w:sz="0" w:space="0" w:color="auto"/>
                                        <w:left w:val="none" w:sz="0" w:space="0" w:color="auto"/>
                                        <w:bottom w:val="none" w:sz="0" w:space="0" w:color="auto"/>
                                        <w:right w:val="none" w:sz="0" w:space="0" w:color="auto"/>
                                      </w:divBdr>
                                      <w:divsChild>
                                        <w:div w:id="1726176288">
                                          <w:marLeft w:val="0"/>
                                          <w:marRight w:val="0"/>
                                          <w:marTop w:val="0"/>
                                          <w:marBottom w:val="0"/>
                                          <w:divBdr>
                                            <w:top w:val="none" w:sz="0" w:space="0" w:color="auto"/>
                                            <w:left w:val="none" w:sz="0" w:space="0" w:color="auto"/>
                                            <w:bottom w:val="none" w:sz="0" w:space="0" w:color="auto"/>
                                            <w:right w:val="none" w:sz="0" w:space="0" w:color="auto"/>
                                          </w:divBdr>
                                          <w:divsChild>
                                            <w:div w:id="313872859">
                                              <w:marLeft w:val="0"/>
                                              <w:marRight w:val="0"/>
                                              <w:marTop w:val="0"/>
                                              <w:marBottom w:val="0"/>
                                              <w:divBdr>
                                                <w:top w:val="none" w:sz="0" w:space="0" w:color="auto"/>
                                                <w:left w:val="none" w:sz="0" w:space="0" w:color="auto"/>
                                                <w:bottom w:val="none" w:sz="0" w:space="0" w:color="auto"/>
                                                <w:right w:val="none" w:sz="0" w:space="0" w:color="auto"/>
                                              </w:divBdr>
                                              <w:divsChild>
                                                <w:div w:id="1279802503">
                                                  <w:marLeft w:val="0"/>
                                                  <w:marRight w:val="0"/>
                                                  <w:marTop w:val="0"/>
                                                  <w:marBottom w:val="0"/>
                                                  <w:divBdr>
                                                    <w:top w:val="none" w:sz="0" w:space="0" w:color="auto"/>
                                                    <w:left w:val="none" w:sz="0" w:space="0" w:color="auto"/>
                                                    <w:bottom w:val="none" w:sz="0" w:space="0" w:color="auto"/>
                                                    <w:right w:val="none" w:sz="0" w:space="0" w:color="auto"/>
                                                  </w:divBdr>
                                                  <w:divsChild>
                                                    <w:div w:id="776098293">
                                                      <w:marLeft w:val="0"/>
                                                      <w:marRight w:val="0"/>
                                                      <w:marTop w:val="0"/>
                                                      <w:marBottom w:val="0"/>
                                                      <w:divBdr>
                                                        <w:top w:val="none" w:sz="0" w:space="0" w:color="auto"/>
                                                        <w:left w:val="none" w:sz="0" w:space="0" w:color="auto"/>
                                                        <w:bottom w:val="none" w:sz="0" w:space="0" w:color="auto"/>
                                                        <w:right w:val="none" w:sz="0" w:space="0" w:color="auto"/>
                                                      </w:divBdr>
                                                      <w:divsChild>
                                                        <w:div w:id="105349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78264771">
      <w:bodyDiv w:val="1"/>
      <w:marLeft w:val="0"/>
      <w:marRight w:val="0"/>
      <w:marTop w:val="0"/>
      <w:marBottom w:val="0"/>
      <w:divBdr>
        <w:top w:val="none" w:sz="0" w:space="0" w:color="auto"/>
        <w:left w:val="none" w:sz="0" w:space="0" w:color="auto"/>
        <w:bottom w:val="none" w:sz="0" w:space="0" w:color="auto"/>
        <w:right w:val="none" w:sz="0" w:space="0" w:color="auto"/>
      </w:divBdr>
    </w:div>
    <w:div w:id="190043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DE4227475CF66418850FA554BEBCD68" ma:contentTypeVersion="1" ma:contentTypeDescription="Create a new document." ma:contentTypeScope="" ma:versionID="0adf74c48940024d5bd337bc48e41451">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12B17-8C79-45B9-B87C-94C17D5D392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336FDBC-4327-45D3-8766-78288CEB1216}">
  <ds:schemaRefs>
    <ds:schemaRef ds:uri="http://schemas.microsoft.com/sharepoint/v3/contenttype/forms"/>
  </ds:schemaRefs>
</ds:datastoreItem>
</file>

<file path=customXml/itemProps3.xml><?xml version="1.0" encoding="utf-8"?>
<ds:datastoreItem xmlns:ds="http://schemas.openxmlformats.org/officeDocument/2006/customXml" ds:itemID="{17A9B761-48E4-43AD-B707-166428961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1E9EDD-DF79-4133-BC70-EA773D633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836</Words>
  <Characters>5465</Characters>
  <Application>Microsoft Office Word</Application>
  <DocSecurity>0</DocSecurity>
  <Lines>195</Lines>
  <Paragraphs>40</Paragraphs>
  <ScaleCrop>false</ScaleCrop>
  <HeadingPairs>
    <vt:vector size="2" baseType="variant">
      <vt:variant>
        <vt:lpstr>Title</vt:lpstr>
      </vt:variant>
      <vt:variant>
        <vt:i4>1</vt:i4>
      </vt:variant>
    </vt:vector>
  </HeadingPairs>
  <TitlesOfParts>
    <vt:vector size="1" baseType="lpstr">
      <vt:lpstr>GOVSEC - 05 - Security Reporting</vt:lpstr>
    </vt:vector>
  </TitlesOfParts>
  <LinksUpToDate>false</LinksUpToDate>
  <CharactersWithSpaces>6261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PSPF Maturity Self-Assessment Model - Personnel security</dc:title>
  <dc:subject/>
  <dc:creator/>
  <cp:keywords/>
  <cp:lastModifiedBy/>
  <cp:revision>1</cp:revision>
  <dcterms:created xsi:type="dcterms:W3CDTF">2020-05-28T02:50:00Z</dcterms:created>
  <dcterms:modified xsi:type="dcterms:W3CDTF">2020-06-16T05:06:00Z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0x010100ADE4227475CF66418850FA554BEBCD68</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