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dTable2-Accent5"/>
        <w:tblW w:w="0" w:type="auto"/>
        <w:tblLook w:val="04A0" w:firstRow="1" w:lastRow="0" w:firstColumn="1" w:lastColumn="0" w:noHBand="0" w:noVBand="1"/>
        <w:tblCaption w:val="PSPF maturity self-assessment model indicators and protection"/>
        <w:tblDescription w:val="Table 1 sets out the four maturity level indicators and protections for reporting entities to assess their PSPF maturity. The maturity level indicators link to an entity’s level of PSPF implementation and security performance within its risk environment.&#10;&#10;1. Ad hoc&#10;Maturity level description:&#10;Partial: Some PSPF core and supporting requirements are implemented although are not well understood across the entity. Security outcomes are not being achieved in some areas.&#10;Maturity level indicators:&#10;Entity implementation and basic management of the PSPF core and supporting requirements is inconsistent and ad hoc.&#10;Maturity level protection:&#10;This category provides partial protection of the entity’s people, information and assets; potentially exposing the government to unmitigated security risks.&#10;&#10;2. Developing&#10;Maturity level description:&#10;Substantial: The majority of PSPF core and supporting requirements are implemented, broadly managed and understood across the entity. Entity is largely meeting security outcomes.&#10;Maturity level indicators:&#10;Entity has implemented and managed the majority of the PSPF core and supporting requirements but not effectively. There is an established and documented pathway for remaining requirements to be implemented.&#10;Maturity level protection:&#10;This category provides substantial protection of the entity’s people, information and assets; potentially exposing the government to security risks.&#10;&#10;3. Managing&#10;Maturity level description:&#10;Full: All PSPF core and supporting requirements are implemented, integrated into business practices and effectively disseminated across the entity. Entity meets security outcomes.&#10;Maturity level indicators:&#10;Entity has effectively implemented and is managing all PSPF core and supporting requirements. Security is considered part of the entity’s business practices.&#10;Maturity level protection:&#10;This category provides the minimum required protection of the entity’s people, information and assets, consistent with policy requirements.&#10;&#10;4. Embedded&#10;Maturity level description:&#10;Excelled: All PSPF core and supporting requirements are implemented, effectively integrated and exceeding security outcomes. Entity’s implementation of better-practice guidance drives high performance.&#10;Maturity level indicators:&#10;Entity has fully and effectively implemented all PSPF core and supporting requirements and integrated them into the entity’s business. Security is proactively managed in response to the risk environment and better practice informs the entity’s business and security decisions.&#10;Maturity level protection:&#10;This category provides comprehensive protection of the entity’s people, information and assets.&#10;"/>
      </w:tblPr>
      <w:tblGrid>
        <w:gridCol w:w="1195"/>
        <w:gridCol w:w="2279"/>
        <w:gridCol w:w="2383"/>
        <w:gridCol w:w="2370"/>
        <w:gridCol w:w="2455"/>
      </w:tblGrid>
      <w:tr w:rsidR="00F732A5" w:rsidTr="000A7CE0">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1195" w:type="dxa"/>
          </w:tcPr>
          <w:p w:rsidR="00F732A5" w:rsidRPr="00C166C3" w:rsidRDefault="00F732A5" w:rsidP="00D91914">
            <w:pPr>
              <w:keepNext/>
              <w:rPr>
                <w:rStyle w:val="Strong"/>
                <w:b/>
              </w:rPr>
            </w:pPr>
            <w:bookmarkStart w:id="0" w:name="_GoBack"/>
            <w:bookmarkEnd w:id="0"/>
            <w:r>
              <w:rPr>
                <w:rStyle w:val="Strong"/>
              </w:rPr>
              <w:t xml:space="preserve">Maturity level </w:t>
            </w:r>
          </w:p>
        </w:tc>
        <w:tc>
          <w:tcPr>
            <w:tcW w:w="2279" w:type="dxa"/>
          </w:tcPr>
          <w:p w:rsidR="00F732A5" w:rsidRPr="0084741E" w:rsidRDefault="00F732A5" w:rsidP="00D91914">
            <w:pPr>
              <w:pStyle w:val="Tablebody"/>
              <w:jc w:val="center"/>
              <w:cnfStyle w:val="100000000000" w:firstRow="1" w:lastRow="0" w:firstColumn="0" w:lastColumn="0" w:oddVBand="0" w:evenVBand="0" w:oddHBand="0" w:evenHBand="0" w:firstRowFirstColumn="0" w:firstRowLastColumn="0" w:lastRowFirstColumn="0" w:lastRowLastColumn="0"/>
              <w:rPr>
                <w:rStyle w:val="Strong"/>
                <w:b/>
              </w:rPr>
            </w:pPr>
            <w:r w:rsidRPr="0084741E">
              <w:rPr>
                <w:rStyle w:val="Strong"/>
              </w:rPr>
              <w:t>Ad hoc</w:t>
            </w:r>
          </w:p>
          <w:p w:rsidR="00F732A5" w:rsidRPr="00C166C3" w:rsidRDefault="00F732A5" w:rsidP="00D91914">
            <w:pPr>
              <w:pStyle w:val="Tablebody"/>
              <w:jc w:val="center"/>
              <w:cnfStyle w:val="100000000000" w:firstRow="1" w:lastRow="0" w:firstColumn="0" w:lastColumn="0" w:oddVBand="0" w:evenVBand="0" w:oddHBand="0" w:evenHBand="0" w:firstRowFirstColumn="0" w:firstRowLastColumn="0" w:lastRowFirstColumn="0" w:lastRowLastColumn="0"/>
              <w:rPr>
                <w:rStyle w:val="Strong"/>
                <w:b/>
              </w:rPr>
            </w:pPr>
            <w:r w:rsidRPr="0052788F">
              <w:rPr>
                <w:rStyle w:val="Strong"/>
                <w:noProof/>
                <w:sz w:val="22"/>
                <w:lang w:eastAsia="en-AU"/>
              </w:rPr>
              <mc:AlternateContent>
                <mc:Choice Requires="wpg">
                  <w:drawing>
                    <wp:inline distT="0" distB="0" distL="0" distR="0" wp14:anchorId="6FDB19E9" wp14:editId="437DEEEA">
                      <wp:extent cx="216024" cy="216024"/>
                      <wp:effectExtent l="0" t="0" r="12700" b="12700"/>
                      <wp:docPr id="3" name="Group 9" descr="Decorative"/>
                      <wp:cNvGraphicFramePr/>
                      <a:graphic xmlns:a="http://schemas.openxmlformats.org/drawingml/2006/main">
                        <a:graphicData uri="http://schemas.microsoft.com/office/word/2010/wordprocessingGroup">
                          <wpg:wgp>
                            <wpg:cNvGrpSpPr/>
                            <wpg:grpSpPr>
                              <a:xfrm>
                                <a:off x="0" y="0"/>
                                <a:ext cx="216024" cy="216024"/>
                                <a:chOff x="0" y="0"/>
                                <a:chExt cx="288032" cy="288032"/>
                              </a:xfrm>
                            </wpg:grpSpPr>
                            <wps:wsp>
                              <wps:cNvPr id="8" name="Pie 8"/>
                              <wps:cNvSpPr/>
                              <wps:spPr>
                                <a:xfrm rot="16200000">
                                  <a:off x="0" y="0"/>
                                  <a:ext cx="288032" cy="288032"/>
                                </a:xfrm>
                                <a:prstGeom prst="pie">
                                  <a:avLst>
                                    <a:gd name="adj1" fmla="val 0"/>
                                    <a:gd name="adj2" fmla="val 10747591"/>
                                  </a:avLst>
                                </a:prstGeom>
                                <a:solidFill>
                                  <a:srgbClr val="8064A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Oval 24"/>
                              <wps:cNvSpPr/>
                              <wps:spPr>
                                <a:xfrm>
                                  <a:off x="0" y="0"/>
                                  <a:ext cx="288032" cy="288032"/>
                                </a:xfrm>
                                <a:prstGeom prst="ellipse">
                                  <a:avLst/>
                                </a:prstGeom>
                                <a:no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383D1EBF" id="Group 9" o:spid="_x0000_s1026" alt="Decorative" style="width:17pt;height:17pt;mso-position-horizontal-relative:char;mso-position-vertical-relative:line" coordsize="288032,28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">
                      <v:shape id="Pie 8" o:spid="_x0000_s1027" style="position:absolute;width:288032;height:288032;rotation:-90;visibility:visible;mso-wrap-style:square;v-text-anchor:middle" coordsize="288032,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vG5cIA&#10;AADaAAAADwAAAGRycy9kb3ducmV2LnhtbERPTWvCQBC9C/0PyxR6000LFUldRVJKK4LYpKLHITsm&#10;wexsmt0m0V/vHoQeH+97vhxMLTpqXWVZwfMkAkGcW11xoeAn+xjPQDiPrLG2TAou5GC5eBjNMda2&#10;52/qUl+IEMIuRgWl900spctLMugmtiEO3Mm2Bn2AbSF1i30IN7V8iaKpNFhxaCixoaSk/Jz+GQXN&#10;62dRZdvD+uh/k1233zj7fnVKPT0OqzcQngb/L767v7SCsDVcCTdA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O8blwgAAANoAAAAPAAAAAAAAAAAAAAAAAJgCAABkcnMvZG93&#10;bnJldi54bWxQSwUGAAAAAAQABAD1AAAAhwMAAAAA&#10;" path="m288032,144016v,79109,-63811,143409,-142918,144012c66007,288631,1223,225312,17,146212r143999,-2196l288032,144016xe" fillcolor="#8064a2" stroked="f" strokeweight="1pt">
                        <v:stroke joinstyle="miter"/>
                        <v:path arrowok="t" o:connecttype="custom" o:connectlocs="288032,144016;145114,288028;17,146212;144016,144016;288032,144016" o:connectangles="0,0,0,0,0"/>
                      </v:shape>
                      <v:oval id="Oval 24" o:spid="_x0000_s1028" style="position:absolute;width:288032;height:288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dK6sIA&#10;AADbAAAADwAAAGRycy9kb3ducmV2LnhtbESPX2vCMBTF3wd+h3CFvQxNFZFRjVLEigNfdNv7pblL&#10;y5qbkkTbfftFEHw8nD8/zno72FbcyIfGsYLZNANBXDndsFHw9VlO3kGEiKyxdUwK/ijAdjN6WWOu&#10;Xc9nul2iEWmEQ44K6hi7XMpQ1WQxTF1HnLwf5y3GJL2R2mOfxm0r51m2lBYbToQaO9rVVP1erjZB&#10;mjIr/N6YfnY6HcqP76Mu3pxSr+OhWIGINMRn+NE+agXzBdy/pB8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p0rqwgAAANsAAAAPAAAAAAAAAAAAAAAAAJgCAABkcnMvZG93&#10;bnJldi54bWxQSwUGAAAAAAQABAD1AAAAhwMAAAAA&#10;" filled="f" strokecolor="#8064a2" strokeweight=".5pt">
                        <v:stroke joinstyle="miter"/>
                      </v:oval>
                      <w10:anchorlock/>
                    </v:group>
                  </w:pict>
                </mc:Fallback>
              </mc:AlternateContent>
            </w:r>
          </w:p>
        </w:tc>
        <w:tc>
          <w:tcPr>
            <w:tcW w:w="2383" w:type="dxa"/>
          </w:tcPr>
          <w:p w:rsidR="00F732A5" w:rsidRPr="0084741E" w:rsidRDefault="00F732A5" w:rsidP="00D91914">
            <w:pPr>
              <w:pStyle w:val="Tablebody"/>
              <w:jc w:val="center"/>
              <w:cnfStyle w:val="100000000000" w:firstRow="1" w:lastRow="0" w:firstColumn="0" w:lastColumn="0" w:oddVBand="0" w:evenVBand="0" w:oddHBand="0" w:evenHBand="0" w:firstRowFirstColumn="0" w:firstRowLastColumn="0" w:lastRowFirstColumn="0" w:lastRowLastColumn="0"/>
              <w:rPr>
                <w:rStyle w:val="Strong"/>
                <w:b/>
              </w:rPr>
            </w:pPr>
            <w:r w:rsidRPr="0084741E">
              <w:rPr>
                <w:rStyle w:val="Strong"/>
              </w:rPr>
              <w:t>Developing</w:t>
            </w:r>
          </w:p>
          <w:p w:rsidR="00F732A5" w:rsidRPr="00C166C3" w:rsidRDefault="00F732A5" w:rsidP="00D91914">
            <w:pPr>
              <w:pStyle w:val="Tablebody"/>
              <w:jc w:val="center"/>
              <w:cnfStyle w:val="100000000000" w:firstRow="1" w:lastRow="0" w:firstColumn="0" w:lastColumn="0" w:oddVBand="0" w:evenVBand="0" w:oddHBand="0" w:evenHBand="0" w:firstRowFirstColumn="0" w:firstRowLastColumn="0" w:lastRowFirstColumn="0" w:lastRowLastColumn="0"/>
              <w:rPr>
                <w:rStyle w:val="Strong"/>
                <w:b/>
              </w:rPr>
            </w:pPr>
            <w:r w:rsidRPr="0052788F">
              <w:rPr>
                <w:rStyle w:val="Strong"/>
                <w:noProof/>
                <w:sz w:val="22"/>
                <w:lang w:eastAsia="en-AU"/>
              </w:rPr>
              <mc:AlternateContent>
                <mc:Choice Requires="wpg">
                  <w:drawing>
                    <wp:inline distT="0" distB="0" distL="0" distR="0" wp14:anchorId="514356CE" wp14:editId="1F6607D6">
                      <wp:extent cx="216024" cy="216024"/>
                      <wp:effectExtent l="0" t="0" r="12700" b="12700"/>
                      <wp:docPr id="25" name="Group 10" descr="Decorative"/>
                      <wp:cNvGraphicFramePr/>
                      <a:graphic xmlns:a="http://schemas.openxmlformats.org/drawingml/2006/main">
                        <a:graphicData uri="http://schemas.microsoft.com/office/word/2010/wordprocessingGroup">
                          <wpg:wgp>
                            <wpg:cNvGrpSpPr/>
                            <wpg:grpSpPr>
                              <a:xfrm>
                                <a:off x="0" y="0"/>
                                <a:ext cx="216024" cy="216024"/>
                                <a:chOff x="0" y="0"/>
                                <a:chExt cx="288032" cy="288032"/>
                              </a:xfrm>
                            </wpg:grpSpPr>
                            <wps:wsp>
                              <wps:cNvPr id="252" name="Pie 252"/>
                              <wps:cNvSpPr/>
                              <wps:spPr>
                                <a:xfrm rot="16200000">
                                  <a:off x="0" y="0"/>
                                  <a:ext cx="288032" cy="288032"/>
                                </a:xfrm>
                                <a:prstGeom prst="pie">
                                  <a:avLst/>
                                </a:prstGeom>
                                <a:solidFill>
                                  <a:srgbClr val="8064A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3" name="Oval 253"/>
                              <wps:cNvSpPr/>
                              <wps:spPr>
                                <a:xfrm>
                                  <a:off x="0" y="0"/>
                                  <a:ext cx="288032" cy="288032"/>
                                </a:xfrm>
                                <a:prstGeom prst="ellipse">
                                  <a:avLst/>
                                </a:prstGeom>
                                <a:no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37D10B1F" id="Group 10" o:spid="_x0000_s1026" alt="Decorative" style="width:17pt;height:17pt;mso-position-horizontal-relative:char;mso-position-vertical-relative:line" coordsize="288032,28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">
                      <v:shape id="Pie 252" o:spid="_x0000_s1027" style="position:absolute;width:288032;height:288032;rotation:-90;visibility:visible;mso-wrap-style:square;v-text-anchor:middle" coordsize="288032,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1hcYA&#10;AADcAAAADwAAAGRycy9kb3ducmV2LnhtbESP3WrCQBSE74W+w3KE3unGgEWiaygp0pZC8Rd7ecie&#10;JqHZszG7jWmf3hUEL4eZ+YZZpL2pRUetqywrmIwjEMS51RUXCva71WgGwnlkjbVlUvBHDtLlw2CB&#10;ibZn3lC39YUIEHYJKii9bxIpXV6SQTe2DXHwvm1r0AfZFlK3eA5wU8s4ip6kwYrDQokNZSXlP9tf&#10;o6CZvhbV7vP4/uVP2bo7fDj78u+Uehz2z3MQnnp/D9/ab1pBPI3heiYcAbm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1hcYAAADcAAAADwAAAAAAAAAAAAAAAACYAgAAZHJz&#10;L2Rvd25yZXYueG1sUEsFBgAAAAAEAAQA9QAAAIsDAAAAAA==&#10;" path="m288032,144016v,79538,-64478,144016,-144016,144016c64478,288032,,223554,,144016,,64478,64478,,144016,r,144016l288032,144016xe" fillcolor="#8064a2" stroked="f" strokeweight="1pt">
                        <v:stroke joinstyle="miter"/>
                        <v:path arrowok="t" o:connecttype="custom" o:connectlocs="288032,144016;144016,288032;0,144016;144016,0;144016,144016;288032,144016" o:connectangles="0,0,0,0,0,0"/>
                      </v:shape>
                      <v:oval id="Oval 253" o:spid="_x0000_s1028" style="position:absolute;width:288032;height:288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QP9MQA&#10;AADcAAAADwAAAGRycy9kb3ducmV2LnhtbESPX2vCMBTF3wd+h3AHexkzVZmMzihF7FDwxbq9X5q7&#10;tKy5KUm03bdfBGGPh/Pnx1ltRtuJK/nQOlYwm2YgiGunWzYKPs/lyxuIEJE1do5JwS8F2KwnDyvM&#10;tRv4RNcqGpFGOOSooImxz6UMdUMWw9T1xMn7dt5iTNIbqT0Oadx2cp5lS2mx5URosKdtQ/VPdbEJ&#10;0pZZ4XfGDLPj8aM8fO118eyUenoci3cQkcb4H76391rB/HUBt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UD/TEAAAA3AAAAA8AAAAAAAAAAAAAAAAAmAIAAGRycy9k&#10;b3ducmV2LnhtbFBLBQYAAAAABAAEAPUAAACJAwAAAAA=&#10;" filled="f" strokecolor="#8064a2" strokeweight=".5pt">
                        <v:stroke joinstyle="miter"/>
                      </v:oval>
                      <w10:anchorlock/>
                    </v:group>
                  </w:pict>
                </mc:Fallback>
              </mc:AlternateContent>
            </w:r>
          </w:p>
        </w:tc>
        <w:tc>
          <w:tcPr>
            <w:tcW w:w="2370" w:type="dxa"/>
          </w:tcPr>
          <w:p w:rsidR="00F732A5" w:rsidRPr="0084741E" w:rsidRDefault="00F732A5" w:rsidP="00D91914">
            <w:pPr>
              <w:pStyle w:val="Tablebody"/>
              <w:jc w:val="center"/>
              <w:cnfStyle w:val="100000000000" w:firstRow="1" w:lastRow="0" w:firstColumn="0" w:lastColumn="0" w:oddVBand="0" w:evenVBand="0" w:oddHBand="0" w:evenHBand="0" w:firstRowFirstColumn="0" w:firstRowLastColumn="0" w:lastRowFirstColumn="0" w:lastRowLastColumn="0"/>
              <w:rPr>
                <w:rStyle w:val="Strong"/>
                <w:b/>
              </w:rPr>
            </w:pPr>
            <w:r w:rsidRPr="0084741E">
              <w:rPr>
                <w:rStyle w:val="Strong"/>
              </w:rPr>
              <w:t>Managing</w:t>
            </w:r>
          </w:p>
          <w:p w:rsidR="00F732A5" w:rsidRPr="00C166C3" w:rsidRDefault="00F732A5" w:rsidP="00D91914">
            <w:pPr>
              <w:pStyle w:val="Tablebody"/>
              <w:jc w:val="center"/>
              <w:cnfStyle w:val="100000000000" w:firstRow="1" w:lastRow="0" w:firstColumn="0" w:lastColumn="0" w:oddVBand="0" w:evenVBand="0" w:oddHBand="0" w:evenHBand="0" w:firstRowFirstColumn="0" w:firstRowLastColumn="0" w:lastRowFirstColumn="0" w:lastRowLastColumn="0"/>
              <w:rPr>
                <w:rStyle w:val="Strong"/>
                <w:b/>
              </w:rPr>
            </w:pPr>
            <w:r w:rsidRPr="0052788F">
              <w:rPr>
                <w:noProof/>
                <w:lang w:eastAsia="en-AU"/>
              </w:rPr>
              <mc:AlternateContent>
                <mc:Choice Requires="wps">
                  <w:drawing>
                    <wp:inline distT="0" distB="0" distL="0" distR="0" wp14:anchorId="28475EE8" wp14:editId="5510ACAB">
                      <wp:extent cx="216024" cy="216024"/>
                      <wp:effectExtent l="0" t="0" r="12700" b="12700"/>
                      <wp:docPr id="254" name="Oval 18" descr="Decorative"/>
                      <wp:cNvGraphicFramePr/>
                      <a:graphic xmlns:a="http://schemas.openxmlformats.org/drawingml/2006/main">
                        <a:graphicData uri="http://schemas.microsoft.com/office/word/2010/wordprocessingShape">
                          <wps:wsp>
                            <wps:cNvSpPr/>
                            <wps:spPr>
                              <a:xfrm>
                                <a:off x="0" y="0"/>
                                <a:ext cx="216024" cy="216024"/>
                              </a:xfrm>
                              <a:prstGeom prst="ellipse">
                                <a:avLst/>
                              </a:prstGeom>
                              <a:solidFill>
                                <a:srgbClr val="8064A2"/>
                              </a:solid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inline>
                  </w:drawing>
                </mc:Choice>
                <mc:Fallback>
                  <w:pict>
                    <v:oval w14:anchorId="4C3E49A6" id="Oval 18" o:spid="_x0000_s1026" alt="Decorative" style="width:1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" fillcolor="#8064a2" strokecolor="#8064a2" strokeweight=".5pt">
                      <v:stroke joinstyle="miter"/>
                      <w10:anchorlock/>
                    </v:oval>
                  </w:pict>
                </mc:Fallback>
              </mc:AlternateContent>
            </w:r>
          </w:p>
        </w:tc>
        <w:tc>
          <w:tcPr>
            <w:tcW w:w="2455" w:type="dxa"/>
          </w:tcPr>
          <w:p w:rsidR="00F732A5" w:rsidRPr="0084741E" w:rsidRDefault="00F732A5" w:rsidP="00D91914">
            <w:pPr>
              <w:pStyle w:val="Tablebody"/>
              <w:jc w:val="center"/>
              <w:cnfStyle w:val="100000000000" w:firstRow="1" w:lastRow="0" w:firstColumn="0" w:lastColumn="0" w:oddVBand="0" w:evenVBand="0" w:oddHBand="0" w:evenHBand="0" w:firstRowFirstColumn="0" w:firstRowLastColumn="0" w:lastRowFirstColumn="0" w:lastRowLastColumn="0"/>
              <w:rPr>
                <w:rStyle w:val="Strong"/>
                <w:b/>
              </w:rPr>
            </w:pPr>
            <w:r w:rsidRPr="0084741E">
              <w:rPr>
                <w:rStyle w:val="Strong"/>
              </w:rPr>
              <w:t>Embedded</w:t>
            </w:r>
          </w:p>
          <w:p w:rsidR="00F732A5" w:rsidRPr="00C166C3" w:rsidRDefault="00F732A5" w:rsidP="00D91914">
            <w:pPr>
              <w:pStyle w:val="Tablebody"/>
              <w:jc w:val="center"/>
              <w:cnfStyle w:val="100000000000" w:firstRow="1" w:lastRow="0" w:firstColumn="0" w:lastColumn="0" w:oddVBand="0" w:evenVBand="0" w:oddHBand="0" w:evenHBand="0" w:firstRowFirstColumn="0" w:firstRowLastColumn="0" w:lastRowFirstColumn="0" w:lastRowLastColumn="0"/>
              <w:rPr>
                <w:rStyle w:val="Strong"/>
                <w:b/>
              </w:rPr>
            </w:pPr>
            <w:r w:rsidRPr="0052788F">
              <w:rPr>
                <w:noProof/>
                <w:lang w:eastAsia="en-AU"/>
              </w:rPr>
              <mc:AlternateContent>
                <mc:Choice Requires="wpg">
                  <w:drawing>
                    <wp:inline distT="0" distB="0" distL="0" distR="0" wp14:anchorId="7BBCF369" wp14:editId="1AD2F470">
                      <wp:extent cx="276056" cy="276056"/>
                      <wp:effectExtent l="0" t="0" r="0" b="0"/>
                      <wp:docPr id="255" name="Group 1" descr="Decorative"/>
                      <wp:cNvGraphicFramePr/>
                      <a:graphic xmlns:a="http://schemas.openxmlformats.org/drawingml/2006/main">
                        <a:graphicData uri="http://schemas.microsoft.com/office/word/2010/wordprocessingGroup">
                          <wpg:wgp>
                            <wpg:cNvGrpSpPr/>
                            <wpg:grpSpPr>
                              <a:xfrm>
                                <a:off x="0" y="0"/>
                                <a:ext cx="276056" cy="276056"/>
                                <a:chOff x="0" y="0"/>
                                <a:chExt cx="339400" cy="339400"/>
                              </a:xfrm>
                            </wpg:grpSpPr>
                            <wps:wsp>
                              <wps:cNvPr id="32" name="Oval 32"/>
                              <wps:cNvSpPr/>
                              <wps:spPr>
                                <a:xfrm>
                                  <a:off x="0" y="0"/>
                                  <a:ext cx="339400" cy="339400"/>
                                </a:xfrm>
                                <a:prstGeom prst="ellipse">
                                  <a:avLst/>
                                </a:prstGeom>
                                <a:solidFill>
                                  <a:srgbClr val="4BACC6"/>
                                </a:solidFill>
                                <a:ln w="38100">
                                  <a:no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Oval 36"/>
                              <wps:cNvSpPr/>
                              <wps:spPr>
                                <a:xfrm>
                                  <a:off x="60284" y="60284"/>
                                  <a:ext cx="216024" cy="216024"/>
                                </a:xfrm>
                                <a:prstGeom prst="ellipse">
                                  <a:avLst/>
                                </a:prstGeom>
                                <a:solidFill>
                                  <a:srgbClr val="8064A2"/>
                                </a:solidFill>
                                <a:ln w="38100">
                                  <a:no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5E24E8C4" id="Group 1" o:spid="_x0000_s1026" alt="Decorative" style="width:21.75pt;height:21.75pt;mso-position-horizontal-relative:char;mso-position-vertical-relative:line" coordsize="339400,339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">
                      <v:oval id="Oval 32" o:spid="_x0000_s1027" style="position:absolute;width:339400;height:339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5ffsUA&#10;AADbAAAADwAAAGRycy9kb3ducmV2LnhtbESPQWvCQBSE74L/YXmCN90YaZHUVUSw6KGFWg8eH9nX&#10;JG32bcy+auKv7xYKPQ4z8w2zXHeuVldqQ+XZwGyagCLOva24MHB6300WoIIgW6w9k4GeAqxXw8ES&#10;M+tv/EbXoxQqQjhkaKAUaTKtQ16SwzD1DXH0PnzrUKJsC21bvEW4q3WaJI/aYcVxocSGtiXlX8dv&#10;Z+DlcO5Tkfv8eff6WfUnPuDl/mDMeNRtnkAJdfIf/mvvrYF5Cr9f4g/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jl9+xQAAANsAAAAPAAAAAAAAAAAAAAAAAJgCAABkcnMv&#10;ZG93bnJldi54bWxQSwUGAAAAAAQABAD1AAAAigMAAAAA&#10;" fillcolor="#4bacc6" stroked="f" strokeweight="3pt">
                        <v:stroke dashstyle="1 1" joinstyle="miter"/>
                      </v:oval>
                      <v:oval id="Oval 36" o:spid="_x0000_s1028" style="position:absolute;left:60284;top:60284;width:216024;height:216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49UMQA&#10;AADbAAAADwAAAGRycy9kb3ducmV2LnhtbESPwWrDMBBE74H+g9hCb7GcBhzjRAmmJRAIPdQtlN4W&#10;a2ObWisjyY7791GhkOMwM2+Y3WE2vZjI+c6yglWSgiCure64UfD5cVzmIHxA1thbJgW/5OGwf1js&#10;sND2yu80VaEREcK+QAVtCEMhpa9bMugTOxBH72KdwRCla6R2eI1w08vnNM2kwY7jQosDvbRU/1Sj&#10;UTCMq1GWGZ9f0X7LddVtvt5yp9TT41xuQQSawz383z5pBesM/r7EHyD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PVDEAAAA2wAAAA8AAAAAAAAAAAAAAAAAmAIAAGRycy9k&#10;b3ducmV2LnhtbFBLBQYAAAAABAAEAPUAAACJAwAAAAA=&#10;" fillcolor="#8064a2" stroked="f" strokeweight="3pt">
                        <v:stroke dashstyle="1 1" joinstyle="miter"/>
                      </v:oval>
                      <w10:anchorlock/>
                    </v:group>
                  </w:pict>
                </mc:Fallback>
              </mc:AlternateContent>
            </w:r>
          </w:p>
        </w:tc>
      </w:tr>
      <w:tr w:rsidR="00F732A5" w:rsidTr="000A7C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5" w:type="dxa"/>
          </w:tcPr>
          <w:p w:rsidR="00F732A5" w:rsidRPr="00AD3EDD" w:rsidRDefault="00F732A5" w:rsidP="00D91914">
            <w:pPr>
              <w:pStyle w:val="Tablebody"/>
              <w:rPr>
                <w:rStyle w:val="Strong"/>
                <w:b/>
              </w:rPr>
            </w:pPr>
            <w:r>
              <w:rPr>
                <w:rStyle w:val="Strong"/>
              </w:rPr>
              <w:t>Maturity level description</w:t>
            </w:r>
          </w:p>
        </w:tc>
        <w:tc>
          <w:tcPr>
            <w:tcW w:w="2279" w:type="dxa"/>
          </w:tcPr>
          <w:p w:rsidR="00F732A5" w:rsidRPr="00EF27A5" w:rsidRDefault="00F732A5" w:rsidP="00D91914">
            <w:pPr>
              <w:pStyle w:val="Tablebody"/>
              <w:cnfStyle w:val="000000100000" w:firstRow="0" w:lastRow="0" w:firstColumn="0" w:lastColumn="0" w:oddVBand="0" w:evenVBand="0" w:oddHBand="1" w:evenHBand="0" w:firstRowFirstColumn="0" w:firstRowLastColumn="0" w:lastRowFirstColumn="0" w:lastRowLastColumn="0"/>
              <w:rPr>
                <w:b/>
              </w:rPr>
            </w:pPr>
            <w:r w:rsidRPr="00EF27A5">
              <w:rPr>
                <w:b/>
              </w:rPr>
              <w:t xml:space="preserve">Partial: </w:t>
            </w:r>
            <w:r w:rsidRPr="00EF27A5">
              <w:rPr>
                <w:rStyle w:val="Strong"/>
              </w:rPr>
              <w:t>Some PSPF core and supporting requirements are implemented although are not well understood across the entity. Security outcomes are not being achieved in some areas.</w:t>
            </w:r>
          </w:p>
        </w:tc>
        <w:tc>
          <w:tcPr>
            <w:tcW w:w="2383" w:type="dxa"/>
          </w:tcPr>
          <w:p w:rsidR="00F732A5" w:rsidRPr="00EF27A5" w:rsidRDefault="00F732A5" w:rsidP="00D91914">
            <w:pPr>
              <w:pStyle w:val="Tablebody"/>
              <w:cnfStyle w:val="000000100000" w:firstRow="0" w:lastRow="0" w:firstColumn="0" w:lastColumn="0" w:oddVBand="0" w:evenVBand="0" w:oddHBand="1" w:evenHBand="0" w:firstRowFirstColumn="0" w:firstRowLastColumn="0" w:lastRowFirstColumn="0" w:lastRowLastColumn="0"/>
              <w:rPr>
                <w:b/>
              </w:rPr>
            </w:pPr>
            <w:r w:rsidRPr="00EF27A5">
              <w:rPr>
                <w:b/>
              </w:rPr>
              <w:t xml:space="preserve">Substantial: </w:t>
            </w:r>
            <w:r w:rsidRPr="005A60C1">
              <w:t>The majority of PSPF core and supporting requirements are implemented, broadly managed and understood across the entity. Entity is largely meeting security outcomes.</w:t>
            </w:r>
          </w:p>
        </w:tc>
        <w:tc>
          <w:tcPr>
            <w:tcW w:w="2370" w:type="dxa"/>
          </w:tcPr>
          <w:p w:rsidR="00F732A5" w:rsidRPr="00EF27A5" w:rsidRDefault="00F732A5" w:rsidP="00D91914">
            <w:pPr>
              <w:pStyle w:val="Tablebody"/>
              <w:cnfStyle w:val="000000100000" w:firstRow="0" w:lastRow="0" w:firstColumn="0" w:lastColumn="0" w:oddVBand="0" w:evenVBand="0" w:oddHBand="1" w:evenHBand="0" w:firstRowFirstColumn="0" w:firstRowLastColumn="0" w:lastRowFirstColumn="0" w:lastRowLastColumn="0"/>
              <w:rPr>
                <w:b/>
              </w:rPr>
            </w:pPr>
            <w:r w:rsidRPr="00EF27A5">
              <w:rPr>
                <w:b/>
              </w:rPr>
              <w:t xml:space="preserve">Full: </w:t>
            </w:r>
            <w:r w:rsidRPr="005A60C1">
              <w:t>All PSPF core and supporting requirements are implemented, integrated into business practices and effectively disseminated across the entity. Entity meets security outcomes.</w:t>
            </w:r>
          </w:p>
        </w:tc>
        <w:tc>
          <w:tcPr>
            <w:tcW w:w="2455" w:type="dxa"/>
          </w:tcPr>
          <w:p w:rsidR="00F732A5" w:rsidRPr="00EF27A5" w:rsidRDefault="00F732A5" w:rsidP="00D91914">
            <w:pPr>
              <w:pStyle w:val="Tablebody"/>
              <w:cnfStyle w:val="000000100000" w:firstRow="0" w:lastRow="0" w:firstColumn="0" w:lastColumn="0" w:oddVBand="0" w:evenVBand="0" w:oddHBand="1" w:evenHBand="0" w:firstRowFirstColumn="0" w:firstRowLastColumn="0" w:lastRowFirstColumn="0" w:lastRowLastColumn="0"/>
              <w:rPr>
                <w:b/>
              </w:rPr>
            </w:pPr>
            <w:r w:rsidRPr="00EF27A5">
              <w:rPr>
                <w:b/>
              </w:rPr>
              <w:t xml:space="preserve">Excelled: </w:t>
            </w:r>
            <w:r w:rsidRPr="005A60C1">
              <w:t>All PSPF core and supporting requirements are implemented, effectively integrated and exceeding security outcomes. Entity’s implementation of better-practice guidance drives high performance.</w:t>
            </w:r>
          </w:p>
        </w:tc>
      </w:tr>
      <w:tr w:rsidR="00F732A5" w:rsidTr="000A7CE0">
        <w:tc>
          <w:tcPr>
            <w:cnfStyle w:val="001000000000" w:firstRow="0" w:lastRow="0" w:firstColumn="1" w:lastColumn="0" w:oddVBand="0" w:evenVBand="0" w:oddHBand="0" w:evenHBand="0" w:firstRowFirstColumn="0" w:firstRowLastColumn="0" w:lastRowFirstColumn="0" w:lastRowLastColumn="0"/>
            <w:tcW w:w="1195" w:type="dxa"/>
          </w:tcPr>
          <w:p w:rsidR="00F732A5" w:rsidRDefault="00F732A5" w:rsidP="00D91914">
            <w:pPr>
              <w:pStyle w:val="Tablebody"/>
              <w:rPr>
                <w:rStyle w:val="Strong"/>
                <w:b/>
              </w:rPr>
            </w:pPr>
            <w:r>
              <w:rPr>
                <w:rStyle w:val="Strong"/>
              </w:rPr>
              <w:t>Maturity level i</w:t>
            </w:r>
            <w:r w:rsidRPr="00AD3EDD">
              <w:rPr>
                <w:rStyle w:val="Strong"/>
              </w:rPr>
              <w:t>ndicators</w:t>
            </w:r>
          </w:p>
        </w:tc>
        <w:tc>
          <w:tcPr>
            <w:tcW w:w="2279" w:type="dxa"/>
          </w:tcPr>
          <w:p w:rsidR="00F732A5" w:rsidRPr="00AD3EDD" w:rsidRDefault="00F732A5" w:rsidP="00D91914">
            <w:pPr>
              <w:pStyle w:val="Tablebody"/>
              <w:cnfStyle w:val="000000000000" w:firstRow="0" w:lastRow="0" w:firstColumn="0" w:lastColumn="0" w:oddVBand="0" w:evenVBand="0" w:oddHBand="0" w:evenHBand="0" w:firstRowFirstColumn="0" w:firstRowLastColumn="0" w:lastRowFirstColumn="0" w:lastRowLastColumn="0"/>
            </w:pPr>
            <w:r w:rsidRPr="00AD3EDD">
              <w:t>Entity implementation and basic management of the PSPF core and supporting requirements is inconsistent and ad hoc.</w:t>
            </w:r>
          </w:p>
        </w:tc>
        <w:tc>
          <w:tcPr>
            <w:tcW w:w="2383" w:type="dxa"/>
          </w:tcPr>
          <w:p w:rsidR="00F732A5" w:rsidRPr="00AD3EDD" w:rsidRDefault="00F732A5" w:rsidP="00D91914">
            <w:pPr>
              <w:pStyle w:val="Tablebody"/>
              <w:cnfStyle w:val="000000000000" w:firstRow="0" w:lastRow="0" w:firstColumn="0" w:lastColumn="0" w:oddVBand="0" w:evenVBand="0" w:oddHBand="0" w:evenHBand="0" w:firstRowFirstColumn="0" w:firstRowLastColumn="0" w:lastRowFirstColumn="0" w:lastRowLastColumn="0"/>
            </w:pPr>
            <w:r w:rsidRPr="00AD3EDD">
              <w:t>Entity has implemented and managed the majority of the PSPF core and supporting requirements but not effectively. There is an established and documented pathway for remaining requirements to be implemented.</w:t>
            </w:r>
          </w:p>
        </w:tc>
        <w:tc>
          <w:tcPr>
            <w:tcW w:w="2370" w:type="dxa"/>
          </w:tcPr>
          <w:p w:rsidR="00F732A5" w:rsidRPr="00AD3EDD" w:rsidRDefault="00F732A5" w:rsidP="00D91914">
            <w:pPr>
              <w:pStyle w:val="Tablebody"/>
              <w:cnfStyle w:val="000000000000" w:firstRow="0" w:lastRow="0" w:firstColumn="0" w:lastColumn="0" w:oddVBand="0" w:evenVBand="0" w:oddHBand="0" w:evenHBand="0" w:firstRowFirstColumn="0" w:firstRowLastColumn="0" w:lastRowFirstColumn="0" w:lastRowLastColumn="0"/>
            </w:pPr>
            <w:r w:rsidRPr="00AD3EDD">
              <w:t xml:space="preserve">Entity has effectively implemented and is managing all </w:t>
            </w:r>
            <w:r>
              <w:t xml:space="preserve">PSPF </w:t>
            </w:r>
            <w:r w:rsidRPr="00AD3EDD">
              <w:t>core and supporting requirements</w:t>
            </w:r>
            <w:r>
              <w:t>.</w:t>
            </w:r>
            <w:r w:rsidRPr="00AD3EDD">
              <w:t xml:space="preserve"> </w:t>
            </w:r>
            <w:r>
              <w:t>S</w:t>
            </w:r>
            <w:r w:rsidRPr="00AD3EDD">
              <w:t>ecurity is considered part of the entity’s business practices.</w:t>
            </w:r>
          </w:p>
        </w:tc>
        <w:tc>
          <w:tcPr>
            <w:tcW w:w="2455" w:type="dxa"/>
          </w:tcPr>
          <w:p w:rsidR="00F732A5" w:rsidRPr="00AD3EDD" w:rsidRDefault="00F732A5" w:rsidP="00D91914">
            <w:pPr>
              <w:pStyle w:val="Tablebody"/>
              <w:cnfStyle w:val="000000000000" w:firstRow="0" w:lastRow="0" w:firstColumn="0" w:lastColumn="0" w:oddVBand="0" w:evenVBand="0" w:oddHBand="0" w:evenHBand="0" w:firstRowFirstColumn="0" w:firstRowLastColumn="0" w:lastRowFirstColumn="0" w:lastRowLastColumn="0"/>
            </w:pPr>
            <w:r w:rsidRPr="00AD3EDD">
              <w:t>Entity has fully and effectively implemented all PSPF core and supporting requirements and integrated them into the entity’s business. Security is proactively managed in response to the risk environment and better practice informs the entity’s business and security decisions.</w:t>
            </w:r>
          </w:p>
        </w:tc>
      </w:tr>
      <w:tr w:rsidR="00F732A5" w:rsidTr="000A7C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5" w:type="dxa"/>
          </w:tcPr>
          <w:p w:rsidR="00F732A5" w:rsidRPr="00AD3EDD" w:rsidRDefault="00F732A5" w:rsidP="00D91914">
            <w:pPr>
              <w:pStyle w:val="Tablebody"/>
              <w:rPr>
                <w:rStyle w:val="Strong"/>
                <w:b/>
              </w:rPr>
            </w:pPr>
            <w:r>
              <w:rPr>
                <w:rStyle w:val="Strong"/>
              </w:rPr>
              <w:t>Maturity level p</w:t>
            </w:r>
            <w:r w:rsidRPr="00AD3EDD">
              <w:rPr>
                <w:rStyle w:val="Strong"/>
              </w:rPr>
              <w:t>rotection</w:t>
            </w:r>
          </w:p>
        </w:tc>
        <w:tc>
          <w:tcPr>
            <w:tcW w:w="2279" w:type="dxa"/>
          </w:tcPr>
          <w:p w:rsidR="00F732A5" w:rsidRPr="00AD3EDD" w:rsidRDefault="00F732A5" w:rsidP="00D91914">
            <w:pPr>
              <w:pStyle w:val="Tablebody"/>
              <w:cnfStyle w:val="000000100000" w:firstRow="0" w:lastRow="0" w:firstColumn="0" w:lastColumn="0" w:oddVBand="0" w:evenVBand="0" w:oddHBand="1" w:evenHBand="0" w:firstRowFirstColumn="0" w:firstRowLastColumn="0" w:lastRowFirstColumn="0" w:lastRowLastColumn="0"/>
            </w:pPr>
            <w:r w:rsidRPr="00AD3EDD">
              <w:t>This category provides partial protection of the entity’s people, information and assets</w:t>
            </w:r>
            <w:r>
              <w:t>,</w:t>
            </w:r>
            <w:r w:rsidRPr="00AD3EDD">
              <w:t xml:space="preserve"> potentially exposing the government to unmitigated security risks.</w:t>
            </w:r>
          </w:p>
        </w:tc>
        <w:tc>
          <w:tcPr>
            <w:tcW w:w="2383" w:type="dxa"/>
          </w:tcPr>
          <w:p w:rsidR="00F732A5" w:rsidRPr="00AD3EDD" w:rsidRDefault="00F732A5" w:rsidP="00D91914">
            <w:pPr>
              <w:pStyle w:val="Tablebody"/>
              <w:cnfStyle w:val="000000100000" w:firstRow="0" w:lastRow="0" w:firstColumn="0" w:lastColumn="0" w:oddVBand="0" w:evenVBand="0" w:oddHBand="1" w:evenHBand="0" w:firstRowFirstColumn="0" w:firstRowLastColumn="0" w:lastRowFirstColumn="0" w:lastRowLastColumn="0"/>
            </w:pPr>
            <w:r w:rsidRPr="00AD3EDD">
              <w:t>This category provides substantial protection of the entity’s people, information and assets</w:t>
            </w:r>
            <w:r>
              <w:t>,</w:t>
            </w:r>
            <w:r w:rsidRPr="00AD3EDD">
              <w:t xml:space="preserve"> potentially exposing the government to security risks.</w:t>
            </w:r>
          </w:p>
        </w:tc>
        <w:tc>
          <w:tcPr>
            <w:tcW w:w="2370" w:type="dxa"/>
          </w:tcPr>
          <w:p w:rsidR="00F732A5" w:rsidRPr="00AD3EDD" w:rsidRDefault="00F732A5" w:rsidP="00D91914">
            <w:pPr>
              <w:pStyle w:val="Tablebody"/>
              <w:cnfStyle w:val="000000100000" w:firstRow="0" w:lastRow="0" w:firstColumn="0" w:lastColumn="0" w:oddVBand="0" w:evenVBand="0" w:oddHBand="1" w:evenHBand="0" w:firstRowFirstColumn="0" w:firstRowLastColumn="0" w:lastRowFirstColumn="0" w:lastRowLastColumn="0"/>
            </w:pPr>
            <w:r w:rsidRPr="00AD3EDD">
              <w:t>This category provides the minimum required protection of the entity’s people, information and assets, consistent with policy requirements.</w:t>
            </w:r>
          </w:p>
        </w:tc>
        <w:tc>
          <w:tcPr>
            <w:tcW w:w="2455" w:type="dxa"/>
          </w:tcPr>
          <w:p w:rsidR="00F732A5" w:rsidRPr="00AD3EDD" w:rsidRDefault="00F732A5" w:rsidP="00D91914">
            <w:pPr>
              <w:pStyle w:val="Tablebody"/>
              <w:cnfStyle w:val="000000100000" w:firstRow="0" w:lastRow="0" w:firstColumn="0" w:lastColumn="0" w:oddVBand="0" w:evenVBand="0" w:oddHBand="1" w:evenHBand="0" w:firstRowFirstColumn="0" w:firstRowLastColumn="0" w:lastRowFirstColumn="0" w:lastRowLastColumn="0"/>
            </w:pPr>
            <w:r w:rsidRPr="00AD3EDD">
              <w:t>This category provides comprehensive protection of the entity’s people, information and assets.</w:t>
            </w:r>
          </w:p>
        </w:tc>
      </w:tr>
    </w:tbl>
    <w:p w:rsidR="005C18B8" w:rsidRDefault="00740022"/>
    <w:sectPr w:rsidR="005C18B8" w:rsidSect="00F732A5">
      <w:headerReference w:type="even" r:id="rId6"/>
      <w:headerReference w:type="default" r:id="rId7"/>
      <w:footerReference w:type="even" r:id="rId8"/>
      <w:footerReference w:type="default" r:id="rId9"/>
      <w:headerReference w:type="first" r:id="rId10"/>
      <w:footerReference w:type="first" r:id="rId1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022" w:rsidRDefault="00740022" w:rsidP="00F732A5">
      <w:pPr>
        <w:spacing w:after="0"/>
      </w:pPr>
      <w:r>
        <w:separator/>
      </w:r>
    </w:p>
  </w:endnote>
  <w:endnote w:type="continuationSeparator" w:id="0">
    <w:p w:rsidR="00740022" w:rsidRDefault="00740022" w:rsidP="00F732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9FC" w:rsidRDefault="00E229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2A5" w:rsidRDefault="00F732A5" w:rsidP="00F732A5"/>
  <w:p w:rsidR="00F732A5" w:rsidRDefault="00F732A5" w:rsidP="00F732A5">
    <w:pPr>
      <w:pStyle w:val="Footer"/>
    </w:pPr>
  </w:p>
  <w:p w:rsidR="00F732A5" w:rsidRDefault="00F732A5" w:rsidP="00F732A5"/>
  <w:sdt>
    <w:sdtPr>
      <w:id w:val="-1250421570"/>
      <w:docPartObj>
        <w:docPartGallery w:val="Page Numbers (Bottom of Page)"/>
        <w:docPartUnique/>
      </w:docPartObj>
    </w:sdtPr>
    <w:sdtEndPr>
      <w:rPr>
        <w:noProof/>
      </w:rPr>
    </w:sdtEndPr>
    <w:sdtContent>
      <w:p w:rsidR="00F732A5" w:rsidRPr="00563082" w:rsidRDefault="00F732A5" w:rsidP="00F732A5">
        <w:pPr>
          <w:pStyle w:val="Footer-Landscape"/>
          <w:rPr>
            <w:noProof/>
          </w:rPr>
        </w:pPr>
        <w:r w:rsidRPr="00FF2926">
          <w:rPr>
            <w:noProof/>
            <w:lang w:eastAsia="en-AU"/>
          </w:rPr>
          <mc:AlternateContent>
            <mc:Choice Requires="wps">
              <w:drawing>
                <wp:anchor distT="0" distB="0" distL="114300" distR="114300" simplePos="0" relativeHeight="251660288" behindDoc="0" locked="0" layoutInCell="1" allowOverlap="1" wp14:anchorId="6AF4C221" wp14:editId="4AC86AEB">
                  <wp:simplePos x="0" y="0"/>
                  <wp:positionH relativeFrom="margin">
                    <wp:align>left</wp:align>
                  </wp:positionH>
                  <wp:positionV relativeFrom="paragraph">
                    <wp:posOffset>-78105</wp:posOffset>
                  </wp:positionV>
                  <wp:extent cx="9810750" cy="45719"/>
                  <wp:effectExtent l="0" t="0" r="0" b="0"/>
                  <wp:wrapNone/>
                  <wp:docPr id="2" name="Rectangle 2" title="Decorative line"/>
                  <wp:cNvGraphicFramePr/>
                  <a:graphic xmlns:a="http://schemas.openxmlformats.org/drawingml/2006/main">
                    <a:graphicData uri="http://schemas.microsoft.com/office/word/2010/wordprocessingShape">
                      <wps:wsp>
                        <wps:cNvSpPr/>
                        <wps:spPr>
                          <a:xfrm>
                            <a:off x="0" y="0"/>
                            <a:ext cx="9810750" cy="45719"/>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68EA0F" id="Rectangle 2" o:spid="_x0000_s1026" alt="Title: Decorative line" style="position:absolute;margin-left:0;margin-top:-6.15pt;width:772.5pt;height:3.6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" fillcolor="#483a70" stroked="f" strokeweight="1pt">
                  <w10:wrap anchorx="margin"/>
                </v:rect>
              </w:pict>
            </mc:Fallback>
          </mc:AlternateContent>
        </w:r>
        <w:sdt>
          <w:sdtPr>
            <w:id w:val="-82538937"/>
            <w:docPartObj>
              <w:docPartGallery w:val="Page Numbers (Bottom of Page)"/>
              <w:docPartUnique/>
            </w:docPartObj>
          </w:sdtPr>
          <w:sdtEndPr>
            <w:rPr>
              <w:noProof/>
            </w:rPr>
          </w:sdtEndPr>
          <w:sdtContent>
            <w:r>
              <w:t>v2018.0</w:t>
            </w:r>
            <w:r w:rsidRPr="006F61B7">
              <w:rPr>
                <w:noProof/>
                <w:lang w:eastAsia="en-AU"/>
              </w:rPr>
              <mc:AlternateContent>
                <mc:Choice Requires="wps">
                  <w:drawing>
                    <wp:anchor distT="0" distB="0" distL="114300" distR="114300" simplePos="0" relativeHeight="251659264" behindDoc="0" locked="0" layoutInCell="1" allowOverlap="1" wp14:anchorId="05BA87D3" wp14:editId="5FF963F2">
                      <wp:simplePos x="0" y="0"/>
                      <wp:positionH relativeFrom="column">
                        <wp:posOffset>0</wp:posOffset>
                      </wp:positionH>
                      <wp:positionV relativeFrom="page">
                        <wp:posOffset>10296525</wp:posOffset>
                      </wp:positionV>
                      <wp:extent cx="6649200" cy="46800"/>
                      <wp:effectExtent l="0" t="0" r="0" b="0"/>
                      <wp:wrapNone/>
                      <wp:docPr id="1" name="Rectangle 1" title="Decorative line"/>
                      <wp:cNvGraphicFramePr/>
                      <a:graphic xmlns:a="http://schemas.openxmlformats.org/drawingml/2006/main">
                        <a:graphicData uri="http://schemas.microsoft.com/office/word/2010/wordprocessingShape">
                          <wps:wsp>
                            <wps:cNvSpPr/>
                            <wps:spPr>
                              <a:xfrm>
                                <a:off x="0" y="0"/>
                                <a:ext cx="6649200" cy="46800"/>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B161EC" id="Rectangle 1" o:spid="_x0000_s1026" alt="Title: Decorative line" style="position:absolute;margin-left:0;margin-top:810.75pt;width:523.55pt;height: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" fillcolor="#483a70" stroked="f" strokeweight="1pt">
                      <w10:wrap anchory="page"/>
                    </v:rect>
                  </w:pict>
                </mc:Fallback>
              </mc:AlternateContent>
            </w:r>
            <w:r>
              <w:tab/>
              <w:t>5 Reporting on Security: Table 2</w:t>
            </w:r>
            <w:r>
              <w:tab/>
            </w:r>
            <w:r w:rsidRPr="006F61B7">
              <w:fldChar w:fldCharType="begin"/>
            </w:r>
            <w:r w:rsidRPr="006F61B7">
              <w:instrText xml:space="preserve"> PAGE   \* MERGEFORMAT </w:instrText>
            </w:r>
            <w:r w:rsidRPr="006F61B7">
              <w:fldChar w:fldCharType="separate"/>
            </w:r>
            <w:r w:rsidR="00E229FC">
              <w:rPr>
                <w:noProof/>
              </w:rPr>
              <w:t>1</w:t>
            </w:r>
            <w:r w:rsidRPr="006F61B7">
              <w:rPr>
                <w:noProof/>
              </w:rPr>
              <w:fldChar w:fldCharType="end"/>
            </w:r>
          </w:sdtContent>
        </w:sdt>
      </w:p>
    </w:sdtContent>
  </w:sdt>
  <w:p w:rsidR="00F732A5" w:rsidRDefault="00F732A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9FC" w:rsidRDefault="00E229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022" w:rsidRDefault="00740022" w:rsidP="00F732A5">
      <w:pPr>
        <w:spacing w:after="0"/>
      </w:pPr>
      <w:r>
        <w:separator/>
      </w:r>
    </w:p>
  </w:footnote>
  <w:footnote w:type="continuationSeparator" w:id="0">
    <w:p w:rsidR="00740022" w:rsidRDefault="00740022" w:rsidP="00F732A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9FC" w:rsidRDefault="00E229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2A5" w:rsidRDefault="00F732A5">
    <w:pPr>
      <w:pStyle w:val="Header"/>
    </w:pPr>
    <w:r>
      <w:t>Protective Security Policy Framework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9FC" w:rsidRDefault="00E229F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2A5"/>
    <w:rsid w:val="000A7CE0"/>
    <w:rsid w:val="0043196F"/>
    <w:rsid w:val="004B6817"/>
    <w:rsid w:val="00552B64"/>
    <w:rsid w:val="00740022"/>
    <w:rsid w:val="00AC1230"/>
    <w:rsid w:val="00AD4F80"/>
    <w:rsid w:val="00E229FC"/>
    <w:rsid w:val="00F732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2A5"/>
    <w:pPr>
      <w:spacing w:after="120" w:line="240" w:lineRule="auto"/>
    </w:pPr>
    <w:rPr>
      <w:rFonts w:ascii="Calibri" w:eastAsia="Calibri" w:hAnsi="Calibri" w:cs="Calibri"/>
      <w:kern w:val="4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ghtShading-Accent4">
    <w:name w:val="Light Shading Accent 4"/>
    <w:basedOn w:val="TableNormal"/>
    <w:uiPriority w:val="60"/>
    <w:rsid w:val="00F732A5"/>
    <w:pPr>
      <w:spacing w:after="0" w:line="240" w:lineRule="auto"/>
    </w:pPr>
    <w:rPr>
      <w:color w:val="BF8F00" w:themeColor="accent4" w:themeShade="BF"/>
      <w:lang w:val="en-AU"/>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character" w:styleId="Strong">
    <w:name w:val="Strong"/>
    <w:aliases w:val="Table column-row heading"/>
    <w:uiPriority w:val="22"/>
    <w:qFormat/>
    <w:rsid w:val="00F732A5"/>
    <w:rPr>
      <w:b/>
      <w:color w:val="000000" w:themeColor="text1"/>
      <w:sz w:val="20"/>
    </w:rPr>
  </w:style>
  <w:style w:type="paragraph" w:customStyle="1" w:styleId="Tablebody">
    <w:name w:val="Table body"/>
    <w:basedOn w:val="Normal"/>
    <w:qFormat/>
    <w:rsid w:val="00F732A5"/>
    <w:pPr>
      <w:spacing w:after="0"/>
    </w:pPr>
    <w:rPr>
      <w:bCs/>
      <w:color w:val="000000" w:themeColor="text1"/>
      <w:sz w:val="20"/>
    </w:rPr>
  </w:style>
  <w:style w:type="paragraph" w:styleId="Header">
    <w:name w:val="header"/>
    <w:basedOn w:val="Normal"/>
    <w:link w:val="HeaderChar"/>
    <w:uiPriority w:val="99"/>
    <w:unhideWhenUsed/>
    <w:rsid w:val="00F732A5"/>
    <w:pPr>
      <w:tabs>
        <w:tab w:val="center" w:pos="4513"/>
        <w:tab w:val="right" w:pos="9026"/>
      </w:tabs>
      <w:spacing w:after="0"/>
    </w:pPr>
  </w:style>
  <w:style w:type="character" w:customStyle="1" w:styleId="HeaderChar">
    <w:name w:val="Header Char"/>
    <w:basedOn w:val="DefaultParagraphFont"/>
    <w:link w:val="Header"/>
    <w:uiPriority w:val="99"/>
    <w:rsid w:val="00F732A5"/>
    <w:rPr>
      <w:rFonts w:ascii="Calibri" w:eastAsia="Calibri" w:hAnsi="Calibri" w:cs="Calibri"/>
      <w:kern w:val="40"/>
      <w:lang w:val="en-AU"/>
    </w:rPr>
  </w:style>
  <w:style w:type="paragraph" w:styleId="Footer">
    <w:name w:val="footer"/>
    <w:basedOn w:val="Normal"/>
    <w:link w:val="FooterChar"/>
    <w:uiPriority w:val="99"/>
    <w:unhideWhenUsed/>
    <w:qFormat/>
    <w:rsid w:val="00F732A5"/>
    <w:pPr>
      <w:tabs>
        <w:tab w:val="center" w:pos="4513"/>
        <w:tab w:val="right" w:pos="9026"/>
      </w:tabs>
      <w:spacing w:after="0"/>
    </w:pPr>
  </w:style>
  <w:style w:type="character" w:customStyle="1" w:styleId="FooterChar">
    <w:name w:val="Footer Char"/>
    <w:basedOn w:val="DefaultParagraphFont"/>
    <w:link w:val="Footer"/>
    <w:uiPriority w:val="99"/>
    <w:rsid w:val="00F732A5"/>
    <w:rPr>
      <w:rFonts w:ascii="Calibri" w:eastAsia="Calibri" w:hAnsi="Calibri" w:cs="Calibri"/>
      <w:kern w:val="40"/>
      <w:lang w:val="en-AU"/>
    </w:rPr>
  </w:style>
  <w:style w:type="paragraph" w:customStyle="1" w:styleId="Footer-Landscape">
    <w:name w:val="Footer - Landscape"/>
    <w:basedOn w:val="Footer"/>
    <w:qFormat/>
    <w:rsid w:val="00F732A5"/>
    <w:pPr>
      <w:tabs>
        <w:tab w:val="clear" w:pos="4513"/>
        <w:tab w:val="clear" w:pos="9026"/>
        <w:tab w:val="center" w:pos="7655"/>
        <w:tab w:val="right" w:pos="15309"/>
      </w:tabs>
    </w:pPr>
    <w:rPr>
      <w:sz w:val="18"/>
    </w:rPr>
  </w:style>
  <w:style w:type="table" w:styleId="GridTable2-Accent5">
    <w:name w:val="Grid Table 2 Accent 5"/>
    <w:basedOn w:val="TableNormal"/>
    <w:uiPriority w:val="47"/>
    <w:rsid w:val="000A7CE0"/>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325</Words>
  <Characters>1856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2 Maturity indicators for security capability and associated level of protection</dc:title>
  <dc:subject/>
  <dc:creator/>
  <cp:keywords/>
  <dc:description/>
  <cp:lastModifiedBy/>
  <cp:revision>1</cp:revision>
  <dcterms:created xsi:type="dcterms:W3CDTF">2020-06-12T01:51:00Z</dcterms:created>
  <dcterms:modified xsi:type="dcterms:W3CDTF">2020-06-12T01:52:00Z</dcterms:modified>
</cp:coreProperties>
</file>