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C4A14C" w14:textId="77777777" w:rsidR="007D070A" w:rsidRPr="00B12627" w:rsidRDefault="00BB650C" w:rsidP="00B12627">
      <w:pPr>
        <w:pStyle w:val="Heading1"/>
      </w:pPr>
      <w:bookmarkStart w:id="0" w:name="_Ref513635588"/>
      <w:bookmarkStart w:id="1" w:name="_GoBack"/>
      <w:bookmarkEnd w:id="1"/>
      <w:r>
        <w:t>5 Reporting on security</w:t>
      </w:r>
      <w:bookmarkEnd w:id="0"/>
    </w:p>
    <w:p w14:paraId="6C6CB25B" w14:textId="77777777" w:rsidR="007D070A" w:rsidRDefault="00F60BF2" w:rsidP="00B12627">
      <w:pPr>
        <w:pStyle w:val="Heading2"/>
      </w:pPr>
      <w:r>
        <w:t>Purpose</w:t>
      </w:r>
    </w:p>
    <w:p w14:paraId="21032D6B" w14:textId="1B6E781D" w:rsidR="00BB650C" w:rsidRDefault="00BB650C" w:rsidP="009B4F82">
      <w:pPr>
        <w:pStyle w:val="Listbullet1"/>
      </w:pPr>
      <w:r w:rsidRPr="00BB650C">
        <w:t xml:space="preserve">This </w:t>
      </w:r>
      <w:r w:rsidRPr="00F801B2">
        <w:t>policy</w:t>
      </w:r>
      <w:r w:rsidRPr="00BB650C">
        <w:t xml:space="preserve"> details the information entities </w:t>
      </w:r>
      <w:r w:rsidR="00496F4B">
        <w:t xml:space="preserve">are </w:t>
      </w:r>
      <w:r w:rsidRPr="00BB650C">
        <w:t>require</w:t>
      </w:r>
      <w:r w:rsidR="00496F4B">
        <w:t>d</w:t>
      </w:r>
      <w:r w:rsidRPr="00BB650C">
        <w:t xml:space="preserve"> to report </w:t>
      </w:r>
      <w:r w:rsidR="00BE011E">
        <w:t>under the Protective Security Policy Framework (PSPF)</w:t>
      </w:r>
      <w:r w:rsidR="00F84521">
        <w:t xml:space="preserve"> to</w:t>
      </w:r>
      <w:r w:rsidR="00BE011E">
        <w:t xml:space="preserve"> </w:t>
      </w:r>
      <w:r w:rsidR="00F84521" w:rsidRPr="00496F4B">
        <w:t xml:space="preserve">provide assurance </w:t>
      </w:r>
      <w:r w:rsidR="00F84521">
        <w:t xml:space="preserve">about their implementation of </w:t>
      </w:r>
      <w:r w:rsidR="00F84521" w:rsidRPr="00496F4B">
        <w:t>sound and responsible protective security practices</w:t>
      </w:r>
      <w:r w:rsidR="00D13C90">
        <w:t xml:space="preserve"> </w:t>
      </w:r>
      <w:r w:rsidR="00D13C90" w:rsidRPr="00D13C90">
        <w:rPr>
          <w:color w:val="4F6228" w:themeColor="accent3" w:themeShade="80"/>
        </w:rPr>
        <w:t>and</w:t>
      </w:r>
      <w:r w:rsidR="00BD596B" w:rsidRPr="00D13C90">
        <w:rPr>
          <w:color w:val="4F6228" w:themeColor="accent3" w:themeShade="80"/>
        </w:rPr>
        <w:t xml:space="preserve"> to </w:t>
      </w:r>
      <w:r w:rsidR="00BD596B">
        <w:t>identify</w:t>
      </w:r>
      <w:r w:rsidR="0046024C">
        <w:t xml:space="preserve"> </w:t>
      </w:r>
      <w:r w:rsidR="00F84521" w:rsidRPr="00496F4B">
        <w:t>security risks and vulnerabilities</w:t>
      </w:r>
      <w:r w:rsidR="00F84521">
        <w:t xml:space="preserve"> and</w:t>
      </w:r>
      <w:r w:rsidR="00F84521" w:rsidRPr="00496F4B">
        <w:t xml:space="preserve"> the steps </w:t>
      </w:r>
      <w:r w:rsidR="00D13C90" w:rsidRPr="00496F4B">
        <w:t xml:space="preserve">being </w:t>
      </w:r>
      <w:r w:rsidR="00F84521" w:rsidRPr="00496F4B">
        <w:t xml:space="preserve">taken </w:t>
      </w:r>
      <w:r w:rsidR="00F84521">
        <w:t>to mitigate them</w:t>
      </w:r>
      <w:r w:rsidR="00F84521" w:rsidRPr="00496F4B">
        <w:t>.</w:t>
      </w:r>
      <w:r w:rsidR="00F84521">
        <w:t xml:space="preserve"> The policy describes how entities</w:t>
      </w:r>
      <w:r w:rsidR="00BE011E">
        <w:t xml:space="preserve"> </w:t>
      </w:r>
      <w:r w:rsidRPr="00BB650C">
        <w:t xml:space="preserve">assess the maturity of </w:t>
      </w:r>
      <w:r w:rsidR="00BE011E">
        <w:t>the</w:t>
      </w:r>
      <w:r w:rsidR="00F84521">
        <w:t>ir</w:t>
      </w:r>
      <w:r w:rsidR="00BE011E" w:rsidRPr="00BB650C">
        <w:t xml:space="preserve"> </w:t>
      </w:r>
      <w:r w:rsidRPr="00BB650C">
        <w:t xml:space="preserve">security </w:t>
      </w:r>
      <w:r w:rsidR="00BE011E">
        <w:t>capability</w:t>
      </w:r>
      <w:r w:rsidR="00F84521">
        <w:t>,</w:t>
      </w:r>
      <w:r w:rsidRPr="00BB650C">
        <w:t xml:space="preserve"> includ</w:t>
      </w:r>
      <w:r w:rsidR="00F84521">
        <w:t>ing by</w:t>
      </w:r>
      <w:r w:rsidRPr="00BB650C">
        <w:t xml:space="preserve"> considering the entity’s:</w:t>
      </w:r>
    </w:p>
    <w:p w14:paraId="11F22C21" w14:textId="77777777" w:rsidR="00BB650C" w:rsidRPr="00BB650C" w:rsidRDefault="00BB650C" w:rsidP="005A60C1">
      <w:pPr>
        <w:pStyle w:val="Listbullet1"/>
        <w:numPr>
          <w:ilvl w:val="1"/>
          <w:numId w:val="347"/>
        </w:numPr>
      </w:pPr>
      <w:r w:rsidRPr="00BB650C">
        <w:t>progress in achieving the PSPF governance, information, personnel and physical security outcomes</w:t>
      </w:r>
    </w:p>
    <w:p w14:paraId="1293A1B1" w14:textId="77777777" w:rsidR="00BB650C" w:rsidRPr="00BB650C" w:rsidRDefault="00BB650C" w:rsidP="005A60C1">
      <w:pPr>
        <w:pStyle w:val="Listbullet1"/>
        <w:numPr>
          <w:ilvl w:val="1"/>
          <w:numId w:val="347"/>
        </w:numPr>
      </w:pPr>
      <w:r w:rsidRPr="00BB650C">
        <w:t xml:space="preserve">level of </w:t>
      </w:r>
      <w:r w:rsidRPr="00DC2EEA">
        <w:t>implementation</w:t>
      </w:r>
      <w:r w:rsidRPr="00BB650C">
        <w:t xml:space="preserve"> and management of the PSPF core and supporting requirements</w:t>
      </w:r>
    </w:p>
    <w:p w14:paraId="44AEC384" w14:textId="77777777" w:rsidR="00BB650C" w:rsidRPr="00BB650C" w:rsidRDefault="00BB650C" w:rsidP="005A60C1">
      <w:pPr>
        <w:pStyle w:val="Listbullet1"/>
        <w:numPr>
          <w:ilvl w:val="1"/>
          <w:numId w:val="347"/>
        </w:numPr>
      </w:pPr>
      <w:r w:rsidRPr="00BB650C">
        <w:t>risk environment and tolerance for security risks</w:t>
      </w:r>
    </w:p>
    <w:p w14:paraId="7F8F6BFA" w14:textId="77777777" w:rsidR="00BB650C" w:rsidRPr="00BB650C" w:rsidRDefault="006A5552" w:rsidP="005A60C1">
      <w:pPr>
        <w:pStyle w:val="Listbullet1"/>
        <w:numPr>
          <w:ilvl w:val="1"/>
          <w:numId w:val="347"/>
        </w:numPr>
      </w:pPr>
      <w:r>
        <w:t>strategies</w:t>
      </w:r>
      <w:r w:rsidR="00BB650C" w:rsidRPr="00BB650C">
        <w:t xml:space="preserve"> and timeframes to manage identified and unmitigated risks, and </w:t>
      </w:r>
    </w:p>
    <w:p w14:paraId="025C875F" w14:textId="73DAA1CE" w:rsidR="00496F4B" w:rsidRPr="00A013AF" w:rsidRDefault="00BB650C" w:rsidP="005A60C1">
      <w:pPr>
        <w:pStyle w:val="Listbullet1"/>
        <w:numPr>
          <w:ilvl w:val="1"/>
          <w:numId w:val="347"/>
        </w:numPr>
      </w:pPr>
      <w:proofErr w:type="gramStart"/>
      <w:r>
        <w:t>security</w:t>
      </w:r>
      <w:proofErr w:type="gramEnd"/>
      <w:r>
        <w:t xml:space="preserve"> risks to people, information </w:t>
      </w:r>
      <w:r w:rsidRPr="00497766">
        <w:t>and</w:t>
      </w:r>
      <w:r>
        <w:t xml:space="preserve"> assets.</w:t>
      </w:r>
    </w:p>
    <w:p w14:paraId="49B37CC3" w14:textId="57CDC3F8" w:rsidR="00A05362" w:rsidRDefault="00F60BF2" w:rsidP="00497766">
      <w:pPr>
        <w:pStyle w:val="Heading2"/>
      </w:pPr>
      <w:r>
        <w:t>Requirements</w:t>
      </w:r>
    </w:p>
    <w:p w14:paraId="05C62739" w14:textId="77777777" w:rsidR="00A05362" w:rsidRDefault="004D0C20" w:rsidP="00295994">
      <w:pPr>
        <w:pStyle w:val="Heading3"/>
      </w:pPr>
      <w:r>
        <w:t>Core requirement</w:t>
      </w:r>
    </w:p>
    <w:p w14:paraId="1DDB7C24" w14:textId="389B571A" w:rsidR="00BB650C" w:rsidRPr="00BB650C" w:rsidRDefault="00BB650C" w:rsidP="00BB650C">
      <w:pPr>
        <w:pStyle w:val="IntenseQuote"/>
        <w:spacing w:after="120"/>
      </w:pPr>
      <w:r w:rsidRPr="00BB650C">
        <w:t xml:space="preserve">Each entity must report on security: </w:t>
      </w:r>
    </w:p>
    <w:p w14:paraId="08364108" w14:textId="7383592D" w:rsidR="00BB650C" w:rsidRPr="009B797F" w:rsidRDefault="00126EC2" w:rsidP="009B797F">
      <w:pPr>
        <w:pStyle w:val="intensequotenumbered"/>
        <w:numPr>
          <w:ilvl w:val="2"/>
          <w:numId w:val="33"/>
        </w:numPr>
        <w:ind w:left="1656" w:hanging="360"/>
      </w:pPr>
      <w:r w:rsidRPr="00126EC2">
        <w:t xml:space="preserve">each financial year to </w:t>
      </w:r>
      <w:r w:rsidR="005672A4">
        <w:t>its</w:t>
      </w:r>
      <w:r w:rsidR="00BB650C" w:rsidRPr="00BB650C">
        <w:t xml:space="preserve"> portfolio minister and the Attorney-General’s Department </w:t>
      </w:r>
      <w:r w:rsidR="004B3318">
        <w:t>addressing</w:t>
      </w:r>
      <w:r w:rsidR="00BB650C" w:rsidRPr="00BB650C">
        <w:t xml:space="preserve">: </w:t>
      </w:r>
    </w:p>
    <w:p w14:paraId="24697C1E" w14:textId="77777777" w:rsidR="00BB650C" w:rsidRPr="00BB650C" w:rsidRDefault="00BB650C" w:rsidP="00EB0847">
      <w:pPr>
        <w:pStyle w:val="intensequotenumbered"/>
        <w:numPr>
          <w:ilvl w:val="2"/>
          <w:numId w:val="11"/>
        </w:numPr>
        <w:ind w:left="2376" w:hanging="360"/>
      </w:pPr>
      <w:r w:rsidRPr="00BB650C">
        <w:t>whether the entity achieved security outcomes through effectively implementing and managing requirements under the PSPF</w:t>
      </w:r>
    </w:p>
    <w:p w14:paraId="7DCB44D1" w14:textId="77777777" w:rsidR="00BB650C" w:rsidRPr="00BB650C" w:rsidRDefault="00BB650C" w:rsidP="00EB0847">
      <w:pPr>
        <w:pStyle w:val="intensequotenumbered"/>
        <w:numPr>
          <w:ilvl w:val="2"/>
          <w:numId w:val="11"/>
        </w:numPr>
        <w:ind w:left="2376" w:hanging="360"/>
      </w:pPr>
      <w:r w:rsidRPr="00BB650C">
        <w:t>the maturity of the entity’s security capability</w:t>
      </w:r>
    </w:p>
    <w:p w14:paraId="7A1BEF6C" w14:textId="77777777" w:rsidR="00BB650C" w:rsidRPr="00BB650C" w:rsidRDefault="00BB650C" w:rsidP="00EB0847">
      <w:pPr>
        <w:pStyle w:val="intensequotenumbered"/>
        <w:numPr>
          <w:ilvl w:val="2"/>
          <w:numId w:val="11"/>
        </w:numPr>
        <w:ind w:left="2376" w:hanging="360"/>
      </w:pPr>
      <w:r w:rsidRPr="00BB650C">
        <w:t xml:space="preserve">key </w:t>
      </w:r>
      <w:r w:rsidR="00E413ED">
        <w:t xml:space="preserve">security </w:t>
      </w:r>
      <w:r w:rsidRPr="00BB650C">
        <w:t>risks to the entity’s people, information and assets, and</w:t>
      </w:r>
    </w:p>
    <w:p w14:paraId="1CBCF8D9" w14:textId="77777777" w:rsidR="00BB650C" w:rsidRPr="00BB650C" w:rsidRDefault="00BB650C" w:rsidP="00EB0847">
      <w:pPr>
        <w:pStyle w:val="intensequotenumbered"/>
        <w:numPr>
          <w:ilvl w:val="2"/>
          <w:numId w:val="11"/>
        </w:numPr>
        <w:ind w:left="2376" w:hanging="360"/>
      </w:pPr>
      <w:r w:rsidRPr="00BB650C">
        <w:t>details of measures taken to mitigate or otherwise manage identified security risks</w:t>
      </w:r>
    </w:p>
    <w:p w14:paraId="18A364FE" w14:textId="5C71864A" w:rsidR="00BB650C" w:rsidRDefault="00CA59EA" w:rsidP="009B797F">
      <w:pPr>
        <w:pStyle w:val="intensequotenumbered"/>
        <w:numPr>
          <w:ilvl w:val="2"/>
          <w:numId w:val="33"/>
        </w:numPr>
        <w:ind w:left="1656" w:hanging="360"/>
      </w:pPr>
      <w:r>
        <w:t xml:space="preserve">to </w:t>
      </w:r>
      <w:r w:rsidR="00BB650C" w:rsidRPr="00BB650C">
        <w:t xml:space="preserve">affected entities whose interests or security arrangements could be affected by the outcome of unmitigated security risks, </w:t>
      </w:r>
      <w:r w:rsidR="00967181">
        <w:t xml:space="preserve">security incidents </w:t>
      </w:r>
      <w:r w:rsidR="00BB650C" w:rsidRPr="00BB650C">
        <w:t>or vulnera</w:t>
      </w:r>
      <w:r w:rsidR="00FC4673">
        <w:t>bilities in PSPF implementation</w:t>
      </w:r>
    </w:p>
    <w:p w14:paraId="31C0DA0A" w14:textId="0A399E20" w:rsidR="00126EC2" w:rsidRDefault="00CA59EA" w:rsidP="00DC2EEA">
      <w:pPr>
        <w:pStyle w:val="intensequotenumbered"/>
        <w:numPr>
          <w:ilvl w:val="2"/>
          <w:numId w:val="33"/>
        </w:numPr>
        <w:ind w:left="1656" w:hanging="360"/>
      </w:pPr>
      <w:proofErr w:type="gramStart"/>
      <w:r>
        <w:t>to</w:t>
      </w:r>
      <w:proofErr w:type="gramEnd"/>
      <w:r>
        <w:t xml:space="preserve"> </w:t>
      </w:r>
      <w:r w:rsidR="001B1B3A">
        <w:t xml:space="preserve">the Australian </w:t>
      </w:r>
      <w:r w:rsidR="00531917">
        <w:t>Signals Directorate</w:t>
      </w:r>
      <w:r w:rsidR="001B1B3A">
        <w:t xml:space="preserve"> in relation to cyber</w:t>
      </w:r>
      <w:r w:rsidR="00AF27C7">
        <w:t xml:space="preserve"> security</w:t>
      </w:r>
      <w:r w:rsidR="001B1B3A">
        <w:t xml:space="preserve"> matters</w:t>
      </w:r>
      <w:r w:rsidR="002F60C8">
        <w:t>.</w:t>
      </w:r>
    </w:p>
    <w:p w14:paraId="4E797452" w14:textId="77777777" w:rsidR="004D0C20" w:rsidRDefault="004D0C20" w:rsidP="00295994">
      <w:pPr>
        <w:pStyle w:val="Heading3"/>
      </w:pPr>
      <w:r>
        <w:t>Supporting requirements</w:t>
      </w:r>
    </w:p>
    <w:p w14:paraId="25E2EF42" w14:textId="41D7D163" w:rsidR="00AB3C25" w:rsidRDefault="00AB3C25" w:rsidP="005A60C1">
      <w:pPr>
        <w:pStyle w:val="Caption"/>
      </w:pPr>
      <w:r>
        <w:t>Supporting requirements for reporting on security</w:t>
      </w:r>
    </w:p>
    <w:tbl>
      <w:tblPr>
        <w:tblStyle w:val="LightShading-Accent4"/>
        <w:tblW w:w="0" w:type="auto"/>
        <w:jc w:val="center"/>
        <w:tblLook w:val="04A0" w:firstRow="1" w:lastRow="0" w:firstColumn="1" w:lastColumn="0" w:noHBand="0" w:noVBand="1"/>
        <w:tblCaption w:val="Supporting requirements for Reporting on security"/>
        <w:tblDescription w:val="This table has two columns. Column one identifies the requirement number and name. Column two describes the supporting requirement.&#10;&#10;There are three supporting requirements for management structures and responsibilities.&#10;&#10;Requirement 1. PSPF reporting model and template &#10;Each entity must submit a report on security each financial year:&#10;a. through the PSPF online reporting portal for information up to PROTECTED or &#10;b. by submitting an offline reporting template for information classified higher than PROTECTED.&#10;&#10;Requirement 2. Reporting security incidents &#10;Each entity must report any significant or reportable security incidents at the time they occur to: &#10;a. the Attorney-General’s Department&#10;b. the relevant lead security authority &#10;c. other affected entities.&#10;Table 3 provides detailed guidance on reporting security incidents.&#10;&#10;Requirement 3. ASD cyber security survey &#10;Each entity must complete the Australian Signals Directorate’s annual cyber security survey.&#10;"/>
      </w:tblPr>
      <w:tblGrid>
        <w:gridCol w:w="1869"/>
        <w:gridCol w:w="8597"/>
      </w:tblGrid>
      <w:tr w:rsidR="00AB3C25" w14:paraId="77432B28" w14:textId="77777777" w:rsidTr="00217FE0">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85" w:type="dxa"/>
            <w:hideMark/>
          </w:tcPr>
          <w:p w14:paraId="0E017339" w14:textId="77777777" w:rsidR="00AB3C25" w:rsidRDefault="00AB3C25">
            <w:pPr>
              <w:spacing w:after="0"/>
              <w:rPr>
                <w:rStyle w:val="Strong"/>
              </w:rPr>
            </w:pPr>
            <w:r>
              <w:rPr>
                <w:rStyle w:val="Strong"/>
                <w:b/>
              </w:rPr>
              <w:t>#</w:t>
            </w:r>
          </w:p>
        </w:tc>
        <w:tc>
          <w:tcPr>
            <w:tcW w:w="8797" w:type="dxa"/>
            <w:hideMark/>
          </w:tcPr>
          <w:p w14:paraId="68AE06AE" w14:textId="4DD0F8FB" w:rsidR="00B81EF6" w:rsidRPr="00B81EF6" w:rsidRDefault="00AB3C25">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217FE0" w14:paraId="1D7AE98A" w14:textId="77777777" w:rsidTr="00F801B2">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885" w:type="dxa"/>
            <w:tcBorders>
              <w:top w:val="nil"/>
              <w:bottom w:val="nil"/>
            </w:tcBorders>
          </w:tcPr>
          <w:p w14:paraId="66DB9796" w14:textId="77777777" w:rsidR="00217FE0" w:rsidRDefault="00217FE0" w:rsidP="00D13C90">
            <w:pPr>
              <w:spacing w:after="0"/>
              <w:rPr>
                <w:rStyle w:val="Strong"/>
              </w:rPr>
            </w:pPr>
            <w:r>
              <w:rPr>
                <w:rStyle w:val="Strong"/>
                <w:b/>
              </w:rPr>
              <w:t>Requirement 1</w:t>
            </w:r>
            <w:r w:rsidDel="004802DB">
              <w:rPr>
                <w:rStyle w:val="Strong"/>
                <w:b/>
              </w:rPr>
              <w:t>.</w:t>
            </w:r>
          </w:p>
          <w:p w14:paraId="115351A7" w14:textId="77777777" w:rsidR="00217FE0" w:rsidRDefault="00217FE0" w:rsidP="00D13C90">
            <w:pPr>
              <w:spacing w:after="0"/>
              <w:rPr>
                <w:rStyle w:val="Strong"/>
                <w:b/>
              </w:rPr>
            </w:pPr>
            <w:r>
              <w:rPr>
                <w:rStyle w:val="Strong"/>
                <w:b/>
              </w:rPr>
              <w:t xml:space="preserve">PSPF reporting </w:t>
            </w:r>
            <w:r w:rsidDel="0066520D">
              <w:rPr>
                <w:rStyle w:val="Strong"/>
                <w:b/>
              </w:rPr>
              <w:t xml:space="preserve">model and </w:t>
            </w:r>
            <w:r w:rsidDel="001C54E9">
              <w:rPr>
                <w:rStyle w:val="Strong"/>
                <w:b/>
              </w:rPr>
              <w:t>template</w:t>
            </w:r>
          </w:p>
        </w:tc>
        <w:tc>
          <w:tcPr>
            <w:tcW w:w="8797" w:type="dxa"/>
            <w:tcBorders>
              <w:top w:val="nil"/>
              <w:bottom w:val="nil"/>
            </w:tcBorders>
          </w:tcPr>
          <w:p w14:paraId="2360A9EA" w14:textId="0F16963C" w:rsidR="00A56325" w:rsidRDefault="00217FE0" w:rsidP="00D13C90">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rsidRPr="004802DB">
              <w:t xml:space="preserve">Each entity </w:t>
            </w:r>
            <w:r w:rsidRPr="004D3F0B">
              <w:rPr>
                <w:b/>
              </w:rPr>
              <w:t>must</w:t>
            </w:r>
            <w:r w:rsidRPr="004802DB">
              <w:t xml:space="preserve"> </w:t>
            </w:r>
            <w:r w:rsidR="005F056C">
              <w:t xml:space="preserve">submit a report </w:t>
            </w:r>
            <w:r w:rsidRPr="004802DB">
              <w:t>on security each financial year</w:t>
            </w:r>
            <w:r w:rsidR="00A56325">
              <w:t>:</w:t>
            </w:r>
          </w:p>
          <w:p w14:paraId="445F574D" w14:textId="379D9029" w:rsidR="00A56325" w:rsidRDefault="00217FE0" w:rsidP="00A56325">
            <w:pPr>
              <w:pStyle w:val="Tablebody"/>
              <w:numPr>
                <w:ilvl w:val="0"/>
                <w:numId w:val="102"/>
              </w:numPr>
              <w:cnfStyle w:val="000000100000" w:firstRow="0" w:lastRow="0" w:firstColumn="0" w:lastColumn="0" w:oddVBand="0" w:evenVBand="0" w:oddHBand="1" w:evenHBand="0" w:firstRowFirstColumn="0" w:firstRowLastColumn="0" w:lastRowFirstColumn="0" w:lastRowLastColumn="0"/>
            </w:pPr>
            <w:r w:rsidRPr="004802DB">
              <w:t>through the PSPF online reporting portal</w:t>
            </w:r>
            <w:r w:rsidR="00A56325">
              <w:t xml:space="preserve"> for information up to PROTECTED</w:t>
            </w:r>
            <w:r w:rsidRPr="004802DB">
              <w:t xml:space="preserve"> or </w:t>
            </w:r>
          </w:p>
          <w:p w14:paraId="44702652" w14:textId="6666C314" w:rsidR="00217FE0" w:rsidRDefault="004D3F0B" w:rsidP="00A56325">
            <w:pPr>
              <w:pStyle w:val="Tablebody"/>
              <w:numPr>
                <w:ilvl w:val="0"/>
                <w:numId w:val="102"/>
              </w:numPr>
              <w:cnfStyle w:val="000000100000" w:firstRow="0" w:lastRow="0" w:firstColumn="0" w:lastColumn="0" w:oddVBand="0" w:evenVBand="0" w:oddHBand="1" w:evenHBand="0" w:firstRowFirstColumn="0" w:firstRowLastColumn="0" w:lastRowFirstColumn="0" w:lastRowLastColumn="0"/>
            </w:pPr>
            <w:proofErr w:type="gramStart"/>
            <w:r>
              <w:t>b</w:t>
            </w:r>
            <w:r w:rsidR="00A56325">
              <w:t>y</w:t>
            </w:r>
            <w:proofErr w:type="gramEnd"/>
            <w:r w:rsidR="00A56325">
              <w:t xml:space="preserve"> submitting an </w:t>
            </w:r>
            <w:r w:rsidR="00217FE0" w:rsidRPr="004802DB">
              <w:t xml:space="preserve">offline reporting template </w:t>
            </w:r>
            <w:r w:rsidR="00A56325">
              <w:t>for information classified higher th</w:t>
            </w:r>
            <w:r>
              <w:t>a</w:t>
            </w:r>
            <w:r w:rsidR="00A56325">
              <w:t>n PROTECTED</w:t>
            </w:r>
            <w:r w:rsidR="00130B0F">
              <w:t>.</w:t>
            </w:r>
          </w:p>
        </w:tc>
      </w:tr>
      <w:tr w:rsidR="00217FE0" w14:paraId="590B606F" w14:textId="77777777" w:rsidTr="00217FE0">
        <w:trPr>
          <w:jc w:val="center"/>
        </w:trPr>
        <w:tc>
          <w:tcPr>
            <w:cnfStyle w:val="001000000000" w:firstRow="0" w:lastRow="0" w:firstColumn="1" w:lastColumn="0" w:oddVBand="0" w:evenVBand="0" w:oddHBand="0" w:evenHBand="0" w:firstRowFirstColumn="0" w:firstRowLastColumn="0" w:lastRowFirstColumn="0" w:lastRowLastColumn="0"/>
            <w:tcW w:w="1885" w:type="dxa"/>
            <w:tcBorders>
              <w:top w:val="nil"/>
              <w:bottom w:val="nil"/>
            </w:tcBorders>
          </w:tcPr>
          <w:p w14:paraId="0F5E0D21" w14:textId="4E63395E" w:rsidR="00217FE0" w:rsidRDefault="00217FE0" w:rsidP="00217FE0">
            <w:pPr>
              <w:spacing w:after="0"/>
              <w:rPr>
                <w:rStyle w:val="Strong"/>
              </w:rPr>
            </w:pPr>
            <w:r>
              <w:rPr>
                <w:rStyle w:val="Strong"/>
                <w:b/>
              </w:rPr>
              <w:t>Requirement 2.</w:t>
            </w:r>
          </w:p>
          <w:p w14:paraId="262A7518" w14:textId="26E302BB" w:rsidR="00A3467A" w:rsidRDefault="00217FE0" w:rsidP="00217FE0">
            <w:pPr>
              <w:spacing w:after="0"/>
              <w:rPr>
                <w:rStyle w:val="Strong"/>
                <w:b/>
                <w:bCs w:val="0"/>
              </w:rPr>
            </w:pPr>
            <w:r>
              <w:rPr>
                <w:rStyle w:val="Strong"/>
                <w:b/>
              </w:rPr>
              <w:t>Reporting security incidents</w:t>
            </w:r>
          </w:p>
          <w:p w14:paraId="38110D93" w14:textId="77777777" w:rsidR="00A3467A" w:rsidRPr="00A3467A" w:rsidRDefault="00A3467A" w:rsidP="00A3467A">
            <w:pPr>
              <w:rPr>
                <w:sz w:val="20"/>
              </w:rPr>
            </w:pPr>
          </w:p>
          <w:p w14:paraId="6DEC8936" w14:textId="2658CF2F" w:rsidR="00217FE0" w:rsidRPr="00A3467A" w:rsidRDefault="00217FE0" w:rsidP="00A3467A">
            <w:pPr>
              <w:rPr>
                <w:sz w:val="20"/>
              </w:rPr>
            </w:pPr>
          </w:p>
        </w:tc>
        <w:tc>
          <w:tcPr>
            <w:tcW w:w="8797" w:type="dxa"/>
            <w:tcBorders>
              <w:top w:val="nil"/>
              <w:bottom w:val="nil"/>
            </w:tcBorders>
          </w:tcPr>
          <w:p w14:paraId="45DAE5D9" w14:textId="4594EDEB" w:rsidR="00217FE0" w:rsidRDefault="00217FE0" w:rsidP="00217FE0">
            <w:pPr>
              <w:pStyle w:val="Tablebody"/>
              <w:cnfStyle w:val="000000000000" w:firstRow="0" w:lastRow="0" w:firstColumn="0" w:lastColumn="0" w:oddVBand="0" w:evenVBand="0" w:oddHBand="0" w:evenHBand="0" w:firstRowFirstColumn="0" w:firstRowLastColumn="0" w:lastRowFirstColumn="0" w:lastRowLastColumn="0"/>
            </w:pPr>
            <w:r>
              <w:t>E</w:t>
            </w:r>
            <w:r w:rsidR="00130B0F">
              <w:t>ach e</w:t>
            </w:r>
            <w:r>
              <w:t>ntit</w:t>
            </w:r>
            <w:r w:rsidR="00130B0F">
              <w:t>y</w:t>
            </w:r>
            <w:r>
              <w:t xml:space="preserve"> </w:t>
            </w:r>
            <w:r>
              <w:rPr>
                <w:b/>
              </w:rPr>
              <w:t xml:space="preserve">must </w:t>
            </w:r>
            <w:r>
              <w:t>report</w:t>
            </w:r>
            <w:r w:rsidR="00A72038">
              <w:t xml:space="preserve"> any</w:t>
            </w:r>
            <w:r>
              <w:t xml:space="preserve"> </w:t>
            </w:r>
            <w:r w:rsidR="00A72038">
              <w:t xml:space="preserve">significant or reportable security incidents </w:t>
            </w:r>
            <w:r>
              <w:t>at the time they occur</w:t>
            </w:r>
            <w:r w:rsidR="00A72038">
              <w:t xml:space="preserve"> to</w:t>
            </w:r>
            <w:r>
              <w:t xml:space="preserve">: </w:t>
            </w:r>
          </w:p>
          <w:p w14:paraId="79B07E49" w14:textId="3CA53BCB" w:rsidR="00217FE0" w:rsidRDefault="00217FE0" w:rsidP="00A56325">
            <w:pPr>
              <w:pStyle w:val="Tablebody"/>
              <w:numPr>
                <w:ilvl w:val="0"/>
                <w:numId w:val="348"/>
              </w:numPr>
              <w:cnfStyle w:val="000000000000" w:firstRow="0" w:lastRow="0" w:firstColumn="0" w:lastColumn="0" w:oddVBand="0" w:evenVBand="0" w:oddHBand="0" w:evenHBand="0" w:firstRowFirstColumn="0" w:firstRowLastColumn="0" w:lastRowFirstColumn="0" w:lastRowLastColumn="0"/>
            </w:pPr>
            <w:r>
              <w:t>the Attorney-General’s Department</w:t>
            </w:r>
          </w:p>
          <w:p w14:paraId="7D5387D1" w14:textId="66A7379B" w:rsidR="00295994" w:rsidRDefault="00217FE0" w:rsidP="00A72038">
            <w:pPr>
              <w:pStyle w:val="Tablebody"/>
              <w:numPr>
                <w:ilvl w:val="0"/>
                <w:numId w:val="348"/>
              </w:numPr>
              <w:cnfStyle w:val="000000000000" w:firstRow="0" w:lastRow="0" w:firstColumn="0" w:lastColumn="0" w:oddVBand="0" w:evenVBand="0" w:oddHBand="0" w:evenHBand="0" w:firstRowFirstColumn="0" w:firstRowLastColumn="0" w:lastRowFirstColumn="0" w:lastRowLastColumn="0"/>
            </w:pPr>
            <w:r>
              <w:t xml:space="preserve">the relevant lead security authority </w:t>
            </w:r>
          </w:p>
          <w:p w14:paraId="69EF0B08" w14:textId="77777777" w:rsidR="00217FE0" w:rsidRDefault="00217FE0" w:rsidP="00A72038">
            <w:pPr>
              <w:pStyle w:val="Tablebody"/>
              <w:numPr>
                <w:ilvl w:val="0"/>
                <w:numId w:val="348"/>
              </w:numPr>
              <w:cnfStyle w:val="000000000000" w:firstRow="0" w:lastRow="0" w:firstColumn="0" w:lastColumn="0" w:oddVBand="0" w:evenVBand="0" w:oddHBand="0" w:evenHBand="0" w:firstRowFirstColumn="0" w:firstRowLastColumn="0" w:lastRowFirstColumn="0" w:lastRowLastColumn="0"/>
            </w:pPr>
            <w:proofErr w:type="gramStart"/>
            <w:r>
              <w:t>other</w:t>
            </w:r>
            <w:proofErr w:type="gramEnd"/>
            <w:r>
              <w:t xml:space="preserve"> affected entities.</w:t>
            </w:r>
          </w:p>
          <w:p w14:paraId="02E9A92A" w14:textId="79C18BC8" w:rsidR="00295994" w:rsidRPr="00295994" w:rsidRDefault="000C7534" w:rsidP="000C7534">
            <w:pPr>
              <w:pStyle w:val="Tablebody"/>
              <w:cnfStyle w:val="000000000000" w:firstRow="0" w:lastRow="0" w:firstColumn="0" w:lastColumn="0" w:oddVBand="0" w:evenVBand="0" w:oddHBand="0" w:evenHBand="0" w:firstRowFirstColumn="0" w:firstRowLastColumn="0" w:lastRowFirstColumn="0" w:lastRowLastColumn="0"/>
            </w:pPr>
            <w:r>
              <w:rPr>
                <w:highlight w:val="yellow"/>
              </w:rPr>
              <w:fldChar w:fldCharType="begin"/>
            </w:r>
            <w:r>
              <w:instrText xml:space="preserve"> REF _Ref37276517 \h </w:instrText>
            </w:r>
            <w:r>
              <w:rPr>
                <w:highlight w:val="yellow"/>
              </w:rPr>
            </w:r>
            <w:r>
              <w:rPr>
                <w:highlight w:val="yellow"/>
              </w:rPr>
              <w:fldChar w:fldCharType="separate"/>
            </w:r>
            <w:r w:rsidR="001039E5">
              <w:t xml:space="preserve">Table </w:t>
            </w:r>
            <w:r w:rsidR="001039E5">
              <w:rPr>
                <w:noProof/>
              </w:rPr>
              <w:t>3</w:t>
            </w:r>
            <w:r>
              <w:rPr>
                <w:highlight w:val="yellow"/>
              </w:rPr>
              <w:fldChar w:fldCharType="end"/>
            </w:r>
            <w:r w:rsidR="00295994">
              <w:t xml:space="preserve"> provides detailed guidance on reporting security incidents.</w:t>
            </w:r>
          </w:p>
        </w:tc>
      </w:tr>
      <w:tr w:rsidR="00217FE0" w14:paraId="780D5760" w14:textId="77777777" w:rsidTr="00217FE0">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885" w:type="dxa"/>
            <w:tcBorders>
              <w:top w:val="nil"/>
              <w:bottom w:val="nil"/>
            </w:tcBorders>
          </w:tcPr>
          <w:p w14:paraId="247F7AAA" w14:textId="477B7C87" w:rsidR="00217FE0" w:rsidRDefault="00217FE0" w:rsidP="00217FE0">
            <w:pPr>
              <w:spacing w:after="0"/>
              <w:rPr>
                <w:rStyle w:val="Strong"/>
                <w:b/>
              </w:rPr>
            </w:pPr>
            <w:r>
              <w:rPr>
                <w:rStyle w:val="Strong"/>
                <w:b/>
              </w:rPr>
              <w:lastRenderedPageBreak/>
              <w:t>Requirement 3</w:t>
            </w:r>
            <w:r w:rsidR="005F056C">
              <w:rPr>
                <w:rStyle w:val="Strong"/>
                <w:b/>
              </w:rPr>
              <w:t>.</w:t>
            </w:r>
          </w:p>
          <w:p w14:paraId="49918B4C" w14:textId="77777777" w:rsidR="00217FE0" w:rsidRDefault="00217FE0" w:rsidP="00217FE0">
            <w:pPr>
              <w:spacing w:after="0"/>
              <w:rPr>
                <w:rStyle w:val="Strong"/>
              </w:rPr>
            </w:pPr>
            <w:r>
              <w:rPr>
                <w:rStyle w:val="Strong"/>
                <w:b/>
              </w:rPr>
              <w:t>ASD cyber security survey</w:t>
            </w:r>
          </w:p>
        </w:tc>
        <w:tc>
          <w:tcPr>
            <w:tcW w:w="8797" w:type="dxa"/>
            <w:tcBorders>
              <w:top w:val="nil"/>
              <w:bottom w:val="nil"/>
            </w:tcBorders>
          </w:tcPr>
          <w:p w14:paraId="6F99BDA5" w14:textId="170C0044" w:rsidR="00217FE0" w:rsidRDefault="00217FE0" w:rsidP="00217FE0">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t>E</w:t>
            </w:r>
            <w:r w:rsidR="00130B0F">
              <w:t>ach entity</w:t>
            </w:r>
            <w:r>
              <w:t xml:space="preserve"> </w:t>
            </w:r>
            <w:r w:rsidRPr="00BF3F4F">
              <w:rPr>
                <w:b/>
              </w:rPr>
              <w:t>must</w:t>
            </w:r>
            <w:r>
              <w:t xml:space="preserve"> complete the Australian Signals Directorate’s annual cyber security survey.</w:t>
            </w:r>
          </w:p>
        </w:tc>
      </w:tr>
    </w:tbl>
    <w:p w14:paraId="32DE0892" w14:textId="77777777" w:rsidR="00B95357" w:rsidRDefault="00E127AD" w:rsidP="00B95357">
      <w:pPr>
        <w:pStyle w:val="Heading2"/>
      </w:pPr>
      <w:r>
        <w:t>Guidance</w:t>
      </w:r>
    </w:p>
    <w:p w14:paraId="1EDF7406" w14:textId="1581B26E" w:rsidR="00DD5F08" w:rsidRDefault="00295994" w:rsidP="009B4F82">
      <w:pPr>
        <w:pStyle w:val="Listbullet1"/>
      </w:pPr>
      <w:r>
        <w:t xml:space="preserve">All </w:t>
      </w:r>
      <w:r w:rsidRPr="00220E33">
        <w:t xml:space="preserve">non-corporate Commonwealth </w:t>
      </w:r>
      <w:r w:rsidRPr="00A3129A">
        <w:t>entities</w:t>
      </w:r>
      <w:r>
        <w:t xml:space="preserve"> must meet the core and supporting requirements</w:t>
      </w:r>
      <w:r w:rsidR="00DD5F08">
        <w:t xml:space="preserve"> in this policy, consistent with </w:t>
      </w:r>
      <w:r w:rsidR="008E1890">
        <w:t xml:space="preserve">the requirement in </w:t>
      </w:r>
      <w:r w:rsidR="00DD5F08">
        <w:t xml:space="preserve">section 21 of </w:t>
      </w:r>
      <w:r>
        <w:t>t</w:t>
      </w:r>
      <w:r w:rsidRPr="00220E33">
        <w:t xml:space="preserve">he </w:t>
      </w:r>
      <w:hyperlink r:id="rId8" w:history="1">
        <w:r w:rsidRPr="00F801B2">
          <w:rPr>
            <w:rStyle w:val="Hyperlink"/>
            <w:i/>
          </w:rPr>
          <w:t>Public Governance, Performance and Accountability Act 2013</w:t>
        </w:r>
      </w:hyperlink>
      <w:r w:rsidR="008E1890">
        <w:t xml:space="preserve"> for the Accountable Authority of a non-corporate Commonwealth entity </w:t>
      </w:r>
      <w:r w:rsidR="008E1890" w:rsidRPr="008E1890">
        <w:t xml:space="preserve">to govern the </w:t>
      </w:r>
      <w:r w:rsidR="008E1890">
        <w:t>entity</w:t>
      </w:r>
      <w:r w:rsidR="008E1890" w:rsidRPr="008E1890">
        <w:t xml:space="preserve"> in a way that is ‘not inconsistent with’ the PSPF</w:t>
      </w:r>
      <w:r w:rsidR="008E1890">
        <w:t>.</w:t>
      </w:r>
    </w:p>
    <w:p w14:paraId="0E868832" w14:textId="7D72CE36" w:rsidR="00295994" w:rsidRDefault="00DD5F08" w:rsidP="009B4F82">
      <w:pPr>
        <w:pStyle w:val="Listbullet1"/>
      </w:pPr>
      <w:r>
        <w:t>The Attorney</w:t>
      </w:r>
      <w:r>
        <w:noBreakHyphen/>
        <w:t>General’s </w:t>
      </w:r>
      <w:r w:rsidR="00295994" w:rsidRPr="00A3129A">
        <w:t xml:space="preserve">Department </w:t>
      </w:r>
      <w:r w:rsidR="00295994" w:rsidRPr="00F801B2">
        <w:t>encourages</w:t>
      </w:r>
      <w:r w:rsidR="00295994" w:rsidRPr="00A3129A">
        <w:t xml:space="preserve"> corporate Commonwealth entities</w:t>
      </w:r>
      <w:r w:rsidR="00295994">
        <w:t xml:space="preserve"> and Commonwealth companies</w:t>
      </w:r>
      <w:r w:rsidR="00295994" w:rsidRPr="00A3129A">
        <w:t xml:space="preserve"> that implement the PSPF to also report on security.</w:t>
      </w:r>
    </w:p>
    <w:p w14:paraId="3D09C605" w14:textId="77777777" w:rsidR="00EC512B" w:rsidRDefault="00EC512B" w:rsidP="00295994">
      <w:pPr>
        <w:pStyle w:val="Heading3"/>
      </w:pPr>
      <w:r>
        <w:t xml:space="preserve">Reporting to the portfolio minister and </w:t>
      </w:r>
      <w:r w:rsidRPr="00295994">
        <w:t>the</w:t>
      </w:r>
      <w:r>
        <w:t xml:space="preserve"> Attorney-General’s Department</w:t>
      </w:r>
    </w:p>
    <w:p w14:paraId="7C008553" w14:textId="6D0DAEC8" w:rsidR="00C7594F" w:rsidRDefault="00EC512B" w:rsidP="009B4F82">
      <w:pPr>
        <w:pStyle w:val="Listbullet1"/>
      </w:pPr>
      <w:r w:rsidRPr="00A3129A">
        <w:t xml:space="preserve">The core requirement mandates that an entity must report on security each financial year to </w:t>
      </w:r>
      <w:r>
        <w:t xml:space="preserve">its </w:t>
      </w:r>
      <w:r w:rsidRPr="00A3129A">
        <w:t>portfolio minister</w:t>
      </w:r>
      <w:r>
        <w:t xml:space="preserve"> and to the Attorney-General’s Department</w:t>
      </w:r>
      <w:r w:rsidRPr="00A3129A">
        <w:t xml:space="preserve">. </w:t>
      </w:r>
      <w:r w:rsidR="00C7594F">
        <w:t>An</w:t>
      </w:r>
      <w:r w:rsidR="00C7594F" w:rsidRPr="00EF0EEF">
        <w:t xml:space="preserve"> </w:t>
      </w:r>
      <w:r w:rsidR="00C7594F">
        <w:t xml:space="preserve">entity’s </w:t>
      </w:r>
      <w:r w:rsidR="00C7594F" w:rsidRPr="00EF0EEF">
        <w:t xml:space="preserve">annual security report summarises the maturity of </w:t>
      </w:r>
      <w:r w:rsidR="00C7594F">
        <w:t xml:space="preserve">its </w:t>
      </w:r>
      <w:r w:rsidR="00C7594F" w:rsidRPr="00EF0EEF">
        <w:t xml:space="preserve">security </w:t>
      </w:r>
      <w:r w:rsidR="00C7594F">
        <w:t xml:space="preserve">capability </w:t>
      </w:r>
      <w:r w:rsidR="00C7594F" w:rsidRPr="00EF0EEF">
        <w:t xml:space="preserve">and </w:t>
      </w:r>
      <w:r w:rsidR="00C7594F">
        <w:t xml:space="preserve">the level of implementation and </w:t>
      </w:r>
      <w:r w:rsidR="00C7594F" w:rsidRPr="005706F5">
        <w:t>management</w:t>
      </w:r>
      <w:r w:rsidR="00C7594F">
        <w:t xml:space="preserve"> of the requirements under the PSPF. </w:t>
      </w:r>
    </w:p>
    <w:p w14:paraId="28BC981E" w14:textId="0E252F2A" w:rsidR="00B77338" w:rsidRDefault="00B77338" w:rsidP="00B77338">
      <w:pPr>
        <w:pStyle w:val="Listbullet1"/>
        <w:rPr>
          <w:shd w:val="clear" w:color="auto" w:fill="FFFFFF"/>
        </w:rPr>
      </w:pPr>
      <w:r>
        <w:rPr>
          <w:shd w:val="clear" w:color="auto" w:fill="FFFFFF"/>
        </w:rPr>
        <w:t>The</w:t>
      </w:r>
      <w:r w:rsidRPr="005A60C1">
        <w:rPr>
          <w:shd w:val="clear" w:color="auto" w:fill="FFFFFF"/>
        </w:rPr>
        <w:t xml:space="preserve"> annual security report </w:t>
      </w:r>
      <w:r>
        <w:rPr>
          <w:shd w:val="clear" w:color="auto" w:fill="FFFFFF"/>
        </w:rPr>
        <w:t>will show the extent to which an entity has:</w:t>
      </w:r>
    </w:p>
    <w:p w14:paraId="66247AA2" w14:textId="438F0B4A" w:rsidR="00B77338" w:rsidRPr="00B24638" w:rsidRDefault="00B77338" w:rsidP="005A60C1">
      <w:pPr>
        <w:pStyle w:val="Listbullet1"/>
        <w:numPr>
          <w:ilvl w:val="1"/>
          <w:numId w:val="347"/>
        </w:numPr>
      </w:pPr>
      <w:r>
        <w:rPr>
          <w:bCs/>
          <w:lang w:val="en-GB"/>
        </w:rPr>
        <w:t>achieved t</w:t>
      </w:r>
      <w:r w:rsidRPr="00804FC1">
        <w:rPr>
          <w:bCs/>
          <w:lang w:val="en-GB"/>
        </w:rPr>
        <w:t>he</w:t>
      </w:r>
      <w:r>
        <w:rPr>
          <w:bCs/>
          <w:lang w:val="en-GB"/>
        </w:rPr>
        <w:t xml:space="preserve"> </w:t>
      </w:r>
      <w:r w:rsidRPr="00804FC1">
        <w:rPr>
          <w:b/>
          <w:bCs/>
          <w:i/>
          <w:lang w:val="en-GB"/>
        </w:rPr>
        <w:t xml:space="preserve">four </w:t>
      </w:r>
      <w:r>
        <w:rPr>
          <w:b/>
          <w:bCs/>
          <w:i/>
          <w:lang w:val="en-GB"/>
        </w:rPr>
        <w:t xml:space="preserve">protective security </w:t>
      </w:r>
      <w:r w:rsidRPr="00804FC1">
        <w:rPr>
          <w:b/>
          <w:bCs/>
          <w:i/>
          <w:lang w:val="en-GB"/>
        </w:rPr>
        <w:t>outcomes</w:t>
      </w:r>
      <w:r w:rsidRPr="003F68A7">
        <w:rPr>
          <w:b/>
          <w:bCs/>
          <w:i/>
          <w:lang w:val="en-GB"/>
        </w:rPr>
        <w:t xml:space="preserve"> </w:t>
      </w:r>
      <w:r>
        <w:rPr>
          <w:lang w:val="en-GB"/>
        </w:rPr>
        <w:t xml:space="preserve">relating to </w:t>
      </w:r>
      <w:r w:rsidRPr="003F68A7">
        <w:rPr>
          <w:lang w:val="en-GB"/>
        </w:rPr>
        <w:t>security governance,</w:t>
      </w:r>
      <w:r w:rsidRPr="005A60C1">
        <w:rPr>
          <w:lang w:val="en-GB"/>
        </w:rPr>
        <w:t xml:space="preserve"> information</w:t>
      </w:r>
      <w:r w:rsidRPr="003F68A7">
        <w:rPr>
          <w:lang w:val="en-GB"/>
        </w:rPr>
        <w:t>, personnel and physical security</w:t>
      </w:r>
    </w:p>
    <w:p w14:paraId="20817A7C" w14:textId="77777777" w:rsidR="00B77338" w:rsidRDefault="00B77338" w:rsidP="00B77338">
      <w:pPr>
        <w:pStyle w:val="Listbullet1"/>
        <w:numPr>
          <w:ilvl w:val="1"/>
          <w:numId w:val="347"/>
        </w:numPr>
        <w:rPr>
          <w:lang w:val="en-GB"/>
        </w:rPr>
      </w:pPr>
      <w:proofErr w:type="gramStart"/>
      <w:r w:rsidRPr="00C45DD1">
        <w:rPr>
          <w:bCs/>
          <w:lang w:val="en-GB"/>
        </w:rPr>
        <w:t>implemented</w:t>
      </w:r>
      <w:proofErr w:type="gramEnd"/>
      <w:r w:rsidRPr="00C45DD1">
        <w:rPr>
          <w:bCs/>
          <w:lang w:val="en-GB"/>
        </w:rPr>
        <w:t xml:space="preserve"> the </w:t>
      </w:r>
      <w:r>
        <w:rPr>
          <w:b/>
          <w:bCs/>
          <w:i/>
          <w:lang w:val="en-GB"/>
        </w:rPr>
        <w:t>16</w:t>
      </w:r>
      <w:r w:rsidRPr="00C45DD1">
        <w:rPr>
          <w:b/>
          <w:bCs/>
          <w:i/>
          <w:lang w:val="en-GB"/>
        </w:rPr>
        <w:t xml:space="preserve"> core requirements</w:t>
      </w:r>
      <w:r w:rsidRPr="00C45DD1">
        <w:rPr>
          <w:lang w:val="en-GB"/>
        </w:rPr>
        <w:t xml:space="preserve"> and the </w:t>
      </w:r>
      <w:r w:rsidRPr="00C45DD1">
        <w:rPr>
          <w:b/>
          <w:lang w:val="en-GB"/>
        </w:rPr>
        <w:t xml:space="preserve">supporting requirements </w:t>
      </w:r>
      <w:r w:rsidRPr="00C45DD1">
        <w:rPr>
          <w:lang w:val="en-GB"/>
        </w:rPr>
        <w:t>that entities </w:t>
      </w:r>
      <w:r w:rsidRPr="00C45DD1">
        <w:rPr>
          <w:b/>
          <w:bCs/>
          <w:lang w:val="en-GB"/>
        </w:rPr>
        <w:t>must</w:t>
      </w:r>
      <w:r w:rsidRPr="00C45DD1">
        <w:rPr>
          <w:lang w:val="en-GB"/>
        </w:rPr>
        <w:t> </w:t>
      </w:r>
      <w:r>
        <w:rPr>
          <w:lang w:val="en-GB"/>
        </w:rPr>
        <w:t>meet</w:t>
      </w:r>
      <w:r w:rsidRPr="00C45DD1">
        <w:rPr>
          <w:lang w:val="en-GB"/>
        </w:rPr>
        <w:t xml:space="preserve"> to achieve the four protective security outcomes.  </w:t>
      </w:r>
    </w:p>
    <w:p w14:paraId="2244B486" w14:textId="77777777" w:rsidR="00B77338" w:rsidRPr="00C45DD1" w:rsidRDefault="00B77338" w:rsidP="00B77338">
      <w:pPr>
        <w:pStyle w:val="Listbullet1"/>
        <w:numPr>
          <w:ilvl w:val="1"/>
          <w:numId w:val="347"/>
        </w:numPr>
        <w:rPr>
          <w:lang w:val="en-GB"/>
        </w:rPr>
      </w:pPr>
      <w:r w:rsidRPr="00C45DD1">
        <w:rPr>
          <w:lang w:val="en-GB"/>
        </w:rPr>
        <w:t xml:space="preserve">identified the </w:t>
      </w:r>
      <w:r w:rsidRPr="00C45DD1">
        <w:rPr>
          <w:b/>
          <w:i/>
          <w:lang w:val="en-GB"/>
        </w:rPr>
        <w:t>key security risks</w:t>
      </w:r>
      <w:r w:rsidRPr="00C45DD1">
        <w:rPr>
          <w:lang w:val="en-GB"/>
        </w:rPr>
        <w:t xml:space="preserve"> relevant to the particular entity’s people, information and assets, and</w:t>
      </w:r>
    </w:p>
    <w:p w14:paraId="40CE4B7A" w14:textId="77777777" w:rsidR="00B77338" w:rsidRDefault="00B77338" w:rsidP="00B77338">
      <w:pPr>
        <w:pStyle w:val="Listbullet1"/>
        <w:numPr>
          <w:ilvl w:val="1"/>
          <w:numId w:val="347"/>
        </w:numPr>
      </w:pPr>
      <w:proofErr w:type="gramStart"/>
      <w:r>
        <w:rPr>
          <w:lang w:val="en-GB"/>
        </w:rPr>
        <w:t>implemented</w:t>
      </w:r>
      <w:proofErr w:type="gramEnd"/>
      <w:r>
        <w:rPr>
          <w:lang w:val="en-GB"/>
        </w:rPr>
        <w:t xml:space="preserve"> </w:t>
      </w:r>
      <w:r w:rsidRPr="00193785">
        <w:rPr>
          <w:lang w:val="en-GB"/>
        </w:rPr>
        <w:t xml:space="preserve">strategies and timeframes to </w:t>
      </w:r>
      <w:r w:rsidRPr="0081160F">
        <w:rPr>
          <w:b/>
          <w:lang w:val="en-GB"/>
        </w:rPr>
        <w:t>manage identified and unmitigated risks</w:t>
      </w:r>
      <w:r w:rsidRPr="0097187D">
        <w:rPr>
          <w:lang w:val="en-GB"/>
        </w:rPr>
        <w:t>.</w:t>
      </w:r>
    </w:p>
    <w:p w14:paraId="029D327C" w14:textId="58DD3933" w:rsidR="008546A9" w:rsidRDefault="008546A9" w:rsidP="009B4F82">
      <w:pPr>
        <w:pStyle w:val="Listbullet1"/>
      </w:pPr>
      <w:r>
        <w:t>The Attorney-General’s Department</w:t>
      </w:r>
      <w:r w:rsidR="008E1890">
        <w:t xml:space="preserve"> provides an online reporting portal (for information classified up to PROTECTED) or a reporting template (for information classified higher than PROTECTED)</w:t>
      </w:r>
      <w:r w:rsidR="00C7594F">
        <w:t xml:space="preserve"> to support entities to capture relevant information and meet all the elements of the core requirement.</w:t>
      </w:r>
      <w:r w:rsidR="00B77338">
        <w:t xml:space="preserve"> The portal and template are based on </w:t>
      </w:r>
      <w:r w:rsidR="00B77338" w:rsidRPr="00A3129A">
        <w:t>the PSPF Maturity Self-Assessment Model</w:t>
      </w:r>
      <w:r w:rsidR="00B77338">
        <w:t>, which is provided at Annex A.</w:t>
      </w:r>
    </w:p>
    <w:p w14:paraId="6FAAB404" w14:textId="09983B11" w:rsidR="00AF20F3" w:rsidRPr="004C6EE0" w:rsidRDefault="00B77338" w:rsidP="00AF20F3">
      <w:pPr>
        <w:pStyle w:val="Listbullet1"/>
      </w:pPr>
      <w:r>
        <w:rPr>
          <w:shd w:val="clear" w:color="auto" w:fill="FFFFFF"/>
        </w:rPr>
        <w:t>The</w:t>
      </w:r>
      <w:r w:rsidRPr="00B24638">
        <w:rPr>
          <w:shd w:val="clear" w:color="auto" w:fill="FFFFFF"/>
        </w:rPr>
        <w:t xml:space="preserve"> </w:t>
      </w:r>
      <w:r w:rsidRPr="00A3129A">
        <w:t>Maturity Self-Assessment Model</w:t>
      </w:r>
      <w:r>
        <w:rPr>
          <w:shd w:val="clear" w:color="auto" w:fill="FFFFFF"/>
        </w:rPr>
        <w:t xml:space="preserve"> requires </w:t>
      </w:r>
      <w:r>
        <w:t xml:space="preserve">entities to assess their security capability against four levels of maturity—ad hoc, developing, managing and embedded—and </w:t>
      </w:r>
      <w:r w:rsidR="00AF20F3" w:rsidRPr="004C6EE0">
        <w:t xml:space="preserve">provides a meaningful scale to </w:t>
      </w:r>
      <w:r w:rsidR="00AF20F3">
        <w:t>support c</w:t>
      </w:r>
      <w:r>
        <w:t>onsider</w:t>
      </w:r>
      <w:r w:rsidR="00AF20F3">
        <w:t>ation of</w:t>
      </w:r>
      <w:r>
        <w:t xml:space="preserve"> the </w:t>
      </w:r>
      <w:r>
        <w:rPr>
          <w:lang w:val="en-US"/>
        </w:rPr>
        <w:t xml:space="preserve">entity's overall security position within its specific risk environment and risk tolerances.  </w:t>
      </w:r>
      <w:r w:rsidR="00AF20F3">
        <w:t xml:space="preserve">The </w:t>
      </w:r>
      <w:r w:rsidR="00AF20F3" w:rsidRPr="00B77338">
        <w:rPr>
          <w:lang w:val="en-US"/>
        </w:rPr>
        <w:t>Maturity Sel</w:t>
      </w:r>
      <w:r w:rsidR="00AF20F3">
        <w:rPr>
          <w:lang w:val="en-US"/>
        </w:rPr>
        <w:t>f-Assessment Model</w:t>
      </w:r>
      <w:r w:rsidR="00AF20F3" w:rsidRPr="00B77338">
        <w:rPr>
          <w:lang w:val="en-US"/>
        </w:rPr>
        <w:t xml:space="preserve"> </w:t>
      </w:r>
      <w:r w:rsidR="00AF20F3">
        <w:rPr>
          <w:lang w:val="en-US"/>
        </w:rPr>
        <w:t xml:space="preserve">helps entities </w:t>
      </w:r>
      <w:r w:rsidR="00AF20F3">
        <w:t>acknowledge</w:t>
      </w:r>
      <w:r w:rsidR="00AF20F3" w:rsidRPr="004C6EE0">
        <w:t xml:space="preserve"> successes and progress</w:t>
      </w:r>
      <w:r w:rsidR="00AF20F3">
        <w:t xml:space="preserve"> towards</w:t>
      </w:r>
      <w:r w:rsidR="00AF20F3" w:rsidRPr="004C6EE0">
        <w:t xml:space="preserve"> implementation</w:t>
      </w:r>
      <w:r w:rsidR="00AF20F3">
        <w:t>;</w:t>
      </w:r>
      <w:r w:rsidR="00AF20F3" w:rsidRPr="004C6EE0">
        <w:t xml:space="preserve"> and aids decision-making by highlighting areas for improvement.</w:t>
      </w:r>
    </w:p>
    <w:p w14:paraId="79730008" w14:textId="7AC62972" w:rsidR="00B77338" w:rsidRPr="00B77338" w:rsidRDefault="00B77338" w:rsidP="00B77338">
      <w:pPr>
        <w:pStyle w:val="Listbullet1"/>
        <w:rPr>
          <w:lang w:val="en-US"/>
        </w:rPr>
      </w:pPr>
      <w:r w:rsidRPr="00B77338">
        <w:rPr>
          <w:lang w:val="en-US"/>
        </w:rPr>
        <w:t>Under the Maturity Sel</w:t>
      </w:r>
      <w:r>
        <w:rPr>
          <w:lang w:val="en-US"/>
        </w:rPr>
        <w:t>f-Assessment Model</w:t>
      </w:r>
      <w:r w:rsidRPr="00B77338">
        <w:rPr>
          <w:lang w:val="en-US"/>
        </w:rPr>
        <w:t xml:space="preserve"> the maturity levels </w:t>
      </w:r>
      <w:r>
        <w:rPr>
          <w:lang w:val="en-US"/>
        </w:rPr>
        <w:t>are</w:t>
      </w:r>
      <w:r w:rsidRPr="00B77338">
        <w:rPr>
          <w:lang w:val="en-US"/>
        </w:rPr>
        <w:t>:</w:t>
      </w:r>
    </w:p>
    <w:p w14:paraId="4BD53CD9" w14:textId="77777777" w:rsidR="00B77338" w:rsidRPr="005A60C1" w:rsidRDefault="00B77338" w:rsidP="005A60C1">
      <w:pPr>
        <w:pStyle w:val="Listbullet1"/>
        <w:numPr>
          <w:ilvl w:val="1"/>
          <w:numId w:val="347"/>
        </w:numPr>
      </w:pPr>
      <w:r w:rsidRPr="005A60C1">
        <w:rPr>
          <w:b/>
        </w:rPr>
        <w:t>ad hoc</w:t>
      </w:r>
      <w:r w:rsidRPr="005A60C1">
        <w:rPr>
          <w:lang w:val="en-US"/>
        </w:rPr>
        <w:t>:</w:t>
      </w:r>
      <w:r w:rsidRPr="005A60C1">
        <w:t xml:space="preserve"> partial or basic implementation and management of PSPF core and supporting requirements </w:t>
      </w:r>
    </w:p>
    <w:p w14:paraId="4E8C3A1B" w14:textId="77777777" w:rsidR="00B77338" w:rsidRPr="005A60C1" w:rsidRDefault="00B77338" w:rsidP="005A60C1">
      <w:pPr>
        <w:pStyle w:val="Listbullet1"/>
        <w:numPr>
          <w:ilvl w:val="1"/>
          <w:numId w:val="347"/>
        </w:numPr>
      </w:pPr>
      <w:r w:rsidRPr="005A60C1">
        <w:rPr>
          <w:b/>
        </w:rPr>
        <w:t>developing</w:t>
      </w:r>
      <w:r w:rsidRPr="005A60C1">
        <w:rPr>
          <w:lang w:val="en-US"/>
        </w:rPr>
        <w:t>:</w:t>
      </w:r>
      <w:r w:rsidRPr="005A60C1">
        <w:t xml:space="preserve"> substantial, but not fully effective implementation and management of PSPF core and supporting requirements</w:t>
      </w:r>
    </w:p>
    <w:p w14:paraId="749DFF83" w14:textId="77777777" w:rsidR="00B77338" w:rsidRPr="005A60C1" w:rsidRDefault="00B77338" w:rsidP="005A60C1">
      <w:pPr>
        <w:pStyle w:val="Listbullet1"/>
        <w:numPr>
          <w:ilvl w:val="1"/>
          <w:numId w:val="347"/>
        </w:numPr>
      </w:pPr>
      <w:r w:rsidRPr="005A60C1">
        <w:rPr>
          <w:b/>
        </w:rPr>
        <w:t>managing</w:t>
      </w:r>
      <w:r w:rsidRPr="005A60C1">
        <w:rPr>
          <w:lang w:val="en-US"/>
        </w:rPr>
        <w:t>:</w:t>
      </w:r>
      <w:r w:rsidRPr="005A60C1">
        <w:t xml:space="preserve"> complete and effective implementation and management of PSPF core and supporting requirements-this</w:t>
      </w:r>
      <w:r w:rsidRPr="005A60C1">
        <w:rPr>
          <w:lang w:val="en-US"/>
        </w:rPr>
        <w:t xml:space="preserve"> </w:t>
      </w:r>
      <w:r w:rsidRPr="005A60C1">
        <w:t>is the baseline maturity level for reporting entities</w:t>
      </w:r>
    </w:p>
    <w:p w14:paraId="47E476A7" w14:textId="62EEA7F0" w:rsidR="00B77338" w:rsidRPr="00B77338" w:rsidRDefault="00B77338" w:rsidP="00B77338">
      <w:pPr>
        <w:pStyle w:val="Listbullet1"/>
        <w:numPr>
          <w:ilvl w:val="1"/>
          <w:numId w:val="347"/>
        </w:numPr>
        <w:rPr>
          <w:lang w:val="en-US"/>
        </w:rPr>
      </w:pPr>
      <w:r w:rsidRPr="005A60C1">
        <w:rPr>
          <w:b/>
        </w:rPr>
        <w:t>embedded</w:t>
      </w:r>
      <w:r w:rsidRPr="005A60C1">
        <w:rPr>
          <w:lang w:val="en-US"/>
        </w:rPr>
        <w:t>:</w:t>
      </w:r>
      <w:r w:rsidRPr="005A60C1">
        <w:t xml:space="preserve"> comprehensive and effective implementation and proactive management of PSPF core and supporting requirements and excelling at implementation of better-practice guidance</w:t>
      </w:r>
    </w:p>
    <w:p w14:paraId="09E7C227" w14:textId="3E620603" w:rsidR="003B1104" w:rsidRPr="00116E26" w:rsidRDefault="008546A9" w:rsidP="00E303C1">
      <w:pPr>
        <w:pStyle w:val="Heading4"/>
      </w:pPr>
      <w:r>
        <w:t>Preparing for PSPF reporting</w:t>
      </w:r>
    </w:p>
    <w:p w14:paraId="08CD202B" w14:textId="337626F7" w:rsidR="003B1104" w:rsidRDefault="00C7594F" w:rsidP="009B4F82">
      <w:pPr>
        <w:pStyle w:val="Listbullet1"/>
      </w:pPr>
      <w:r w:rsidRPr="00BB650C">
        <w:t>As detailed in PSPF policy</w:t>
      </w:r>
      <w:hyperlink r:id="rId9" w:history="1">
        <w:r w:rsidRPr="00BB650C">
          <w:rPr>
            <w:rStyle w:val="Hyperlink"/>
            <w:color w:val="auto"/>
            <w:u w:val="none"/>
          </w:rPr>
          <w:t xml:space="preserve">: </w:t>
        </w:r>
        <w:r w:rsidRPr="00BB650C">
          <w:rPr>
            <w:rStyle w:val="Hyperlink"/>
          </w:rPr>
          <w:t>Security maturity monitoring</w:t>
        </w:r>
      </w:hyperlink>
      <w:r w:rsidRPr="00BB650C">
        <w:rPr>
          <w:rStyle w:val="Hyperlink"/>
          <w:color w:val="auto"/>
          <w:u w:val="none"/>
        </w:rPr>
        <w:t>,</w:t>
      </w:r>
      <w:r w:rsidRPr="00BB650C">
        <w:t xml:space="preserve"> entities are required to regularly </w:t>
      </w:r>
      <w:r w:rsidR="003B1104" w:rsidRPr="009B4F82">
        <w:t>monitor</w:t>
      </w:r>
      <w:r w:rsidR="003B1104">
        <w:t xml:space="preserve"> and assess</w:t>
      </w:r>
      <w:r w:rsidR="003B1104" w:rsidRPr="00BB650C">
        <w:t xml:space="preserve"> the</w:t>
      </w:r>
      <w:r>
        <w:t>ir</w:t>
      </w:r>
      <w:r w:rsidR="003B1104" w:rsidRPr="00BB650C">
        <w:t xml:space="preserve"> security capability and </w:t>
      </w:r>
      <w:r w:rsidR="003B1104">
        <w:t>risk culture</w:t>
      </w:r>
      <w:r w:rsidR="003B1104" w:rsidRPr="00BB650C">
        <w:t xml:space="preserve"> </w:t>
      </w:r>
      <w:r>
        <w:t>by considering their</w:t>
      </w:r>
      <w:r w:rsidR="003B1104">
        <w:t xml:space="preserve"> progress against the goals and strate</w:t>
      </w:r>
      <w:r>
        <w:t>gic objectives identified in the</w:t>
      </w:r>
      <w:r w:rsidR="003B1104">
        <w:t xml:space="preserve"> security plan</w:t>
      </w:r>
      <w:r w:rsidR="003B1104">
        <w:rPr>
          <w:rStyle w:val="Hyperlink"/>
          <w:color w:val="auto"/>
          <w:u w:val="none"/>
        </w:rPr>
        <w:t>.</w:t>
      </w:r>
      <w:r>
        <w:rPr>
          <w:rStyle w:val="Hyperlink"/>
          <w:color w:val="auto"/>
          <w:u w:val="none"/>
        </w:rPr>
        <w:t xml:space="preserve"> </w:t>
      </w:r>
      <w:r w:rsidR="001311A0">
        <w:rPr>
          <w:rStyle w:val="Hyperlink"/>
          <w:color w:val="auto"/>
          <w:u w:val="none"/>
        </w:rPr>
        <w:t>I</w:t>
      </w:r>
      <w:r>
        <w:rPr>
          <w:rStyle w:val="Hyperlink"/>
          <w:color w:val="auto"/>
          <w:u w:val="none"/>
        </w:rPr>
        <w:t xml:space="preserve">nformation </w:t>
      </w:r>
      <w:r w:rsidR="001311A0">
        <w:rPr>
          <w:rStyle w:val="Hyperlink"/>
          <w:color w:val="auto"/>
          <w:u w:val="none"/>
        </w:rPr>
        <w:t>collected through security maturity monitoring can be used to inform the entity’s annual security report. Figure 1 illustrates the possible information collection points that can be documented as an entity goes through the process of planning, managing and monitoring its path to security maturity.</w:t>
      </w:r>
    </w:p>
    <w:p w14:paraId="136C88AD" w14:textId="157E2ADE" w:rsidR="00F35B1D" w:rsidRDefault="00F35B1D" w:rsidP="00F35B1D">
      <w:pPr>
        <w:pStyle w:val="Caption"/>
      </w:pPr>
      <w:bookmarkStart w:id="2" w:name="_Ref518471520"/>
      <w:r w:rsidRPr="00FB5CFE">
        <w:lastRenderedPageBreak/>
        <w:t xml:space="preserve">Figure </w:t>
      </w:r>
      <w:r>
        <w:rPr>
          <w:noProof/>
        </w:rPr>
        <w:fldChar w:fldCharType="begin"/>
      </w:r>
      <w:r>
        <w:rPr>
          <w:noProof/>
        </w:rPr>
        <w:instrText xml:space="preserve"> SEQ Figure \* ARABIC </w:instrText>
      </w:r>
      <w:r>
        <w:rPr>
          <w:noProof/>
        </w:rPr>
        <w:fldChar w:fldCharType="separate"/>
      </w:r>
      <w:r w:rsidR="001039E5">
        <w:rPr>
          <w:noProof/>
        </w:rPr>
        <w:t>1</w:t>
      </w:r>
      <w:r>
        <w:rPr>
          <w:noProof/>
        </w:rPr>
        <w:fldChar w:fldCharType="end"/>
      </w:r>
      <w:bookmarkEnd w:id="2"/>
      <w:r>
        <w:t xml:space="preserve"> Path</w:t>
      </w:r>
      <w:r w:rsidR="001311A0">
        <w:t>way</w:t>
      </w:r>
      <w:r>
        <w:t xml:space="preserve"> to </w:t>
      </w:r>
      <w:r w:rsidR="001311A0">
        <w:t xml:space="preserve">collect information on </w:t>
      </w:r>
      <w:r>
        <w:t>security maturity</w:t>
      </w:r>
    </w:p>
    <w:p w14:paraId="45C40540" w14:textId="77777777" w:rsidR="00F35B1D" w:rsidRPr="00B2380D" w:rsidRDefault="00F35B1D" w:rsidP="00F35B1D">
      <w:r>
        <w:rPr>
          <w:noProof/>
          <w:lang w:eastAsia="en-AU"/>
        </w:rPr>
        <w:drawing>
          <wp:inline distT="0" distB="0" distL="0" distR="0" wp14:anchorId="0C0A4F21" wp14:editId="028A6787">
            <wp:extent cx="6645910" cy="3920485"/>
            <wp:effectExtent l="0" t="0" r="2540" b="4445"/>
            <wp:docPr id="1" name="Picture 1" descr="This is a visual representation of a possible path to security maturity.&#10;&#10;There are 5 main steps an entity can follow in developing security maturity. They are set out as headings: consider, plan, manage, monitor and report.&#10;&#10;Under these headings are other factors to be taken into account. PSPF governance-related policies provide further guidance. For example: &#10;Role of accountable authority recommends implementing and considering PSPF requirements.&#10;&#10;Management structure and responsibilities recommends determining or reviewing security oversight arrangements and developing or reviewing robust security culture and awareness training.&#10;&#10;Security planning and risk management recommeds taking four factors into account.&#10;1. Develop/review security goals, objectives and procedures.&#10;2. Adopt/consider effectiveness of security risk management.&#10;3. Identify/monitor preformance indicators.&#10;4. Approve/review security plan.&#10;&#10;The security maturity monitoring policy makes three recommendations:&#10;1. Monitor security risks, emerging issues and changes in context.&#10;2. Monitor effectiveness of achieving security outcomes.&#10;3. Identify opportunities for improvement in capability, performance and management of security.&#10;&#10;The reporting on security policy recommends delivering a self-assessed PSPF annual security report." title="Possible path to security mat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nst\AppData\Local\Microsoft\Windows\Temporary Internet Files\Content.Outlook\6LZ6EJ71\govsec05-fig1_prpl (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45910" cy="3920485"/>
                    </a:xfrm>
                    <a:prstGeom prst="rect">
                      <a:avLst/>
                    </a:prstGeom>
                    <a:noFill/>
                    <a:ln>
                      <a:noFill/>
                    </a:ln>
                  </pic:spPr>
                </pic:pic>
              </a:graphicData>
            </a:graphic>
          </wp:inline>
        </w:drawing>
      </w:r>
    </w:p>
    <w:p w14:paraId="5A669990" w14:textId="3E68DA80" w:rsidR="007D070A" w:rsidRDefault="00BB650C" w:rsidP="00E303C1">
      <w:pPr>
        <w:pStyle w:val="Heading4"/>
      </w:pPr>
      <w:r>
        <w:t xml:space="preserve">Reporting on </w:t>
      </w:r>
      <w:r w:rsidR="005223EA">
        <w:t>s</w:t>
      </w:r>
      <w:r>
        <w:t>ecurity outcomes</w:t>
      </w:r>
      <w:r w:rsidR="007F3694">
        <w:t xml:space="preserve"> and</w:t>
      </w:r>
      <w:r w:rsidR="007F3694" w:rsidRPr="007F3694">
        <w:t xml:space="preserve"> </w:t>
      </w:r>
      <w:r w:rsidR="007F3694" w:rsidRPr="00BB650C">
        <w:t xml:space="preserve">implementing and managing </w:t>
      </w:r>
      <w:r w:rsidR="007F3694">
        <w:t xml:space="preserve">the </w:t>
      </w:r>
      <w:r w:rsidR="007F3694" w:rsidRPr="00BB650C">
        <w:t>requirements under the PSPF</w:t>
      </w:r>
    </w:p>
    <w:p w14:paraId="2D1DFCC9" w14:textId="1E59C405" w:rsidR="00866850" w:rsidRPr="00E60002" w:rsidRDefault="00E413ED" w:rsidP="009B4F82">
      <w:pPr>
        <w:pStyle w:val="Listbullet1"/>
      </w:pPr>
      <w:r>
        <w:t>The</w:t>
      </w:r>
      <w:r w:rsidR="00496F4B" w:rsidRPr="00E60002">
        <w:t xml:space="preserve"> core requirement</w:t>
      </w:r>
      <w:r>
        <w:t xml:space="preserve"> mandates that</w:t>
      </w:r>
      <w:r w:rsidR="00496F4B" w:rsidRPr="00E60002">
        <w:t xml:space="preserve"> e</w:t>
      </w:r>
      <w:r w:rsidR="004C6EE0" w:rsidRPr="00E60002">
        <w:t xml:space="preserve">ntities report on whether security outcomes </w:t>
      </w:r>
      <w:r w:rsidR="00E60002" w:rsidRPr="00E60002">
        <w:t xml:space="preserve">have been achieved </w:t>
      </w:r>
      <w:r w:rsidR="004C6EE0" w:rsidRPr="00E60002">
        <w:t xml:space="preserve">through effectively implementing </w:t>
      </w:r>
      <w:r w:rsidR="004C6EE0" w:rsidRPr="005706F5">
        <w:t>and</w:t>
      </w:r>
      <w:r w:rsidR="004C6EE0" w:rsidRPr="00E60002">
        <w:t xml:space="preserve"> managing requirements under the PSPF.</w:t>
      </w:r>
      <w:r w:rsidR="00496F4B" w:rsidRPr="00E60002">
        <w:t xml:space="preserve"> </w:t>
      </w:r>
    </w:p>
    <w:p w14:paraId="0523D5AB" w14:textId="4A32103B" w:rsidR="00B77338" w:rsidRPr="00BB650C" w:rsidRDefault="00B77338" w:rsidP="00B77338">
      <w:pPr>
        <w:pStyle w:val="Listbullet1"/>
      </w:pPr>
      <w:r>
        <w:t xml:space="preserve">There are </w:t>
      </w:r>
      <w:r w:rsidRPr="00BB650C">
        <w:t xml:space="preserve">four </w:t>
      </w:r>
      <w:r w:rsidRPr="005706F5">
        <w:t>security</w:t>
      </w:r>
      <w:r w:rsidRPr="00BB650C">
        <w:t xml:space="preserve"> outcomes:</w:t>
      </w:r>
    </w:p>
    <w:p w14:paraId="4AC8A323" w14:textId="6214EA5F" w:rsidR="00B77338" w:rsidRPr="00781109" w:rsidRDefault="00B77338" w:rsidP="00EF27A5">
      <w:pPr>
        <w:pStyle w:val="Listbullet1"/>
        <w:numPr>
          <w:ilvl w:val="1"/>
          <w:numId w:val="347"/>
        </w:numPr>
      </w:pPr>
      <w:r w:rsidRPr="005319DF">
        <w:rPr>
          <w:b/>
        </w:rPr>
        <w:t>Governance</w:t>
      </w:r>
      <w:r w:rsidRPr="00781109">
        <w:t xml:space="preserve"> – </w:t>
      </w:r>
      <w:r>
        <w:t xml:space="preserve">each entity </w:t>
      </w:r>
      <w:r w:rsidRPr="00781109">
        <w:t xml:space="preserve">manages security risks and </w:t>
      </w:r>
      <w:r>
        <w:t>supports</w:t>
      </w:r>
      <w:r w:rsidRPr="00781109">
        <w:t xml:space="preserve"> a positive security culture</w:t>
      </w:r>
      <w:r>
        <w:t xml:space="preserve"> in an appropriately mature manner ensuring:</w:t>
      </w:r>
      <w:r w:rsidRPr="00781109">
        <w:t xml:space="preserve"> clear lines of accountability</w:t>
      </w:r>
      <w:r>
        <w:t>,</w:t>
      </w:r>
      <w:r w:rsidRPr="00781109">
        <w:t xml:space="preserve"> sound planning</w:t>
      </w:r>
      <w:r>
        <w:t>,</w:t>
      </w:r>
      <w:r w:rsidRPr="00781109">
        <w:t xml:space="preserve"> </w:t>
      </w:r>
      <w:r>
        <w:t>investigation and response,</w:t>
      </w:r>
      <w:r w:rsidRPr="00781109">
        <w:t xml:space="preserve"> assurance and review processes</w:t>
      </w:r>
      <w:r>
        <w:t xml:space="preserve"> </w:t>
      </w:r>
      <w:r w:rsidRPr="00781109">
        <w:t>and proportionate reporting.</w:t>
      </w:r>
    </w:p>
    <w:p w14:paraId="0E276164" w14:textId="577023F7" w:rsidR="00B77338" w:rsidRPr="00781109" w:rsidRDefault="00B77338" w:rsidP="00EF27A5">
      <w:pPr>
        <w:pStyle w:val="Listbullet1"/>
        <w:numPr>
          <w:ilvl w:val="1"/>
          <w:numId w:val="347"/>
        </w:numPr>
      </w:pPr>
      <w:r w:rsidRPr="0013045F">
        <w:rPr>
          <w:b/>
        </w:rPr>
        <w:t>Information</w:t>
      </w:r>
      <w:r>
        <w:t xml:space="preserve"> (including ICT)</w:t>
      </w:r>
      <w:r w:rsidRPr="00781109">
        <w:t xml:space="preserve"> – </w:t>
      </w:r>
      <w:r>
        <w:t xml:space="preserve">each entity </w:t>
      </w:r>
      <w:r w:rsidRPr="00781109">
        <w:t xml:space="preserve">maintains the confidentiality, integrity and availability of </w:t>
      </w:r>
      <w:r>
        <w:t xml:space="preserve">all </w:t>
      </w:r>
      <w:r w:rsidRPr="00781109">
        <w:t>official information.</w:t>
      </w:r>
    </w:p>
    <w:p w14:paraId="17CFED7B" w14:textId="0AEB31F2" w:rsidR="00B77338" w:rsidRPr="00781109" w:rsidRDefault="00B77338" w:rsidP="00EF27A5">
      <w:pPr>
        <w:pStyle w:val="Listbullet1"/>
        <w:numPr>
          <w:ilvl w:val="1"/>
          <w:numId w:val="347"/>
        </w:numPr>
      </w:pPr>
      <w:r w:rsidRPr="00FA1601">
        <w:rPr>
          <w:b/>
        </w:rPr>
        <w:t>Personnel</w:t>
      </w:r>
      <w:r w:rsidRPr="00781109">
        <w:t xml:space="preserve"> – </w:t>
      </w:r>
      <w:r>
        <w:t xml:space="preserve">each entity </w:t>
      </w:r>
      <w:r w:rsidRPr="00781109">
        <w:t>ensures its employees and contractors are suitable to access Australian Government resources</w:t>
      </w:r>
      <w:r>
        <w:t>,</w:t>
      </w:r>
      <w:r w:rsidRPr="00781109">
        <w:t xml:space="preserve"> and meet an appropriate standard of integrity</w:t>
      </w:r>
      <w:r>
        <w:t xml:space="preserve"> and honesty</w:t>
      </w:r>
      <w:r w:rsidR="008B7F53">
        <w:t>.</w:t>
      </w:r>
    </w:p>
    <w:p w14:paraId="1ED64B59" w14:textId="67C694C9" w:rsidR="00B77338" w:rsidRPr="00971795" w:rsidRDefault="00B77338" w:rsidP="00EF27A5">
      <w:pPr>
        <w:pStyle w:val="Listbullet1"/>
        <w:numPr>
          <w:ilvl w:val="1"/>
          <w:numId w:val="347"/>
        </w:numPr>
      </w:pPr>
      <w:r w:rsidRPr="00FA1601">
        <w:rPr>
          <w:b/>
        </w:rPr>
        <w:t>Physica</w:t>
      </w:r>
      <w:r w:rsidRPr="00EF27A5">
        <w:rPr>
          <w:b/>
        </w:rPr>
        <w:t>l</w:t>
      </w:r>
      <w:r w:rsidRPr="00781109">
        <w:t xml:space="preserve"> –</w:t>
      </w:r>
      <w:r>
        <w:t xml:space="preserve"> each entity provides a safe and secure physical environment for their people, information and assets.</w:t>
      </w:r>
    </w:p>
    <w:p w14:paraId="45C31733" w14:textId="0A06879D" w:rsidR="00B77338" w:rsidRDefault="00B77338" w:rsidP="001311A0">
      <w:pPr>
        <w:pStyle w:val="Listbullet1"/>
      </w:pPr>
      <w:r>
        <w:t>The outcomes are achieved by implementing the PSPF policies, each of which is comprised of core and supporting requirements.</w:t>
      </w:r>
      <w:r w:rsidR="00AF20F3">
        <w:t xml:space="preserve"> By considering </w:t>
      </w:r>
      <w:r w:rsidR="00AF20F3" w:rsidRPr="00A3129A">
        <w:t xml:space="preserve">the entity’s effectiveness in implementing and managing </w:t>
      </w:r>
      <w:r w:rsidR="00AF20F3">
        <w:t xml:space="preserve">the core and supporting </w:t>
      </w:r>
      <w:r w:rsidR="00AF20F3" w:rsidRPr="00A3129A">
        <w:t>requirements</w:t>
      </w:r>
      <w:r w:rsidR="00AF20F3">
        <w:t xml:space="preserve">, in the context of </w:t>
      </w:r>
      <w:r w:rsidR="00AF20F3">
        <w:rPr>
          <w:lang w:val="en-US"/>
        </w:rPr>
        <w:t>its specific risk environment and risk tolerances, the entity can assess the maturity of its implementation of each policy. The maturity levels (</w:t>
      </w:r>
      <w:r w:rsidR="00AF20F3">
        <w:t xml:space="preserve">ad hoc, developing, managing and embedded) for each policy are defined in the </w:t>
      </w:r>
      <w:r w:rsidR="00AF20F3" w:rsidRPr="00A3129A">
        <w:t>PSPF Maturity Self-Assessment Model</w:t>
      </w:r>
      <w:r w:rsidR="00AF20F3">
        <w:t xml:space="preserve"> at Annex A.</w:t>
      </w:r>
    </w:p>
    <w:p w14:paraId="0221BE3E" w14:textId="1C274ADE" w:rsidR="001311A0" w:rsidRDefault="001311A0" w:rsidP="001311A0">
      <w:pPr>
        <w:pStyle w:val="Listbullet1"/>
      </w:pPr>
      <w:r w:rsidRPr="00A3129A">
        <w:t xml:space="preserve">When reporting on the entity’s effectiveness in implementing and managing requirements under the PSPF, entities are </w:t>
      </w:r>
      <w:r>
        <w:t>asked</w:t>
      </w:r>
      <w:r w:rsidRPr="00A3129A">
        <w:t xml:space="preserve"> to evaluate the degree to which implementation achieves the </w:t>
      </w:r>
      <w:r>
        <w:t>minimum requirements set out</w:t>
      </w:r>
      <w:r w:rsidRPr="00A3129A">
        <w:t xml:space="preserve"> </w:t>
      </w:r>
      <w:r>
        <w:t>in</w:t>
      </w:r>
      <w:r w:rsidRPr="00A3129A">
        <w:t xml:space="preserve"> the PSPF.</w:t>
      </w:r>
      <w:r w:rsidR="00B77338">
        <w:t xml:space="preserve"> The degree of implementation can be described as: </w:t>
      </w:r>
    </w:p>
    <w:p w14:paraId="29BE34BA" w14:textId="5BA82A84" w:rsidR="00B77338" w:rsidRDefault="00B77338" w:rsidP="00B77338">
      <w:pPr>
        <w:pStyle w:val="Listbullet1"/>
        <w:numPr>
          <w:ilvl w:val="1"/>
          <w:numId w:val="347"/>
        </w:numPr>
      </w:pPr>
      <w:r w:rsidRPr="00B77338">
        <w:rPr>
          <w:b/>
        </w:rPr>
        <w:t>Partial</w:t>
      </w:r>
      <w:r w:rsidRPr="00B77338">
        <w:t xml:space="preserve"> </w:t>
      </w:r>
      <w:r>
        <w:t>– Requirement is not implemented, is partially progressed or is not well understood across the entity.</w:t>
      </w:r>
    </w:p>
    <w:p w14:paraId="7FA8FE63" w14:textId="39F6BA95" w:rsidR="00B77338" w:rsidRDefault="00B77338" w:rsidP="00B77338">
      <w:pPr>
        <w:pStyle w:val="Listbullet1"/>
        <w:numPr>
          <w:ilvl w:val="1"/>
          <w:numId w:val="347"/>
        </w:numPr>
      </w:pPr>
      <w:r w:rsidRPr="00B77338">
        <w:rPr>
          <w:b/>
        </w:rPr>
        <w:t>Substantial</w:t>
      </w:r>
      <w:r w:rsidRPr="00B77338">
        <w:t xml:space="preserve"> </w:t>
      </w:r>
      <w:r>
        <w:t>– Requirement is largely implemented but may not be fully effective or integrated into business practices.</w:t>
      </w:r>
    </w:p>
    <w:p w14:paraId="165A8439" w14:textId="4960AB10" w:rsidR="00B77338" w:rsidRDefault="00B77338" w:rsidP="00B77338">
      <w:pPr>
        <w:pStyle w:val="Listbullet1"/>
        <w:numPr>
          <w:ilvl w:val="1"/>
          <w:numId w:val="347"/>
        </w:numPr>
      </w:pPr>
      <w:r w:rsidRPr="00B77338">
        <w:rPr>
          <w:b/>
        </w:rPr>
        <w:t>Full</w:t>
      </w:r>
      <w:r w:rsidRPr="00B77338">
        <w:t xml:space="preserve"> </w:t>
      </w:r>
      <w:r>
        <w:t>– Requirement is fully implemented and effective and is integrated, as applicable, into business practices.</w:t>
      </w:r>
    </w:p>
    <w:p w14:paraId="06E23EDC" w14:textId="1C8F62DA" w:rsidR="001311A0" w:rsidRDefault="00B77338" w:rsidP="00B77338">
      <w:pPr>
        <w:pStyle w:val="Listbullet1"/>
        <w:numPr>
          <w:ilvl w:val="1"/>
          <w:numId w:val="347"/>
        </w:numPr>
      </w:pPr>
      <w:r w:rsidRPr="00B77338">
        <w:rPr>
          <w:b/>
        </w:rPr>
        <w:lastRenderedPageBreak/>
        <w:t>Excelled</w:t>
      </w:r>
      <w:r w:rsidRPr="00B77338">
        <w:t xml:space="preserve"> </w:t>
      </w:r>
      <w:r>
        <w:t>– Requirement and relevant better-practice guidance are proactively implemented in accordance with the entity's risk environment, are effective in mitigating security risk and are systematically integrated into business practices.</w:t>
      </w:r>
    </w:p>
    <w:p w14:paraId="54BFC855" w14:textId="3AF8F24F" w:rsidR="00B77338" w:rsidRDefault="00B77338" w:rsidP="00B77338">
      <w:pPr>
        <w:pStyle w:val="Listbullet1"/>
        <w:numPr>
          <w:ilvl w:val="1"/>
          <w:numId w:val="347"/>
        </w:numPr>
      </w:pPr>
      <w:r w:rsidRPr="00B77338">
        <w:rPr>
          <w:b/>
        </w:rPr>
        <w:t>Yes</w:t>
      </w:r>
      <w:r>
        <w:t xml:space="preserve"> or </w:t>
      </w:r>
      <w:r w:rsidRPr="00B77338">
        <w:rPr>
          <w:b/>
        </w:rPr>
        <w:t>No</w:t>
      </w:r>
      <w:r>
        <w:t xml:space="preserve"> – For a small number of requirements, it is not possible to evaluate the degree of implementation and entities can only state whether they have or have not implemented the requirement, for example, the requirement to submit the Australian Signals Directorate’s annual cyber security survey.</w:t>
      </w:r>
    </w:p>
    <w:p w14:paraId="74ED79EA" w14:textId="77777777" w:rsidR="00B77338" w:rsidRPr="00A3129A" w:rsidRDefault="00B77338" w:rsidP="00B77338">
      <w:pPr>
        <w:pStyle w:val="Listbullet1"/>
      </w:pPr>
      <w:r>
        <w:t xml:space="preserve">For an entity to assess its implementation and management of the PSPF requirements as fully effective (managing maturity), the entity is expected to implement all of the core and supporting requirements or implement alternative protective security measures that provide the same (or exceed the level of) protection as the PSPF requirement and/or supporting requirements. </w:t>
      </w:r>
    </w:p>
    <w:p w14:paraId="3CD60E2B" w14:textId="57621CDD" w:rsidR="007F3694" w:rsidRDefault="007F3694" w:rsidP="007F3694">
      <w:pPr>
        <w:pStyle w:val="Heading5"/>
      </w:pPr>
      <w:r>
        <w:t>Strategies to mitigate and manage security risks</w:t>
      </w:r>
    </w:p>
    <w:p w14:paraId="7AEA522C" w14:textId="5CEE20F0" w:rsidR="007F3694" w:rsidRDefault="007F3694" w:rsidP="007F3694">
      <w:pPr>
        <w:pStyle w:val="Listbullet1"/>
      </w:pPr>
      <w:r>
        <w:t xml:space="preserve">The core requirement mandates </w:t>
      </w:r>
      <w:r w:rsidR="00AF20F3">
        <w:t xml:space="preserve">that </w:t>
      </w:r>
      <w:r w:rsidRPr="002709DD">
        <w:t xml:space="preserve">entities provide </w:t>
      </w:r>
      <w:r>
        <w:t>details of measures taken</w:t>
      </w:r>
      <w:r w:rsidRPr="002709DD">
        <w:t xml:space="preserve"> to mitigate</w:t>
      </w:r>
      <w:r>
        <w:t xml:space="preserve"> identified security</w:t>
      </w:r>
      <w:r w:rsidRPr="002709DD">
        <w:t xml:space="preserve"> risks. </w:t>
      </w:r>
      <w:r w:rsidR="00AF20F3">
        <w:t>F</w:t>
      </w:r>
      <w:r w:rsidR="00AF20F3" w:rsidRPr="002709DD">
        <w:t>or each core requirement rated ‘ad hoc’ or ‘developing’</w:t>
      </w:r>
      <w:r w:rsidR="00AF20F3">
        <w:t>,</w:t>
      </w:r>
      <w:r w:rsidR="00AF20F3" w:rsidRPr="002709DD">
        <w:t xml:space="preserve"> </w:t>
      </w:r>
      <w:r w:rsidR="00AF20F3">
        <w:t>t</w:t>
      </w:r>
      <w:r w:rsidRPr="002709DD">
        <w:t xml:space="preserve">he </w:t>
      </w:r>
      <w:r w:rsidRPr="00EE6EA0">
        <w:t xml:space="preserve">PSPF </w:t>
      </w:r>
      <w:r>
        <w:t xml:space="preserve">reporting </w:t>
      </w:r>
      <w:r w:rsidR="00AF20F3">
        <w:t xml:space="preserve">portal and </w:t>
      </w:r>
      <w:r w:rsidRPr="00EE6EA0">
        <w:t>template</w:t>
      </w:r>
      <w:r w:rsidRPr="002709DD">
        <w:t xml:space="preserve"> </w:t>
      </w:r>
      <w:r w:rsidR="00AF20F3">
        <w:t>require entities to provide</w:t>
      </w:r>
      <w:r>
        <w:t xml:space="preserve"> information on </w:t>
      </w:r>
      <w:r w:rsidR="00AF20F3">
        <w:t xml:space="preserve">planned strategies and </w:t>
      </w:r>
      <w:r w:rsidRPr="002709DD">
        <w:t xml:space="preserve">implementation activities to achieve maturity level </w:t>
      </w:r>
      <w:r>
        <w:t>‘</w:t>
      </w:r>
      <w:r w:rsidRPr="002709DD">
        <w:t>manag</w:t>
      </w:r>
      <w:r>
        <w:t>ing’</w:t>
      </w:r>
      <w:r w:rsidRPr="002709DD">
        <w:t xml:space="preserve">. </w:t>
      </w:r>
      <w:r w:rsidR="00AF20F3">
        <w:t>Each strategy or activity requires an associated timeframe.</w:t>
      </w:r>
    </w:p>
    <w:p w14:paraId="0A5F57ED" w14:textId="77777777" w:rsidR="007F3694" w:rsidRPr="00116E26" w:rsidRDefault="007F3694" w:rsidP="007F3694">
      <w:pPr>
        <w:pStyle w:val="Caption"/>
      </w:pPr>
      <w:r w:rsidRPr="00FB5CFE">
        <w:t xml:space="preserve">Table </w:t>
      </w:r>
      <w:r>
        <w:rPr>
          <w:noProof/>
        </w:rPr>
        <w:fldChar w:fldCharType="begin"/>
      </w:r>
      <w:r>
        <w:rPr>
          <w:noProof/>
        </w:rPr>
        <w:instrText xml:space="preserve"> SEQ Table \* ARABIC </w:instrText>
      </w:r>
      <w:r>
        <w:rPr>
          <w:noProof/>
        </w:rPr>
        <w:fldChar w:fldCharType="separate"/>
      </w:r>
      <w:r w:rsidR="001039E5">
        <w:rPr>
          <w:noProof/>
        </w:rPr>
        <w:t>1</w:t>
      </w:r>
      <w:r>
        <w:rPr>
          <w:noProof/>
        </w:rPr>
        <w:fldChar w:fldCharType="end"/>
      </w:r>
      <w:r>
        <w:t xml:space="preserve"> Example PSPF annual reporting against PSPF policy: Safeguarding information from cyber threats </w:t>
      </w:r>
    </w:p>
    <w:tbl>
      <w:tblPr>
        <w:tblStyle w:val="LightShading-Accent4"/>
        <w:tblW w:w="5000" w:type="pct"/>
        <w:jc w:val="center"/>
        <w:tblLook w:val="0480" w:firstRow="0" w:lastRow="0" w:firstColumn="1" w:lastColumn="0" w:noHBand="0" w:noVBand="1"/>
        <w:tblCaption w:val="Example PSPF annual reporting against PSPF policy"/>
        <w:tblDescription w:val="This table sets out an example PSPF annual reporting against PSPF policy: safeguarding information from cyber threats&#10;&#10;Core requirement:&#10;Safeguarding information from cyber threats&#10;&#10;Maturity rating:&#10;Developing&#10;&#10;Maturity rating rationale:&#10;Maturity level reduced to ‘developing’ (from ‘managing’). Machinery of government changes temporarily affecting maturity level as the entity recalibrates ICT systems and management arrangements under new department.&#10;&#10;Strategies and timeframes to address unmitigated risks and residual PSPF implementation:&#10;a. Identification of security advisor positions within three months of finalising machinery of government changes.&#10;b. SES security governance committee to be established to ensure appropriate security arrangements are factored into new departmental procedures. &#10;c. ICT system and management arrangements expected to be resolved by next financial year.&#10;"/>
      </w:tblPr>
      <w:tblGrid>
        <w:gridCol w:w="3812"/>
        <w:gridCol w:w="6654"/>
      </w:tblGrid>
      <w:tr w:rsidR="00AF20F3" w14:paraId="248C4F96" w14:textId="77777777" w:rsidTr="00AF20F3">
        <w:trPr>
          <w:tblHeader/>
          <w:jc w:val="center"/>
        </w:trPr>
        <w:tc>
          <w:tcPr>
            <w:cnfStyle w:val="001000000000" w:firstRow="0" w:lastRow="0" w:firstColumn="1" w:lastColumn="0" w:oddVBand="0" w:evenVBand="0" w:oddHBand="0" w:evenHBand="0" w:firstRowFirstColumn="0" w:firstRowLastColumn="0" w:lastRowFirstColumn="0" w:lastRowLastColumn="0"/>
            <w:tcW w:w="1821" w:type="pct"/>
          </w:tcPr>
          <w:p w14:paraId="06BCCEFB" w14:textId="77777777" w:rsidR="00AF20F3" w:rsidRPr="00C166C3" w:rsidRDefault="00AF20F3" w:rsidP="001311A0">
            <w:pPr>
              <w:rPr>
                <w:rStyle w:val="Strong"/>
                <w:b/>
              </w:rPr>
            </w:pPr>
            <w:r>
              <w:rPr>
                <w:rStyle w:val="Strong"/>
                <w:b/>
              </w:rPr>
              <w:t>Core requirement</w:t>
            </w:r>
          </w:p>
        </w:tc>
        <w:tc>
          <w:tcPr>
            <w:tcW w:w="3179" w:type="pct"/>
          </w:tcPr>
          <w:p w14:paraId="145D2949" w14:textId="1963D8CB" w:rsidR="00AF20F3" w:rsidRPr="00C166C3" w:rsidRDefault="00AF20F3" w:rsidP="00AF20F3">
            <w:pPr>
              <w:pStyle w:val="Tablebody"/>
              <w:cnfStyle w:val="000000000000" w:firstRow="0" w:lastRow="0" w:firstColumn="0" w:lastColumn="0" w:oddVBand="0" w:evenVBand="0" w:oddHBand="0" w:evenHBand="0" w:firstRowFirstColumn="0" w:firstRowLastColumn="0" w:lastRowFirstColumn="0" w:lastRowLastColumn="0"/>
              <w:rPr>
                <w:rStyle w:val="Strong"/>
                <w:b w:val="0"/>
              </w:rPr>
            </w:pPr>
            <w:r w:rsidRPr="00B61A11">
              <w:t>Safeguarding information from cyber threats</w:t>
            </w:r>
          </w:p>
        </w:tc>
      </w:tr>
      <w:tr w:rsidR="00AF20F3" w14:paraId="2513B651" w14:textId="77777777" w:rsidTr="00AF20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21" w:type="pct"/>
          </w:tcPr>
          <w:p w14:paraId="35D60130" w14:textId="1E337B22" w:rsidR="00AF20F3" w:rsidRPr="00B61A11" w:rsidRDefault="00AF20F3" w:rsidP="001311A0">
            <w:pPr>
              <w:pStyle w:val="Tablebody"/>
              <w:rPr>
                <w:b w:val="0"/>
              </w:rPr>
            </w:pPr>
            <w:r>
              <w:rPr>
                <w:rStyle w:val="Strong"/>
                <w:b/>
              </w:rPr>
              <w:t>Maturity assessment</w:t>
            </w:r>
          </w:p>
        </w:tc>
        <w:tc>
          <w:tcPr>
            <w:tcW w:w="3179" w:type="pct"/>
          </w:tcPr>
          <w:p w14:paraId="6DF86427" w14:textId="77777777" w:rsidR="00AF20F3" w:rsidRPr="0068552B" w:rsidRDefault="00AF20F3" w:rsidP="001311A0">
            <w:pPr>
              <w:pStyle w:val="Tablebody"/>
              <w:cnfStyle w:val="000000100000" w:firstRow="0" w:lastRow="0" w:firstColumn="0" w:lastColumn="0" w:oddVBand="0" w:evenVBand="0" w:oddHBand="1" w:evenHBand="0" w:firstRowFirstColumn="0" w:firstRowLastColumn="0" w:lastRowFirstColumn="0" w:lastRowLastColumn="0"/>
            </w:pPr>
            <w:r>
              <w:t>Developing</w:t>
            </w:r>
          </w:p>
        </w:tc>
      </w:tr>
      <w:tr w:rsidR="00AF20F3" w14:paraId="0F4653A8" w14:textId="77777777" w:rsidTr="00AF20F3">
        <w:trPr>
          <w:jc w:val="center"/>
        </w:trPr>
        <w:tc>
          <w:tcPr>
            <w:cnfStyle w:val="001000000000" w:firstRow="0" w:lastRow="0" w:firstColumn="1" w:lastColumn="0" w:oddVBand="0" w:evenVBand="0" w:oddHBand="0" w:evenHBand="0" w:firstRowFirstColumn="0" w:firstRowLastColumn="0" w:lastRowFirstColumn="0" w:lastRowLastColumn="0"/>
            <w:tcW w:w="1821" w:type="pct"/>
          </w:tcPr>
          <w:p w14:paraId="1AE840C2" w14:textId="64CF6294" w:rsidR="00AF20F3" w:rsidRPr="00B61A11" w:rsidRDefault="00AF20F3" w:rsidP="001311A0">
            <w:pPr>
              <w:pStyle w:val="Tablebody"/>
              <w:rPr>
                <w:b w:val="0"/>
              </w:rPr>
            </w:pPr>
            <w:r>
              <w:rPr>
                <w:rStyle w:val="Strong"/>
                <w:b/>
              </w:rPr>
              <w:t>Maturity assessment rationale</w:t>
            </w:r>
          </w:p>
        </w:tc>
        <w:tc>
          <w:tcPr>
            <w:tcW w:w="3179" w:type="pct"/>
          </w:tcPr>
          <w:p w14:paraId="5B091589" w14:textId="53F269CB" w:rsidR="00AF20F3" w:rsidRDefault="00AF20F3" w:rsidP="001311A0">
            <w:pPr>
              <w:pStyle w:val="Tablebody"/>
              <w:cnfStyle w:val="000000000000" w:firstRow="0" w:lastRow="0" w:firstColumn="0" w:lastColumn="0" w:oddVBand="0" w:evenVBand="0" w:oddHBand="0" w:evenHBand="0" w:firstRowFirstColumn="0" w:firstRowLastColumn="0" w:lastRowFirstColumn="0" w:lastRowLastColumn="0"/>
            </w:pPr>
            <w:r w:rsidRPr="00B61A11">
              <w:t>Machinery</w:t>
            </w:r>
            <w:r>
              <w:t xml:space="preserve"> </w:t>
            </w:r>
            <w:r w:rsidRPr="00B61A11">
              <w:t>of</w:t>
            </w:r>
            <w:r>
              <w:t xml:space="preserve"> </w:t>
            </w:r>
            <w:r w:rsidRPr="00B61A11">
              <w:t xml:space="preserve">government changes temporarily affecting maturity level as the entity recalibrates ICT systems and management arrangements under </w:t>
            </w:r>
            <w:r>
              <w:t xml:space="preserve">the </w:t>
            </w:r>
            <w:r w:rsidRPr="00B61A11">
              <w:t>new department.</w:t>
            </w:r>
          </w:p>
        </w:tc>
      </w:tr>
      <w:tr w:rsidR="00AF20F3" w14:paraId="256183E8" w14:textId="77777777" w:rsidTr="00AF20F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21" w:type="pct"/>
          </w:tcPr>
          <w:p w14:paraId="1295A932" w14:textId="38F93282" w:rsidR="00AF20F3" w:rsidRPr="00B61A11" w:rsidRDefault="00AF20F3" w:rsidP="001311A0">
            <w:pPr>
              <w:pStyle w:val="Tablebody"/>
              <w:rPr>
                <w:b w:val="0"/>
              </w:rPr>
            </w:pPr>
            <w:r w:rsidRPr="00B61A11">
              <w:rPr>
                <w:rStyle w:val="Strong"/>
                <w:b/>
              </w:rPr>
              <w:t>Strategies to address unmitigated risks and residual PSPF implementation</w:t>
            </w:r>
          </w:p>
        </w:tc>
        <w:tc>
          <w:tcPr>
            <w:tcW w:w="3179" w:type="pct"/>
          </w:tcPr>
          <w:p w14:paraId="350BF63D" w14:textId="77777777" w:rsidR="00AF20F3" w:rsidRDefault="00AF20F3" w:rsidP="00AF20F3">
            <w:pPr>
              <w:pStyle w:val="Tablebody"/>
              <w:numPr>
                <w:ilvl w:val="0"/>
                <w:numId w:val="349"/>
              </w:numPr>
              <w:cnfStyle w:val="000000100000" w:firstRow="0" w:lastRow="0" w:firstColumn="0" w:lastColumn="0" w:oddVBand="0" w:evenVBand="0" w:oddHBand="1" w:evenHBand="0" w:firstRowFirstColumn="0" w:firstRowLastColumn="0" w:lastRowFirstColumn="0" w:lastRowLastColumn="0"/>
            </w:pPr>
            <w:r>
              <w:t xml:space="preserve">Identification of security advisor positions </w:t>
            </w:r>
            <w:r w:rsidRPr="008A5731">
              <w:t>within</w:t>
            </w:r>
            <w:r>
              <w:t xml:space="preserve"> three months of finalising machinery of government changes.</w:t>
            </w:r>
          </w:p>
          <w:p w14:paraId="59FD8BA8" w14:textId="77777777" w:rsidR="00AF20F3" w:rsidRDefault="00AF20F3" w:rsidP="00AF20F3">
            <w:pPr>
              <w:pStyle w:val="Tablebody"/>
              <w:numPr>
                <w:ilvl w:val="0"/>
                <w:numId w:val="349"/>
              </w:numPr>
              <w:cnfStyle w:val="000000100000" w:firstRow="0" w:lastRow="0" w:firstColumn="0" w:lastColumn="0" w:oddVBand="0" w:evenVBand="0" w:oddHBand="1" w:evenHBand="0" w:firstRowFirstColumn="0" w:firstRowLastColumn="0" w:lastRowFirstColumn="0" w:lastRowLastColumn="0"/>
            </w:pPr>
            <w:r w:rsidRPr="00D10322">
              <w:t xml:space="preserve">SES security governance committee </w:t>
            </w:r>
            <w:r>
              <w:t xml:space="preserve">to be </w:t>
            </w:r>
            <w:r w:rsidRPr="00D10322">
              <w:t xml:space="preserve">established to ensure appropriate security arrangements are factored into </w:t>
            </w:r>
            <w:r>
              <w:t xml:space="preserve">new departmental procedures. </w:t>
            </w:r>
          </w:p>
          <w:p w14:paraId="12889D9C" w14:textId="6EE38665" w:rsidR="00AF20F3" w:rsidRDefault="00AF20F3" w:rsidP="00AF20F3">
            <w:pPr>
              <w:pStyle w:val="Tablebody"/>
              <w:numPr>
                <w:ilvl w:val="0"/>
                <w:numId w:val="349"/>
              </w:numPr>
              <w:cnfStyle w:val="000000100000" w:firstRow="0" w:lastRow="0" w:firstColumn="0" w:lastColumn="0" w:oddVBand="0" w:evenVBand="0" w:oddHBand="1" w:evenHBand="0" w:firstRowFirstColumn="0" w:firstRowLastColumn="0" w:lastRowFirstColumn="0" w:lastRowLastColumn="0"/>
            </w:pPr>
            <w:r>
              <w:t>ICT system and management arrangements currently under review for update.</w:t>
            </w:r>
          </w:p>
        </w:tc>
      </w:tr>
      <w:tr w:rsidR="00AF20F3" w14:paraId="6333E091" w14:textId="77777777" w:rsidTr="00AF20F3">
        <w:trPr>
          <w:jc w:val="center"/>
        </w:trPr>
        <w:tc>
          <w:tcPr>
            <w:cnfStyle w:val="001000000000" w:firstRow="0" w:lastRow="0" w:firstColumn="1" w:lastColumn="0" w:oddVBand="0" w:evenVBand="0" w:oddHBand="0" w:evenHBand="0" w:firstRowFirstColumn="0" w:firstRowLastColumn="0" w:lastRowFirstColumn="0" w:lastRowLastColumn="0"/>
            <w:tcW w:w="1821" w:type="pct"/>
          </w:tcPr>
          <w:p w14:paraId="08AE15AD" w14:textId="12E9F563" w:rsidR="00AF20F3" w:rsidRPr="00B61A11" w:rsidRDefault="00AF20F3" w:rsidP="001311A0">
            <w:pPr>
              <w:pStyle w:val="Tablebody"/>
              <w:rPr>
                <w:b w:val="0"/>
              </w:rPr>
            </w:pPr>
            <w:r>
              <w:rPr>
                <w:rStyle w:val="Strong"/>
                <w:b/>
              </w:rPr>
              <w:t>Timeframes to improve and achieve ‘managing’ maturity</w:t>
            </w:r>
          </w:p>
        </w:tc>
        <w:tc>
          <w:tcPr>
            <w:tcW w:w="3179" w:type="pct"/>
          </w:tcPr>
          <w:p w14:paraId="626902F3" w14:textId="77777777" w:rsidR="00AF20F3" w:rsidRDefault="00AF20F3" w:rsidP="00AF20F3">
            <w:pPr>
              <w:pStyle w:val="Tablebodybullet1"/>
              <w:numPr>
                <w:ilvl w:val="0"/>
                <w:numId w:val="38"/>
              </w:numPr>
              <w:ind w:left="363"/>
              <w:cnfStyle w:val="000000000000" w:firstRow="0" w:lastRow="0" w:firstColumn="0" w:lastColumn="0" w:oddVBand="0" w:evenVBand="0" w:oddHBand="0" w:evenHBand="0" w:firstRowFirstColumn="0" w:firstRowLastColumn="0" w:lastRowFirstColumn="0" w:lastRowLastColumn="0"/>
            </w:pPr>
            <w:r>
              <w:t>December 2020</w:t>
            </w:r>
          </w:p>
          <w:p w14:paraId="71A31D5C" w14:textId="0F68C3B7" w:rsidR="00AF20F3" w:rsidRDefault="00AF20F3" w:rsidP="00AF20F3">
            <w:pPr>
              <w:pStyle w:val="Tablebodybullet1"/>
              <w:numPr>
                <w:ilvl w:val="0"/>
                <w:numId w:val="38"/>
              </w:numPr>
              <w:ind w:left="363"/>
              <w:cnfStyle w:val="000000000000" w:firstRow="0" w:lastRow="0" w:firstColumn="0" w:lastColumn="0" w:oddVBand="0" w:evenVBand="0" w:oddHBand="0" w:evenHBand="0" w:firstRowFirstColumn="0" w:firstRowLastColumn="0" w:lastRowFirstColumn="0" w:lastRowLastColumn="0"/>
            </w:pPr>
            <w:r>
              <w:t>June 2021</w:t>
            </w:r>
          </w:p>
          <w:p w14:paraId="19824F90" w14:textId="2D88F3A9" w:rsidR="00AF20F3" w:rsidRDefault="00AF20F3" w:rsidP="00AF20F3">
            <w:pPr>
              <w:pStyle w:val="Tablebodybullet1"/>
              <w:numPr>
                <w:ilvl w:val="0"/>
                <w:numId w:val="38"/>
              </w:numPr>
              <w:ind w:left="363"/>
              <w:cnfStyle w:val="000000000000" w:firstRow="0" w:lastRow="0" w:firstColumn="0" w:lastColumn="0" w:oddVBand="0" w:evenVBand="0" w:oddHBand="0" w:evenHBand="0" w:firstRowFirstColumn="0" w:firstRowLastColumn="0" w:lastRowFirstColumn="0" w:lastRowLastColumn="0"/>
            </w:pPr>
            <w:r>
              <w:t>September 2021</w:t>
            </w:r>
          </w:p>
        </w:tc>
      </w:tr>
    </w:tbl>
    <w:p w14:paraId="00461114" w14:textId="77777777" w:rsidR="007F3694" w:rsidRDefault="007F3694" w:rsidP="007F3694">
      <w:pPr>
        <w:pStyle w:val="Listbullet1"/>
      </w:pPr>
      <w:r w:rsidRPr="00B61A11">
        <w:t xml:space="preserve">For information on risk mitigation and security risk management strategies, see the PSPF policy: </w:t>
      </w:r>
      <w:hyperlink r:id="rId11" w:history="1">
        <w:r>
          <w:rPr>
            <w:rStyle w:val="Hyperlink"/>
          </w:rPr>
          <w:t>Security planning and risk management</w:t>
        </w:r>
      </w:hyperlink>
      <w:r w:rsidRPr="00B61A11">
        <w:t>.</w:t>
      </w:r>
    </w:p>
    <w:p w14:paraId="5029656F" w14:textId="77777777" w:rsidR="00BB650C" w:rsidRDefault="00BB650C" w:rsidP="00E303C1">
      <w:pPr>
        <w:pStyle w:val="Heading4"/>
      </w:pPr>
      <w:r>
        <w:t>Reporting on maturity of security capability</w:t>
      </w:r>
    </w:p>
    <w:p w14:paraId="79D57C86" w14:textId="38C98203" w:rsidR="00AF20F3" w:rsidRPr="004C6EE0" w:rsidRDefault="008E295D" w:rsidP="00E303C1">
      <w:pPr>
        <w:pStyle w:val="Listbullet1"/>
      </w:pPr>
      <w:r>
        <w:t>The core requirement mandates that the annual security report</w:t>
      </w:r>
      <w:r w:rsidRPr="002709DD">
        <w:t xml:space="preserve"> </w:t>
      </w:r>
      <w:r>
        <w:t xml:space="preserve">address </w:t>
      </w:r>
      <w:r w:rsidRPr="008E295D">
        <w:t>the maturity of the entity’s security capability</w:t>
      </w:r>
      <w:r>
        <w:t xml:space="preserve">. </w:t>
      </w:r>
      <w:r w:rsidR="00AF20F3">
        <w:t>Assessing the m</w:t>
      </w:r>
      <w:r w:rsidR="00AF20F3" w:rsidRPr="004C6EE0">
        <w:t>aturity of</w:t>
      </w:r>
      <w:r w:rsidR="00AF20F3">
        <w:t xml:space="preserve"> the entity’s</w:t>
      </w:r>
      <w:r w:rsidR="00AF20F3" w:rsidRPr="004C6EE0">
        <w:t xml:space="preserve"> security capability</w:t>
      </w:r>
      <w:r w:rsidR="00AF20F3">
        <w:t xml:space="preserve"> involves</w:t>
      </w:r>
      <w:r w:rsidR="00AF20F3" w:rsidRPr="004C6EE0">
        <w:t xml:space="preserve"> </w:t>
      </w:r>
      <w:r w:rsidR="00AF20F3" w:rsidRPr="005706F5">
        <w:t>consider</w:t>
      </w:r>
      <w:r w:rsidR="00AF20F3">
        <w:t>ing</w:t>
      </w:r>
      <w:r w:rsidR="00AF20F3" w:rsidRPr="004C6EE0">
        <w:t xml:space="preserve"> how holistically and effectively each entity:</w:t>
      </w:r>
    </w:p>
    <w:p w14:paraId="0E170B4E" w14:textId="77777777" w:rsidR="00AF20F3" w:rsidRPr="004C6EE0" w:rsidRDefault="00AF20F3" w:rsidP="00EF27A5">
      <w:pPr>
        <w:pStyle w:val="Listbullet1"/>
        <w:numPr>
          <w:ilvl w:val="1"/>
          <w:numId w:val="347"/>
        </w:numPr>
      </w:pPr>
      <w:r w:rsidRPr="004C6EE0">
        <w:t>implements and meets the intent of the PSPF core and supporting requirements</w:t>
      </w:r>
    </w:p>
    <w:p w14:paraId="25197519" w14:textId="77777777" w:rsidR="00AF20F3" w:rsidRPr="004C6EE0" w:rsidRDefault="00AF20F3" w:rsidP="00EF27A5">
      <w:pPr>
        <w:pStyle w:val="Listbullet1"/>
        <w:numPr>
          <w:ilvl w:val="1"/>
          <w:numId w:val="347"/>
        </w:numPr>
      </w:pPr>
      <w:r w:rsidRPr="004C6EE0">
        <w:t>minimises harm and damage to government people</w:t>
      </w:r>
      <w:r>
        <w:t>,</w:t>
      </w:r>
      <w:r w:rsidRPr="004C6EE0">
        <w:t xml:space="preserve"> </w:t>
      </w:r>
      <w:r>
        <w:t>information and assets</w:t>
      </w:r>
    </w:p>
    <w:p w14:paraId="5CADF7AD" w14:textId="77777777" w:rsidR="00AF20F3" w:rsidRPr="004C6EE0" w:rsidRDefault="00AF20F3" w:rsidP="00EF27A5">
      <w:pPr>
        <w:pStyle w:val="Listbullet1"/>
        <w:numPr>
          <w:ilvl w:val="1"/>
          <w:numId w:val="347"/>
        </w:numPr>
      </w:pPr>
      <w:r w:rsidRPr="004C6EE0">
        <w:t xml:space="preserve">fosters a positive security culture </w:t>
      </w:r>
    </w:p>
    <w:p w14:paraId="19039F83" w14:textId="77777777" w:rsidR="00AF20F3" w:rsidRPr="004C6EE0" w:rsidRDefault="00AF20F3" w:rsidP="00EF27A5">
      <w:pPr>
        <w:pStyle w:val="Listbullet1"/>
        <w:numPr>
          <w:ilvl w:val="1"/>
          <w:numId w:val="347"/>
        </w:numPr>
      </w:pPr>
      <w:r w:rsidRPr="004C6EE0">
        <w:t>responds to, and learns from, security incidents</w:t>
      </w:r>
    </w:p>
    <w:p w14:paraId="3B0B1B23" w14:textId="77777777" w:rsidR="00AF20F3" w:rsidRPr="004C6EE0" w:rsidRDefault="00AF20F3" w:rsidP="00EF27A5">
      <w:pPr>
        <w:pStyle w:val="Listbullet1"/>
        <w:numPr>
          <w:ilvl w:val="1"/>
          <w:numId w:val="347"/>
        </w:numPr>
      </w:pPr>
      <w:r w:rsidRPr="004C6EE0">
        <w:t>understands and ma</w:t>
      </w:r>
      <w:r>
        <w:t>nages their security risks</w:t>
      </w:r>
    </w:p>
    <w:p w14:paraId="341CF08C" w14:textId="77777777" w:rsidR="00AF20F3" w:rsidRDefault="00AF20F3" w:rsidP="00EF27A5">
      <w:pPr>
        <w:pStyle w:val="Listbullet1"/>
        <w:numPr>
          <w:ilvl w:val="1"/>
          <w:numId w:val="347"/>
        </w:numPr>
      </w:pPr>
      <w:r w:rsidRPr="004C6EE0">
        <w:t>achieves security outcomes while delivering business objectives.</w:t>
      </w:r>
    </w:p>
    <w:p w14:paraId="24FBC523" w14:textId="0B156F16" w:rsidR="008E295D" w:rsidRPr="004C6EE0" w:rsidRDefault="009665D1" w:rsidP="008E295D">
      <w:pPr>
        <w:pStyle w:val="Listbullet1"/>
      </w:pPr>
      <w:r>
        <w:t>While t</w:t>
      </w:r>
      <w:r w:rsidR="008E295D">
        <w:t xml:space="preserve">his assessment will reflect the entity’s overall maturity level under the </w:t>
      </w:r>
      <w:r w:rsidR="008E295D" w:rsidRPr="00B77338">
        <w:rPr>
          <w:lang w:val="en-US"/>
        </w:rPr>
        <w:t>Maturity Sel</w:t>
      </w:r>
      <w:r w:rsidR="008E295D">
        <w:rPr>
          <w:lang w:val="en-US"/>
        </w:rPr>
        <w:t>f-Assessment Model</w:t>
      </w:r>
      <w:r>
        <w:rPr>
          <w:lang w:val="en-US"/>
        </w:rPr>
        <w:t>, it allows entities to provide a more nuanced view of the entities strengths and weaknesses within that maturity level.</w:t>
      </w:r>
    </w:p>
    <w:p w14:paraId="224E6DD2" w14:textId="17A3410C" w:rsidR="008E1890" w:rsidRPr="00C638DF" w:rsidRDefault="008E1890" w:rsidP="008E1890">
      <w:pPr>
        <w:pStyle w:val="Listbullet1"/>
      </w:pPr>
      <w:r w:rsidRPr="005C3B2D">
        <w:rPr>
          <w:b/>
        </w:rPr>
        <w:fldChar w:fldCharType="begin"/>
      </w:r>
      <w:r w:rsidRPr="005C3B2D">
        <w:rPr>
          <w:b/>
        </w:rPr>
        <w:instrText xml:space="preserve"> REF _Ref518480953 \h </w:instrText>
      </w:r>
      <w:r>
        <w:rPr>
          <w:b/>
        </w:rPr>
        <w:instrText xml:space="preserve"> \* MERGEFORMAT </w:instrText>
      </w:r>
      <w:r w:rsidRPr="005C3B2D">
        <w:rPr>
          <w:b/>
        </w:rPr>
      </w:r>
      <w:r w:rsidRPr="005C3B2D">
        <w:rPr>
          <w:b/>
        </w:rPr>
        <w:fldChar w:fldCharType="separate"/>
      </w:r>
      <w:r w:rsidR="001039E5" w:rsidRPr="001039E5">
        <w:rPr>
          <w:b/>
        </w:rPr>
        <w:t xml:space="preserve">Table </w:t>
      </w:r>
      <w:r w:rsidR="001039E5" w:rsidRPr="001039E5">
        <w:rPr>
          <w:b/>
          <w:noProof/>
        </w:rPr>
        <w:t>2</w:t>
      </w:r>
      <w:r w:rsidRPr="005C3B2D">
        <w:rPr>
          <w:b/>
        </w:rPr>
        <w:fldChar w:fldCharType="end"/>
      </w:r>
      <w:r w:rsidRPr="00C638DF">
        <w:t xml:space="preserve"> sets out the four maturity level indicators for </w:t>
      </w:r>
      <w:r w:rsidR="009665D1">
        <w:t>security capability and the level of protection associated with each maturity level</w:t>
      </w:r>
      <w:r w:rsidRPr="00C638DF">
        <w:t xml:space="preserve">. The maturity indicators link to an entity’s level of PSPF implementation and security performance within </w:t>
      </w:r>
      <w:r>
        <w:t xml:space="preserve">its </w:t>
      </w:r>
      <w:r w:rsidRPr="00C638DF">
        <w:t>risk environment.</w:t>
      </w:r>
    </w:p>
    <w:p w14:paraId="35D7D40D" w14:textId="518A7499" w:rsidR="008E1890" w:rsidRPr="00116E26" w:rsidRDefault="008E1890" w:rsidP="008E1890">
      <w:pPr>
        <w:pStyle w:val="Caption"/>
      </w:pPr>
      <w:bookmarkStart w:id="3" w:name="_Ref518480953"/>
      <w:r w:rsidRPr="00FB5CFE">
        <w:lastRenderedPageBreak/>
        <w:t xml:space="preserve">Table </w:t>
      </w:r>
      <w:r>
        <w:rPr>
          <w:noProof/>
        </w:rPr>
        <w:fldChar w:fldCharType="begin"/>
      </w:r>
      <w:r>
        <w:rPr>
          <w:noProof/>
        </w:rPr>
        <w:instrText xml:space="preserve"> SEQ Table \* ARABIC </w:instrText>
      </w:r>
      <w:r>
        <w:rPr>
          <w:noProof/>
        </w:rPr>
        <w:fldChar w:fldCharType="separate"/>
      </w:r>
      <w:r w:rsidR="001039E5">
        <w:rPr>
          <w:noProof/>
        </w:rPr>
        <w:t>2</w:t>
      </w:r>
      <w:r>
        <w:rPr>
          <w:noProof/>
        </w:rPr>
        <w:fldChar w:fldCharType="end"/>
      </w:r>
      <w:bookmarkEnd w:id="3"/>
      <w:r>
        <w:t xml:space="preserve"> Maturity indicators</w:t>
      </w:r>
      <w:r w:rsidR="00AF20F3">
        <w:t xml:space="preserve"> for security capability</w:t>
      </w:r>
      <w:r>
        <w:t xml:space="preserve"> and </w:t>
      </w:r>
      <w:r w:rsidR="00AF20F3">
        <w:t xml:space="preserve">associated level of </w:t>
      </w:r>
      <w:r>
        <w:t xml:space="preserve">protection </w:t>
      </w:r>
    </w:p>
    <w:tbl>
      <w:tblPr>
        <w:tblStyle w:val="LightShading-Accent4"/>
        <w:tblW w:w="0" w:type="auto"/>
        <w:jc w:val="center"/>
        <w:tblLook w:val="04A0" w:firstRow="1" w:lastRow="0" w:firstColumn="1" w:lastColumn="0" w:noHBand="0" w:noVBand="1"/>
        <w:tblCaption w:val="PSPF maturity self-assessment model indicators and protection"/>
        <w:tblDescription w:val="Table 2 sets out the four maturity level indicators and protections for reporting entities to assess their PSPF maturity. The maturity level indicators link to an entity’s level of PSPF implementation and security performance within its risk environment.&#10;&#10;1. Ad hoc&#10;Maturity level description:&#10;Partial: Some PSPF core and supporting requirements are implemented although are not well understood across the entity. Security outcomes are not being achieved in some areas.&#10;Maturity level indicators:&#10;Entity implementation and basic management of the PSPF core and supporting requirements is inconsistent and ad hoc.&#10;Maturity level protection:&#10;This category provides partial protection of the entity’s people, information and assets; potentially exposing the government to unmitigated security risks.&#10;&#10;2. Developing&#10;Maturity level description:&#10;Substantial: The majority of PSPF core and supporting requirements are implemented, broadly managed and understood across the entity. Entity is largely meeting security outcomes.&#10;Maturity level indicators:&#10;Entity has implemented and managed the majority of the PSPF core and supporting requirements but not effectively. There is an established and documented pathway for remaining requirements to be implemented.&#10;Maturity level protection:&#10;This category provides substantial protection of the entity’s people, information and assets; potentially exposing the government to security risks.&#10;&#10;3. Managing&#10;Maturity level description:&#10;Full: All PSPF core and supporting requirements are implemented, integrated into business practices and effectively disseminated across the entity. Entity meets security outcomes.&#10;Maturity level indicators:&#10;Entity has effectively implemented and is managing all PSPF core and supporting requirements. Security is considered part of the entity’s business practices.&#10;Maturity level protection:&#10;This category provides the minimum required protection of the entity’s people, information and assets, consistent with policy requirements.&#10;&#10;4. Embedded&#10;Maturity level description:&#10;Excelled: All PSPF core and supporting requirements are implemented, effectively integrated and exceeding security outcomes. Entity’s implementation of better-practice guidance drives high performance.&#10;Maturity level indicators:&#10;Entity has fully and effectively implemented all PSPF core and supporting requirements and integrated them into the entity’s business. Security is proactively managed in response to the risk environment and better practice informs the entity’s business and security decisions.&#10;Maturity level protection:&#10;This category provides comprehensive protection of the entity’s people, information and assets.&#10;"/>
      </w:tblPr>
      <w:tblGrid>
        <w:gridCol w:w="1192"/>
        <w:gridCol w:w="2236"/>
        <w:gridCol w:w="2324"/>
        <w:gridCol w:w="2313"/>
        <w:gridCol w:w="2401"/>
      </w:tblGrid>
      <w:tr w:rsidR="008E1890" w14:paraId="379A3B63" w14:textId="77777777" w:rsidTr="001311A0">
        <w:trPr>
          <w:cnfStyle w:val="100000000000" w:firstRow="1" w:lastRow="0" w:firstColumn="0" w:lastColumn="0" w:oddVBand="0" w:evenVBand="0" w:oddHBand="0" w:evenHBand="0" w:firstRowFirstColumn="0" w:firstRowLastColumn="0" w:lastRowFirstColumn="0" w:lastRowLastColumn="0"/>
          <w:trHeight w:val="180"/>
          <w:tblHeader/>
          <w:jc w:val="center"/>
        </w:trPr>
        <w:tc>
          <w:tcPr>
            <w:cnfStyle w:val="001000000000" w:firstRow="0" w:lastRow="0" w:firstColumn="1" w:lastColumn="0" w:oddVBand="0" w:evenVBand="0" w:oddHBand="0" w:evenHBand="0" w:firstRowFirstColumn="0" w:firstRowLastColumn="0" w:lastRowFirstColumn="0" w:lastRowLastColumn="0"/>
            <w:tcW w:w="1195" w:type="dxa"/>
          </w:tcPr>
          <w:p w14:paraId="33EECA7E" w14:textId="77777777" w:rsidR="008E1890" w:rsidRPr="00C166C3" w:rsidRDefault="008E1890" w:rsidP="001311A0">
            <w:pPr>
              <w:keepNext/>
              <w:rPr>
                <w:rStyle w:val="Strong"/>
                <w:b/>
              </w:rPr>
            </w:pPr>
            <w:r>
              <w:rPr>
                <w:rStyle w:val="Strong"/>
                <w:b/>
              </w:rPr>
              <w:t xml:space="preserve">Maturity level </w:t>
            </w:r>
          </w:p>
        </w:tc>
        <w:tc>
          <w:tcPr>
            <w:tcW w:w="2279" w:type="dxa"/>
          </w:tcPr>
          <w:p w14:paraId="6ADB2075" w14:textId="77777777" w:rsidR="008E1890" w:rsidRPr="0084741E"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b/>
              </w:rPr>
              <w:t>Ad hoc</w:t>
            </w:r>
          </w:p>
          <w:p w14:paraId="73791CCA" w14:textId="77777777" w:rsidR="008E1890" w:rsidRPr="00C166C3"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rStyle w:val="Strong"/>
                <w:noProof/>
                <w:sz w:val="22"/>
                <w:lang w:eastAsia="en-AU"/>
              </w:rPr>
              <mc:AlternateContent>
                <mc:Choice Requires="wpg">
                  <w:drawing>
                    <wp:inline distT="0" distB="0" distL="0" distR="0" wp14:anchorId="380E5341" wp14:editId="189CBD55">
                      <wp:extent cx="216024" cy="216024"/>
                      <wp:effectExtent l="0" t="0" r="12700" b="12700"/>
                      <wp:docPr id="3"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8" name="Pie 8"/>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Oval 24"/>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DC6AE28"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">
                      <v:shape id="Pie 8"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pyuMIA&#10;AADaAAAADwAAAGRycy9kb3ducmV2LnhtbERPTWvCQBC9F/wPywje6sYKoURXCYLQWNpi9NDehuw0&#10;Sc3Oxuw2Sf999yB4fLzv9XY0jeipc7VlBYt5BIK4sLrmUsH5tH98BuE8ssbGMin4IwfbzeRhjYm2&#10;Ax+pz30pQgi7BBVU3reJlK6oyKCb25Y4cN+2M+gD7EqpOxxCuGnkUxTF0mDNoaHClnYVFZf81yh4&#10;e83S9/5cfsnP+JjlH8vrSf4clJpNx3QFwtPo7+Kb+0UrCFvDlX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nK4wgAAANoAAAAPAAAAAAAAAAAAAAAAAJgCAABkcnMvZG93&#10;bnJldi54bWxQSwUGAAAAAAQABAD1AAAAhwM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24"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hWMQA&#10;AADbAAAADwAAAGRycy9kb3ducmV2LnhtbESPT2sCMRTE74LfITyhN826lFJWo4iLtifBPyjeHslz&#10;d3HzsiSpbr99Uyj0OMzMb5j5sreteJAPjWMF00kGglg703Cl4HTcjN9BhIhssHVMCr4pwHIxHMyx&#10;MO7Je3ocYiUShEOBCuoYu0LKoGuyGCauI07ezXmLMUlfSePxmeC2lXmWvUmLDaeFGjta16Tvhy+r&#10;YLW9Xne7fn28+A9N5/xWlnpfKvUy6lczEJH6+B/+a38aBfkr/H5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yIVjEAAAA2wAAAA8AAAAAAAAAAAAAAAAAmAIAAGRycy9k&#10;b3ducmV2LnhtbFBLBQYAAAAABAAEAPUAAACJAwAAAAA=&#10;" filled="f" strokecolor="#8064a2" strokeweight=".5pt"/>
                      <w10:anchorlock/>
                    </v:group>
                  </w:pict>
                </mc:Fallback>
              </mc:AlternateContent>
            </w:r>
          </w:p>
        </w:tc>
        <w:tc>
          <w:tcPr>
            <w:tcW w:w="2383" w:type="dxa"/>
          </w:tcPr>
          <w:p w14:paraId="08526DFE" w14:textId="77777777" w:rsidR="008E1890" w:rsidRPr="0084741E"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b/>
              </w:rPr>
              <w:t>Developing</w:t>
            </w:r>
          </w:p>
          <w:p w14:paraId="5D525F72" w14:textId="77777777" w:rsidR="008E1890" w:rsidRPr="00C166C3"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rStyle w:val="Strong"/>
                <w:noProof/>
                <w:sz w:val="22"/>
                <w:lang w:eastAsia="en-AU"/>
              </w:rPr>
              <mc:AlternateContent>
                <mc:Choice Requires="wpg">
                  <w:drawing>
                    <wp:inline distT="0" distB="0" distL="0" distR="0" wp14:anchorId="50181BC0" wp14:editId="47ED8598">
                      <wp:extent cx="216024" cy="216024"/>
                      <wp:effectExtent l="0" t="0" r="12700" b="12700"/>
                      <wp:docPr id="25"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52" name="Pie 252"/>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3" name="Oval 253"/>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6250269"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">
                      <v:shape id="Pie 252"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1QH8YA&#10;AADcAAAADwAAAGRycy9kb3ducmV2LnhtbESPQWvCQBSE70L/w/IKvenGiFKiq0ihUCu2GD3o7ZF9&#10;JrHZtzG7xvjvu0Khx2FmvmFmi85UoqXGlZYVDAcRCOLM6pJzBfvde/8VhPPIGivLpOBODhbzp94M&#10;E21vvKU29bkIEHYJKii8rxMpXVaQQTewNXHwTrYx6INscqkbvAW4qWQcRRNpsOSwUGBNbwVlP+nV&#10;KNisV8uvdp8f5WGyXaXfo8tOnj+VennullMQnjr/H/5rf2gF8TiGx5lw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1QH8YAAADcAAAADwAAAAAAAAAAAAAAAACYAgAAZHJz&#10;L2Rvd25yZXYueG1sUEsFBgAAAAAEAAQA9QAAAIsDA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253"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JrKMUA&#10;AADcAAAADwAAAGRycy9kb3ducmV2LnhtbESPT2sCMRTE74LfIbxCb5rtlhZZjSIutj0J/kHx9kie&#10;u4ublyVJdfvtm0LB4zAzv2Fmi9624kY+NI4VvIwzEMTamYYrBYf9ejQBESKywdYxKfihAIv5cDDD&#10;wrg7b+m2i5VIEA4FKqhj7Aopg67JYhi7jjh5F+ctxiR9JY3He4LbVuZZ9i4tNpwWauxoVZO+7r6t&#10;guXH+bzZ9Kv9yX9qOuaXstTbUqnnp345BRGpj4/wf/vLKMjfXu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smsoxQAAANwAAAAPAAAAAAAAAAAAAAAAAJgCAABkcnMv&#10;ZG93bnJldi54bWxQSwUGAAAAAAQABAD1AAAAigMAAAAA&#10;" filled="f" strokecolor="#8064a2" strokeweight=".5pt"/>
                      <w10:anchorlock/>
                    </v:group>
                  </w:pict>
                </mc:Fallback>
              </mc:AlternateContent>
            </w:r>
          </w:p>
        </w:tc>
        <w:tc>
          <w:tcPr>
            <w:tcW w:w="2370" w:type="dxa"/>
          </w:tcPr>
          <w:p w14:paraId="3C247EC4" w14:textId="77777777" w:rsidR="008E1890" w:rsidRPr="0084741E"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b/>
              </w:rPr>
              <w:t>Managing</w:t>
            </w:r>
          </w:p>
          <w:p w14:paraId="5F2003B0" w14:textId="77777777" w:rsidR="008E1890" w:rsidRPr="00C166C3"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noProof/>
                <w:lang w:eastAsia="en-AU"/>
              </w:rPr>
              <mc:AlternateContent>
                <mc:Choice Requires="wps">
                  <w:drawing>
                    <wp:inline distT="0" distB="0" distL="0" distR="0" wp14:anchorId="7E2AE0D2" wp14:editId="4DFFD8DE">
                      <wp:extent cx="216024" cy="216024"/>
                      <wp:effectExtent l="0" t="0" r="12700" b="12700"/>
                      <wp:docPr id="254"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3A5B841F"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Cw1lFBDgIAAIs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2455" w:type="dxa"/>
          </w:tcPr>
          <w:p w14:paraId="6A3A52A6" w14:textId="77777777" w:rsidR="008E1890" w:rsidRPr="0084741E"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84741E">
              <w:rPr>
                <w:rStyle w:val="Strong"/>
                <w:b/>
              </w:rPr>
              <w:t>Embedded</w:t>
            </w:r>
          </w:p>
          <w:p w14:paraId="5A8190BB" w14:textId="77777777" w:rsidR="008E1890" w:rsidRPr="00C166C3" w:rsidRDefault="008E1890" w:rsidP="001311A0">
            <w:pPr>
              <w:pStyle w:val="Tablebody"/>
              <w:jc w:val="center"/>
              <w:cnfStyle w:val="100000000000" w:firstRow="1" w:lastRow="0" w:firstColumn="0" w:lastColumn="0" w:oddVBand="0" w:evenVBand="0" w:oddHBand="0" w:evenHBand="0" w:firstRowFirstColumn="0" w:firstRowLastColumn="0" w:lastRowFirstColumn="0" w:lastRowLastColumn="0"/>
              <w:rPr>
                <w:rStyle w:val="Strong"/>
                <w:b/>
              </w:rPr>
            </w:pPr>
            <w:r w:rsidRPr="0052788F">
              <w:rPr>
                <w:noProof/>
                <w:lang w:eastAsia="en-AU"/>
              </w:rPr>
              <mc:AlternateContent>
                <mc:Choice Requires="wpg">
                  <w:drawing>
                    <wp:inline distT="0" distB="0" distL="0" distR="0" wp14:anchorId="6B2F8ACC" wp14:editId="19EC9F42">
                      <wp:extent cx="276056" cy="276056"/>
                      <wp:effectExtent l="0" t="0" r="0" b="0"/>
                      <wp:docPr id="255" name="Group 1" descr="Decorative"/>
                      <wp:cNvGraphicFramePr/>
                      <a:graphic xmlns:a="http://schemas.openxmlformats.org/drawingml/2006/main">
                        <a:graphicData uri="http://schemas.microsoft.com/office/word/2010/wordprocessingGroup">
                          <wpg:wgp>
                            <wpg:cNvGrpSpPr/>
                            <wpg:grpSpPr>
                              <a:xfrm>
                                <a:off x="0" y="0"/>
                                <a:ext cx="276056" cy="276056"/>
                                <a:chOff x="0" y="0"/>
                                <a:chExt cx="339400" cy="339400"/>
                              </a:xfrm>
                            </wpg:grpSpPr>
                            <wps:wsp>
                              <wps:cNvPr id="32" name="Oval 32"/>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Oval 36"/>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2B0DF4C" id="Group 1" o:spid="_x0000_s1026" alt="Decorative" style="width:21.75pt;height:21.75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">
                      <v:oval id="Oval 32"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OBwsIA&#10;AADbAAAADwAAAGRycy9kb3ducmV2LnhtbESP0WrCQBRE3wv+w3IF3+rGCKWNriKiIhQKjfmA2+w1&#10;G8zeDdnVxL93BaGPw8ycYZbrwTbiRp2vHSuYTRMQxKXTNVcKitP+/ROED8gaG8ek4E4e1qvR2xIz&#10;7Xr+pVseKhEh7DNUYEJoMyl9aciin7qWOHpn11kMUXaV1B32EW4bmSbJh7RYc1ww2NLWUHnJr1bB&#10;TyXN1993uzuk9Yk5L4r+MiRKTcbDZgEi0BD+w6/2USuYp/D8En+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c4HCwgAAANsAAAAPAAAAAAAAAAAAAAAAAJgCAABkcnMvZG93&#10;bnJldi54bWxQSwUGAAAAAAQABAD1AAAAhwMAAAAA&#10;" fillcolor="#4bacc6" stroked="f" strokeweight="3pt">
                        <v:stroke dashstyle="1 1"/>
                      </v:oval>
                      <v:oval id="Oval 36"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3xbcIA&#10;AADbAAAADwAAAGRycy9kb3ducmV2LnhtbESP3WrCQBSE7wXfYTmF3ohurDVIdBURQtM7/x7gkD0m&#10;odmzIXuq6dt3hUIvh5n5htnsBteqO/Wh8WxgPktAEZfeNlwZuF7y6QpUEGSLrWcy8EMBdtvxaIOZ&#10;9Q8+0f0slYoQDhkaqEW6TOtQ1uQwzHxHHL2b7x1KlH2lbY+PCHetfkuSVDtsOC7U2NGhpvLr/O0M&#10;2PT9Vrg2/5B8Yg+0Py6Lo3wa8/oy7NeghAb5D/+1C2tgkcLzS/wB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zfFtwgAAANsAAAAPAAAAAAAAAAAAAAAAAJgCAABkcnMvZG93&#10;bnJldi54bWxQSwUGAAAAAAQABAD1AAAAhwMAAAAA&#10;" fillcolor="#8064a2" stroked="f" strokeweight="3pt">
                        <v:stroke dashstyle="1 1"/>
                      </v:oval>
                      <w10:anchorlock/>
                    </v:group>
                  </w:pict>
                </mc:Fallback>
              </mc:AlternateContent>
            </w:r>
          </w:p>
        </w:tc>
      </w:tr>
      <w:tr w:rsidR="008E1890" w14:paraId="0020EA9A" w14:textId="77777777" w:rsidTr="00EF27A5">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195" w:type="dxa"/>
          </w:tcPr>
          <w:p w14:paraId="32E51C8F" w14:textId="77777777" w:rsidR="008E1890" w:rsidRPr="00AD3EDD" w:rsidRDefault="008E1890" w:rsidP="00EF27A5">
            <w:pPr>
              <w:pStyle w:val="Tablebody"/>
              <w:rPr>
                <w:rStyle w:val="Strong"/>
                <w:b/>
              </w:rPr>
            </w:pPr>
            <w:r>
              <w:rPr>
                <w:rStyle w:val="Strong"/>
                <w:b/>
              </w:rPr>
              <w:t>Maturity level description</w:t>
            </w:r>
          </w:p>
        </w:tc>
        <w:tc>
          <w:tcPr>
            <w:tcW w:w="2279" w:type="dxa"/>
          </w:tcPr>
          <w:p w14:paraId="1A855A64" w14:textId="77777777" w:rsidR="008E1890" w:rsidRPr="00EF27A5" w:rsidRDefault="008E1890" w:rsidP="00EF27A5">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Partial: </w:t>
            </w:r>
            <w:r w:rsidRPr="00EF27A5">
              <w:rPr>
                <w:rStyle w:val="Strong"/>
                <w:b w:val="0"/>
              </w:rPr>
              <w:t>Some PSPF core and supporting requirements are implemented although are not well understood across the entity. Security outcomes are not being achieved in some areas.</w:t>
            </w:r>
          </w:p>
        </w:tc>
        <w:tc>
          <w:tcPr>
            <w:tcW w:w="2383" w:type="dxa"/>
          </w:tcPr>
          <w:p w14:paraId="08E969E6" w14:textId="77777777" w:rsidR="008E1890" w:rsidRPr="00EF27A5" w:rsidRDefault="008E1890" w:rsidP="00EF27A5">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Substantial: </w:t>
            </w:r>
            <w:r w:rsidRPr="005A60C1">
              <w:t>The majority of PSPF core and supporting requirements are implemented, broadly managed and understood across the entity. Entity is largely meeting security outcomes.</w:t>
            </w:r>
          </w:p>
        </w:tc>
        <w:tc>
          <w:tcPr>
            <w:tcW w:w="2370" w:type="dxa"/>
          </w:tcPr>
          <w:p w14:paraId="7D905F8A" w14:textId="77777777" w:rsidR="008E1890" w:rsidRPr="00EF27A5" w:rsidRDefault="008E1890" w:rsidP="00EF27A5">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Full: </w:t>
            </w:r>
            <w:r w:rsidRPr="005A60C1">
              <w:t>All PSPF core and supporting requirements are implemented, integrated into business practices and effectively disseminated across the entity. Entity meets security outcomes.</w:t>
            </w:r>
          </w:p>
        </w:tc>
        <w:tc>
          <w:tcPr>
            <w:tcW w:w="2455" w:type="dxa"/>
          </w:tcPr>
          <w:p w14:paraId="26AE19CF" w14:textId="77777777" w:rsidR="008E1890" w:rsidRPr="00EF27A5" w:rsidRDefault="008E1890" w:rsidP="00EF27A5">
            <w:pPr>
              <w:pStyle w:val="Tablebody"/>
              <w:cnfStyle w:val="000000100000" w:firstRow="0" w:lastRow="0" w:firstColumn="0" w:lastColumn="0" w:oddVBand="0" w:evenVBand="0" w:oddHBand="1" w:evenHBand="0" w:firstRowFirstColumn="0" w:firstRowLastColumn="0" w:lastRowFirstColumn="0" w:lastRowLastColumn="0"/>
              <w:rPr>
                <w:b/>
              </w:rPr>
            </w:pPr>
            <w:r w:rsidRPr="00EF27A5">
              <w:rPr>
                <w:b/>
              </w:rPr>
              <w:t xml:space="preserve">Excelled: </w:t>
            </w:r>
            <w:r w:rsidRPr="005A60C1">
              <w:t>All PSPF core and supporting requirements are implemented, effectively integrated and exceeding security outcomes. Entity’s implementation of better-practice guidance drives high performance.</w:t>
            </w:r>
          </w:p>
        </w:tc>
      </w:tr>
      <w:tr w:rsidR="008E1890" w14:paraId="21C69EF6" w14:textId="77777777" w:rsidTr="001311A0">
        <w:trPr>
          <w:cantSplit/>
          <w:jc w:val="center"/>
        </w:trPr>
        <w:tc>
          <w:tcPr>
            <w:cnfStyle w:val="001000000000" w:firstRow="0" w:lastRow="0" w:firstColumn="1" w:lastColumn="0" w:oddVBand="0" w:evenVBand="0" w:oddHBand="0" w:evenHBand="0" w:firstRowFirstColumn="0" w:firstRowLastColumn="0" w:lastRowFirstColumn="0" w:lastRowLastColumn="0"/>
            <w:tcW w:w="1195" w:type="dxa"/>
          </w:tcPr>
          <w:p w14:paraId="09D4C59A" w14:textId="77777777" w:rsidR="008E1890" w:rsidRDefault="008E1890" w:rsidP="001311A0">
            <w:pPr>
              <w:pStyle w:val="Tablebody"/>
              <w:rPr>
                <w:rStyle w:val="Strong"/>
                <w:b/>
              </w:rPr>
            </w:pPr>
            <w:r>
              <w:rPr>
                <w:rStyle w:val="Strong"/>
                <w:b/>
              </w:rPr>
              <w:t>Maturity level i</w:t>
            </w:r>
            <w:r w:rsidRPr="00AD3EDD">
              <w:rPr>
                <w:rStyle w:val="Strong"/>
                <w:b/>
              </w:rPr>
              <w:t>ndicators</w:t>
            </w:r>
          </w:p>
        </w:tc>
        <w:tc>
          <w:tcPr>
            <w:tcW w:w="2279" w:type="dxa"/>
          </w:tcPr>
          <w:p w14:paraId="42AD6C81" w14:textId="77777777" w:rsidR="008E1890" w:rsidRPr="00AD3EDD" w:rsidRDefault="008E1890" w:rsidP="001311A0">
            <w:pPr>
              <w:pStyle w:val="Tablebody"/>
              <w:cnfStyle w:val="000000000000" w:firstRow="0" w:lastRow="0" w:firstColumn="0" w:lastColumn="0" w:oddVBand="0" w:evenVBand="0" w:oddHBand="0" w:evenHBand="0" w:firstRowFirstColumn="0" w:firstRowLastColumn="0" w:lastRowFirstColumn="0" w:lastRowLastColumn="0"/>
            </w:pPr>
            <w:r w:rsidRPr="00AD3EDD">
              <w:t>Entity implementation and basic management of the PSPF core and supporting requirements is inconsistent and ad hoc.</w:t>
            </w:r>
          </w:p>
        </w:tc>
        <w:tc>
          <w:tcPr>
            <w:tcW w:w="2383" w:type="dxa"/>
          </w:tcPr>
          <w:p w14:paraId="122864A0" w14:textId="77777777" w:rsidR="008E1890" w:rsidRPr="00AD3EDD" w:rsidRDefault="008E1890" w:rsidP="001311A0">
            <w:pPr>
              <w:pStyle w:val="Tablebody"/>
              <w:cnfStyle w:val="000000000000" w:firstRow="0" w:lastRow="0" w:firstColumn="0" w:lastColumn="0" w:oddVBand="0" w:evenVBand="0" w:oddHBand="0" w:evenHBand="0" w:firstRowFirstColumn="0" w:firstRowLastColumn="0" w:lastRowFirstColumn="0" w:lastRowLastColumn="0"/>
            </w:pPr>
            <w:r w:rsidRPr="00AD3EDD">
              <w:t>Entity has implemented and managed the majority of the PSPF core and supporting requirements but not effectively. There is an established and documented pathway for remaining requirements to be implemented.</w:t>
            </w:r>
          </w:p>
        </w:tc>
        <w:tc>
          <w:tcPr>
            <w:tcW w:w="2370" w:type="dxa"/>
          </w:tcPr>
          <w:p w14:paraId="32A91B87" w14:textId="77777777" w:rsidR="008E1890" w:rsidRPr="00AD3EDD" w:rsidRDefault="008E1890" w:rsidP="001311A0">
            <w:pPr>
              <w:pStyle w:val="Tablebody"/>
              <w:cnfStyle w:val="000000000000" w:firstRow="0" w:lastRow="0" w:firstColumn="0" w:lastColumn="0" w:oddVBand="0" w:evenVBand="0" w:oddHBand="0" w:evenHBand="0" w:firstRowFirstColumn="0" w:firstRowLastColumn="0" w:lastRowFirstColumn="0" w:lastRowLastColumn="0"/>
            </w:pPr>
            <w:r w:rsidRPr="00AD3EDD">
              <w:t xml:space="preserve">Entity has effectively implemented and is managing all </w:t>
            </w:r>
            <w:r>
              <w:t xml:space="preserve">PSPF </w:t>
            </w:r>
            <w:r w:rsidRPr="00AD3EDD">
              <w:t>core and supporting requirements</w:t>
            </w:r>
            <w:r>
              <w:t>.</w:t>
            </w:r>
            <w:r w:rsidRPr="00AD3EDD">
              <w:t xml:space="preserve"> </w:t>
            </w:r>
            <w:r>
              <w:t>S</w:t>
            </w:r>
            <w:r w:rsidRPr="00AD3EDD">
              <w:t>ecurity is considered part of the entity’s business practices.</w:t>
            </w:r>
          </w:p>
        </w:tc>
        <w:tc>
          <w:tcPr>
            <w:tcW w:w="2455" w:type="dxa"/>
          </w:tcPr>
          <w:p w14:paraId="1C91D5DF" w14:textId="77777777" w:rsidR="008E1890" w:rsidRPr="00AD3EDD" w:rsidRDefault="008E1890" w:rsidP="001311A0">
            <w:pPr>
              <w:pStyle w:val="Tablebody"/>
              <w:cnfStyle w:val="000000000000" w:firstRow="0" w:lastRow="0" w:firstColumn="0" w:lastColumn="0" w:oddVBand="0" w:evenVBand="0" w:oddHBand="0" w:evenHBand="0" w:firstRowFirstColumn="0" w:firstRowLastColumn="0" w:lastRowFirstColumn="0" w:lastRowLastColumn="0"/>
            </w:pPr>
            <w:r w:rsidRPr="00AD3EDD">
              <w:t>Entity has fully and effectively implemented all PSPF core and supporting requirements and integrated them into the entity’s business. Security is proactively managed in response to the risk environment and better practice informs the entity’s business and security decisions.</w:t>
            </w:r>
          </w:p>
        </w:tc>
      </w:tr>
      <w:tr w:rsidR="008E1890" w14:paraId="05CA2C33" w14:textId="77777777" w:rsidTr="001311A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95" w:type="dxa"/>
          </w:tcPr>
          <w:p w14:paraId="5BCCF9C4" w14:textId="77777777" w:rsidR="008E1890" w:rsidRPr="00AD3EDD" w:rsidRDefault="008E1890" w:rsidP="001311A0">
            <w:pPr>
              <w:pStyle w:val="Tablebody"/>
              <w:rPr>
                <w:rStyle w:val="Strong"/>
                <w:b/>
              </w:rPr>
            </w:pPr>
            <w:r>
              <w:rPr>
                <w:rStyle w:val="Strong"/>
                <w:b/>
              </w:rPr>
              <w:t>Maturity level p</w:t>
            </w:r>
            <w:r w:rsidRPr="00AD3EDD">
              <w:rPr>
                <w:rStyle w:val="Strong"/>
                <w:b/>
              </w:rPr>
              <w:t>rotection</w:t>
            </w:r>
          </w:p>
        </w:tc>
        <w:tc>
          <w:tcPr>
            <w:tcW w:w="2279" w:type="dxa"/>
          </w:tcPr>
          <w:p w14:paraId="6196A918" w14:textId="77777777" w:rsidR="008E1890" w:rsidRPr="00AD3EDD" w:rsidRDefault="008E1890" w:rsidP="001311A0">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partial protection of the entity’s people, information and assets</w:t>
            </w:r>
            <w:r>
              <w:t>,</w:t>
            </w:r>
            <w:r w:rsidRPr="00AD3EDD">
              <w:t xml:space="preserve"> potentially exposing the government to unmitigated security risks.</w:t>
            </w:r>
          </w:p>
        </w:tc>
        <w:tc>
          <w:tcPr>
            <w:tcW w:w="2383" w:type="dxa"/>
          </w:tcPr>
          <w:p w14:paraId="6BE1F633" w14:textId="77777777" w:rsidR="008E1890" w:rsidRPr="00AD3EDD" w:rsidRDefault="008E1890" w:rsidP="001311A0">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substantial protection of the entity’s people, information and assets</w:t>
            </w:r>
            <w:r>
              <w:t>,</w:t>
            </w:r>
            <w:r w:rsidRPr="00AD3EDD">
              <w:t xml:space="preserve"> potentially exposing the government to security risks.</w:t>
            </w:r>
          </w:p>
        </w:tc>
        <w:tc>
          <w:tcPr>
            <w:tcW w:w="2370" w:type="dxa"/>
          </w:tcPr>
          <w:p w14:paraId="56AF05BA" w14:textId="77777777" w:rsidR="008E1890" w:rsidRPr="00AD3EDD" w:rsidRDefault="008E1890" w:rsidP="001311A0">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the minimum required protection of the entity’s people, information and assets, consistent with policy requirements.</w:t>
            </w:r>
          </w:p>
        </w:tc>
        <w:tc>
          <w:tcPr>
            <w:tcW w:w="2455" w:type="dxa"/>
          </w:tcPr>
          <w:p w14:paraId="137B8C83" w14:textId="77777777" w:rsidR="008E1890" w:rsidRPr="00AD3EDD" w:rsidRDefault="008E1890" w:rsidP="001311A0">
            <w:pPr>
              <w:pStyle w:val="Tablebody"/>
              <w:cnfStyle w:val="000000100000" w:firstRow="0" w:lastRow="0" w:firstColumn="0" w:lastColumn="0" w:oddVBand="0" w:evenVBand="0" w:oddHBand="1" w:evenHBand="0" w:firstRowFirstColumn="0" w:firstRowLastColumn="0" w:lastRowFirstColumn="0" w:lastRowLastColumn="0"/>
            </w:pPr>
            <w:r w:rsidRPr="00AD3EDD">
              <w:t>This category provides comprehensive protection of the entity’s people, information and assets.</w:t>
            </w:r>
          </w:p>
        </w:tc>
      </w:tr>
    </w:tbl>
    <w:p w14:paraId="16C74FF6" w14:textId="5AAF33D0" w:rsidR="007F3694" w:rsidRDefault="007F3694" w:rsidP="00E303C1">
      <w:pPr>
        <w:pStyle w:val="Heading4"/>
      </w:pPr>
      <w:r>
        <w:t>Reporting on security risk</w:t>
      </w:r>
    </w:p>
    <w:p w14:paraId="2C32C46B" w14:textId="58F2ACA7" w:rsidR="003C47FF" w:rsidRPr="00FB01C5" w:rsidRDefault="00D74084" w:rsidP="007F3694">
      <w:pPr>
        <w:pStyle w:val="Heading5"/>
      </w:pPr>
      <w:r w:rsidRPr="00FB01C5">
        <w:t xml:space="preserve">Summary of </w:t>
      </w:r>
      <w:r w:rsidR="001B444A" w:rsidRPr="00FB01C5">
        <w:t xml:space="preserve">security </w:t>
      </w:r>
      <w:r w:rsidR="003C47FF" w:rsidRPr="00FB01C5">
        <w:t>risk environment</w:t>
      </w:r>
    </w:p>
    <w:p w14:paraId="32A615D0" w14:textId="47A7E008" w:rsidR="003C47FF" w:rsidRDefault="003C47FF" w:rsidP="00EF27A5">
      <w:pPr>
        <w:pStyle w:val="Listbullet1"/>
      </w:pPr>
      <w:r w:rsidRPr="00DC2EEA">
        <w:rPr>
          <w:w w:val="105"/>
        </w:rPr>
        <w:t>An entity’s security risk environment is the environme</w:t>
      </w:r>
      <w:r w:rsidR="00B813E6" w:rsidRPr="00B813E6">
        <w:t xml:space="preserve">nt in which the entity operates and </w:t>
      </w:r>
      <w:r w:rsidR="00B813E6">
        <w:t>is determined</w:t>
      </w:r>
      <w:r w:rsidR="00B813E6" w:rsidRPr="00B813E6">
        <w:t xml:space="preserve"> after</w:t>
      </w:r>
      <w:r w:rsidRPr="00DC2EEA">
        <w:rPr>
          <w:w w:val="105"/>
        </w:rPr>
        <w:t xml:space="preserve"> </w:t>
      </w:r>
      <w:r w:rsidR="00B813E6">
        <w:t xml:space="preserve">considering the </w:t>
      </w:r>
      <w:r w:rsidRPr="00DC2EEA">
        <w:rPr>
          <w:w w:val="105"/>
        </w:rPr>
        <w:t>thre</w:t>
      </w:r>
      <w:r w:rsidR="00B813E6" w:rsidRPr="00B813E6">
        <w:t xml:space="preserve">ats, risks and </w:t>
      </w:r>
      <w:r w:rsidR="00B813E6" w:rsidRPr="005706F5">
        <w:t>vulnerabilities</w:t>
      </w:r>
      <w:r w:rsidR="00B813E6" w:rsidRPr="00B813E6">
        <w:t xml:space="preserve"> a</w:t>
      </w:r>
      <w:r w:rsidRPr="00DC2EEA">
        <w:rPr>
          <w:w w:val="105"/>
        </w:rPr>
        <w:t xml:space="preserve">ffecting the </w:t>
      </w:r>
      <w:r w:rsidR="00B813E6">
        <w:t xml:space="preserve">protection of the </w:t>
      </w:r>
      <w:r w:rsidRPr="00DC2EEA">
        <w:rPr>
          <w:w w:val="105"/>
        </w:rPr>
        <w:t>entity’s</w:t>
      </w:r>
      <w:r w:rsidRPr="00EF27A5">
        <w:rPr>
          <w:w w:val="105"/>
        </w:rPr>
        <w:t xml:space="preserve"> </w:t>
      </w:r>
      <w:r w:rsidR="00B813E6">
        <w:t>people, information and assets</w:t>
      </w:r>
      <w:r w:rsidRPr="00DC2EEA">
        <w:rPr>
          <w:w w:val="105"/>
        </w:rPr>
        <w:t xml:space="preserve"> including:</w:t>
      </w:r>
    </w:p>
    <w:p w14:paraId="289F9758" w14:textId="77777777" w:rsidR="00FD241F" w:rsidRPr="007C0F54" w:rsidRDefault="00FD241F" w:rsidP="009B4F82">
      <w:pPr>
        <w:pStyle w:val="Listbullet1"/>
        <w:numPr>
          <w:ilvl w:val="1"/>
          <w:numId w:val="347"/>
        </w:numPr>
      </w:pPr>
      <w:r w:rsidRPr="007C0F54">
        <w:t>what the entity needs to protect (via a risk assessment) being the people, information and assets assessed as critical to its ongoing operation and to the national interest</w:t>
      </w:r>
    </w:p>
    <w:p w14:paraId="0D7DC916" w14:textId="77777777" w:rsidR="00FD241F" w:rsidRPr="007C0F54" w:rsidRDefault="00FD241F" w:rsidP="009B4F82">
      <w:pPr>
        <w:pStyle w:val="Listbullet1"/>
        <w:numPr>
          <w:ilvl w:val="1"/>
          <w:numId w:val="347"/>
        </w:numPr>
      </w:pPr>
      <w:r w:rsidRPr="007C0F54">
        <w:t xml:space="preserve">what it needs to protect against (via the threat assessment and business model, for example face to face contact with the public, shared facilities) </w:t>
      </w:r>
    </w:p>
    <w:p w14:paraId="2D981AB9" w14:textId="6F00CC37" w:rsidR="00FD241F" w:rsidRPr="007C0F54" w:rsidRDefault="00FD241F" w:rsidP="009B4F82">
      <w:pPr>
        <w:pStyle w:val="Listbullet1"/>
        <w:numPr>
          <w:ilvl w:val="1"/>
          <w:numId w:val="347"/>
        </w:numPr>
      </w:pPr>
      <w:r w:rsidRPr="007C0F54">
        <w:t>how the risk will be managed within the entity</w:t>
      </w:r>
      <w:r w:rsidR="005B4C8C">
        <w:t>.</w:t>
      </w:r>
    </w:p>
    <w:p w14:paraId="7AB5809E" w14:textId="73D311C2" w:rsidR="00FD241F" w:rsidRDefault="00F22CE3" w:rsidP="009B4F82">
      <w:pPr>
        <w:pStyle w:val="Listbullet1"/>
      </w:pPr>
      <w:r>
        <w:t xml:space="preserve">When determining their risk environment there are a </w:t>
      </w:r>
      <w:r w:rsidRPr="005706F5">
        <w:t>number</w:t>
      </w:r>
      <w:r>
        <w:t xml:space="preserve"> of s</w:t>
      </w:r>
      <w:r w:rsidR="00FD241F">
        <w:t>ecurity risk indicators an entity may consider</w:t>
      </w:r>
      <w:r>
        <w:t>, including</w:t>
      </w:r>
      <w:r w:rsidR="00FD241F">
        <w:t>:</w:t>
      </w:r>
    </w:p>
    <w:p w14:paraId="20141E2B" w14:textId="5E4B6DBB" w:rsidR="00FD241F" w:rsidRDefault="00516DDE" w:rsidP="009B4F82">
      <w:pPr>
        <w:pStyle w:val="Listbullet1"/>
        <w:numPr>
          <w:ilvl w:val="1"/>
          <w:numId w:val="347"/>
        </w:numPr>
      </w:pPr>
      <w:r>
        <w:t xml:space="preserve">the sensitivity and security classification of information holdings, including consideration of </w:t>
      </w:r>
      <w:r w:rsidR="00FD241F" w:rsidRPr="007C0F54">
        <w:t>aggregation</w:t>
      </w:r>
      <w:r>
        <w:t>s</w:t>
      </w:r>
      <w:r w:rsidR="00FD241F" w:rsidRPr="007C0F54">
        <w:t xml:space="preserve"> of information </w:t>
      </w:r>
      <w:r>
        <w:t xml:space="preserve">and the classification of the entity’s IT networks, see </w:t>
      </w:r>
      <w:r w:rsidR="00FD241F" w:rsidRPr="007C0F54">
        <w:t xml:space="preserve">PSPF policy: </w:t>
      </w:r>
      <w:hyperlink r:id="rId12" w:history="1">
        <w:r w:rsidR="00FD241F" w:rsidRPr="00516DDE">
          <w:rPr>
            <w:rStyle w:val="Hyperlink"/>
          </w:rPr>
          <w:t>Sensitive and classified information</w:t>
        </w:r>
      </w:hyperlink>
    </w:p>
    <w:p w14:paraId="7DC6FF0C" w14:textId="5F9F7678" w:rsidR="00F22CE3" w:rsidRPr="007C0F54" w:rsidRDefault="00F22CE3" w:rsidP="009B4F82">
      <w:pPr>
        <w:pStyle w:val="Listbullet1"/>
        <w:numPr>
          <w:ilvl w:val="1"/>
          <w:numId w:val="347"/>
        </w:numPr>
      </w:pPr>
      <w:r>
        <w:t>the type of information held and the impact level of compromise, eg aggregations of personal information</w:t>
      </w:r>
    </w:p>
    <w:p w14:paraId="3ED61955" w14:textId="77777777" w:rsidR="00516DDE" w:rsidRDefault="00516DDE" w:rsidP="009B4F82">
      <w:pPr>
        <w:pStyle w:val="Listbullet1"/>
        <w:numPr>
          <w:ilvl w:val="1"/>
          <w:numId w:val="347"/>
        </w:numPr>
      </w:pPr>
      <w:r>
        <w:t xml:space="preserve">the type of personnel (employees and contractors, security clearance holders or uncleared personnel) within the entity, see PSPF policy: </w:t>
      </w:r>
      <w:hyperlink r:id="rId13" w:history="1">
        <w:r w:rsidRPr="00516DDE">
          <w:rPr>
            <w:rStyle w:val="Hyperlink"/>
          </w:rPr>
          <w:t>Ongoing assessment of personnel</w:t>
        </w:r>
      </w:hyperlink>
    </w:p>
    <w:p w14:paraId="3696B72F" w14:textId="18221AD5" w:rsidR="00FD241F" w:rsidRPr="007C0F54" w:rsidRDefault="00FD241F" w:rsidP="009B4F82">
      <w:pPr>
        <w:pStyle w:val="Listbullet1"/>
        <w:numPr>
          <w:ilvl w:val="1"/>
          <w:numId w:val="347"/>
        </w:numPr>
      </w:pPr>
      <w:r w:rsidRPr="007C0F54">
        <w:t>categories of assets held by the entit</w:t>
      </w:r>
      <w:r w:rsidR="00516DDE">
        <w:t xml:space="preserve">y, see </w:t>
      </w:r>
      <w:r w:rsidRPr="007C0F54">
        <w:t xml:space="preserve">PSPF policy: </w:t>
      </w:r>
      <w:hyperlink r:id="rId14" w:history="1">
        <w:r w:rsidRPr="00516DDE">
          <w:rPr>
            <w:rStyle w:val="Hyperlink"/>
          </w:rPr>
          <w:t>Physical security for entity resources</w:t>
        </w:r>
      </w:hyperlink>
    </w:p>
    <w:p w14:paraId="3E8A4538" w14:textId="51D3E7A8" w:rsidR="00FD241F" w:rsidRDefault="00516DDE" w:rsidP="009B4F82">
      <w:pPr>
        <w:pStyle w:val="Listbullet1"/>
        <w:numPr>
          <w:ilvl w:val="1"/>
          <w:numId w:val="347"/>
        </w:numPr>
      </w:pPr>
      <w:r>
        <w:t xml:space="preserve">the physical </w:t>
      </w:r>
      <w:r w:rsidR="00FD241F" w:rsidRPr="007C0F54">
        <w:t xml:space="preserve">security </w:t>
      </w:r>
      <w:r w:rsidR="00FD241F">
        <w:t>zone</w:t>
      </w:r>
      <w:r w:rsidR="00FD241F" w:rsidRPr="007C0F54">
        <w:t xml:space="preserve"> levels</w:t>
      </w:r>
      <w:r>
        <w:t xml:space="preserve"> defined in the entity’s facilities, see</w:t>
      </w:r>
      <w:r w:rsidR="00FD241F" w:rsidRPr="007C0F54">
        <w:t xml:space="preserve"> PSPF policy: </w:t>
      </w:r>
      <w:hyperlink r:id="rId15" w:history="1">
        <w:r w:rsidR="00FD241F" w:rsidRPr="00516DDE">
          <w:rPr>
            <w:rStyle w:val="Hyperlink"/>
          </w:rPr>
          <w:t>Entity facilities</w:t>
        </w:r>
      </w:hyperlink>
      <w:r w:rsidR="00FD241F" w:rsidRPr="007C0F54">
        <w:t>.</w:t>
      </w:r>
    </w:p>
    <w:p w14:paraId="1BF20BEA" w14:textId="022C999A" w:rsidR="009665D1" w:rsidRDefault="009665D1" w:rsidP="001B1808">
      <w:pPr>
        <w:pStyle w:val="Casestudytitle"/>
      </w:pPr>
      <w:r>
        <w:lastRenderedPageBreak/>
        <w:t>Examples of threats, vulnerabilities and risks</w:t>
      </w:r>
      <w:r w:rsidR="002F3974">
        <w:t xml:space="preserve"> </w:t>
      </w:r>
    </w:p>
    <w:p w14:paraId="2C2C36B5" w14:textId="488F0F11" w:rsidR="009665D1" w:rsidRDefault="009665D1" w:rsidP="001B1808">
      <w:pPr>
        <w:pStyle w:val="Casestudytext"/>
        <w:pBdr>
          <w:top w:val="single" w:sz="12" w:space="0" w:color="463A70"/>
        </w:pBdr>
        <w:ind w:left="2160" w:hanging="2160"/>
      </w:pPr>
      <w:r w:rsidRPr="009665D1">
        <w:rPr>
          <w:b/>
        </w:rPr>
        <w:t>Threats</w:t>
      </w:r>
      <w:r w:rsidR="001B1808">
        <w:t>:</w:t>
      </w:r>
      <w:r w:rsidR="001B1808">
        <w:tab/>
      </w:r>
      <w:r w:rsidRPr="009665D1">
        <w:rPr>
          <w:shd w:val="clear" w:color="auto" w:fill="E5DFEC" w:themeFill="accent4" w:themeFillTint="33"/>
        </w:rPr>
        <w:t>Malicious action by trusted insider</w:t>
      </w:r>
      <w:r w:rsidRPr="009665D1">
        <w:br/>
      </w:r>
      <w:r>
        <w:t>Malicious software attack (malware, ransomware, spyware)</w:t>
      </w:r>
      <w:r>
        <w:br/>
        <w:t>Cyber extortion (eg distributed denial of service attack)</w:t>
      </w:r>
      <w:r>
        <w:br/>
        <w:t>Abuse of privileged access control</w:t>
      </w:r>
      <w:r>
        <w:br/>
        <w:t>Exploited customer data through secondary targeting</w:t>
      </w:r>
    </w:p>
    <w:p w14:paraId="3375C652" w14:textId="3EA198A8" w:rsidR="009665D1" w:rsidRDefault="009665D1" w:rsidP="001B1808">
      <w:pPr>
        <w:pStyle w:val="Casestudytext"/>
        <w:pBdr>
          <w:top w:val="single" w:sz="12" w:space="0" w:color="463A70"/>
        </w:pBdr>
        <w:ind w:left="2160" w:hanging="2160"/>
      </w:pPr>
      <w:r w:rsidRPr="009665D1">
        <w:rPr>
          <w:b/>
        </w:rPr>
        <w:t>Vulnerabilities</w:t>
      </w:r>
      <w:r w:rsidR="001B1808">
        <w:t>:</w:t>
      </w:r>
      <w:r w:rsidR="001B1808">
        <w:tab/>
      </w:r>
      <w:r>
        <w:t>Unpatched or uncontrolled portable devices</w:t>
      </w:r>
      <w:r>
        <w:br/>
        <w:t>Ineffectual security training or awareness</w:t>
      </w:r>
      <w:r>
        <w:br/>
        <w:t>Low resilience to natural disasters</w:t>
      </w:r>
      <w:r>
        <w:br/>
        <w:t xml:space="preserve">Poorly secured personal information </w:t>
      </w:r>
      <w:r>
        <w:br/>
        <w:t>Lack of ineffectual cyber security monitoring</w:t>
      </w:r>
      <w:r>
        <w:br/>
        <w:t>Ineffective service provider/third party contracts</w:t>
      </w:r>
      <w:r>
        <w:br/>
        <w:t>Aggregated data not managed</w:t>
      </w:r>
      <w:r>
        <w:br/>
        <w:t>Inadequate firewalls</w:t>
      </w:r>
      <w:r>
        <w:br/>
        <w:t>Poor security culture</w:t>
      </w:r>
      <w:r>
        <w:br/>
        <w:t>Weak security clearance management</w:t>
      </w:r>
      <w:r>
        <w:br/>
        <w:t>Incomplete application whitelisting</w:t>
      </w:r>
    </w:p>
    <w:p w14:paraId="62718502" w14:textId="025433B7" w:rsidR="009665D1" w:rsidRPr="007C0F54" w:rsidRDefault="009665D1" w:rsidP="001B1808">
      <w:pPr>
        <w:pStyle w:val="Casestudytext"/>
        <w:pBdr>
          <w:top w:val="single" w:sz="12" w:space="0" w:color="463A70"/>
        </w:pBdr>
        <w:ind w:left="2160" w:hanging="2160"/>
      </w:pPr>
      <w:r w:rsidRPr="009665D1">
        <w:rPr>
          <w:b/>
        </w:rPr>
        <w:t>Risks</w:t>
      </w:r>
      <w:r w:rsidR="001B1808">
        <w:t>:</w:t>
      </w:r>
      <w:r w:rsidR="001B1808">
        <w:tab/>
      </w:r>
      <w:r>
        <w:t>Data breaches and spills</w:t>
      </w:r>
      <w:r>
        <w:br/>
        <w:t>Compromise of official/protectively marked information</w:t>
      </w:r>
      <w:r>
        <w:br/>
        <w:t>Incorrectly granting security clearance waiver</w:t>
      </w:r>
      <w:r>
        <w:br/>
        <w:t>Low resilience to natural disasters</w:t>
      </w:r>
      <w:r>
        <w:br/>
        <w:t>Poorly secured personal information</w:t>
      </w:r>
      <w:r>
        <w:br/>
        <w:t>Exploited customer data through secondary targeting</w:t>
      </w:r>
    </w:p>
    <w:p w14:paraId="520E24D8" w14:textId="6DC662F9" w:rsidR="00BB650C" w:rsidRDefault="007F3694" w:rsidP="007F3694">
      <w:pPr>
        <w:pStyle w:val="Heading5"/>
      </w:pPr>
      <w:r>
        <w:t>K</w:t>
      </w:r>
      <w:r w:rsidR="00BC3B6D">
        <w:t xml:space="preserve">ey </w:t>
      </w:r>
      <w:r w:rsidR="00BB650C">
        <w:t>risks to people, information and assets</w:t>
      </w:r>
    </w:p>
    <w:p w14:paraId="03A864BD" w14:textId="111595E4" w:rsidR="00F5676A" w:rsidRDefault="0063688B" w:rsidP="009B4F82">
      <w:pPr>
        <w:pStyle w:val="Listbullet1"/>
      </w:pPr>
      <w:r w:rsidRPr="0063688B">
        <w:t xml:space="preserve">Identifying the </w:t>
      </w:r>
      <w:r w:rsidR="00BC3B6D">
        <w:t xml:space="preserve">key </w:t>
      </w:r>
      <w:r w:rsidRPr="0063688B">
        <w:t xml:space="preserve">security risks affecting an entity provides </w:t>
      </w:r>
      <w:r w:rsidR="00516DDE">
        <w:t xml:space="preserve">an </w:t>
      </w:r>
      <w:r w:rsidRPr="0063688B">
        <w:t>invaluable insight for entity and government decision-makers</w:t>
      </w:r>
      <w:r w:rsidR="009665D1">
        <w:t>. Analysing t</w:t>
      </w:r>
      <w:r w:rsidR="00E413ED">
        <w:t>h</w:t>
      </w:r>
      <w:r w:rsidR="009665D1">
        <w:t xml:space="preserve">is information </w:t>
      </w:r>
      <w:r w:rsidR="0041576D">
        <w:t xml:space="preserve">may </w:t>
      </w:r>
      <w:r w:rsidR="009665D1">
        <w:t>highlight</w:t>
      </w:r>
      <w:r w:rsidR="00F5676A">
        <w:t>:</w:t>
      </w:r>
      <w:r w:rsidR="00FD3957">
        <w:t xml:space="preserve"> </w:t>
      </w:r>
    </w:p>
    <w:p w14:paraId="6E2D5A35" w14:textId="2F277E79" w:rsidR="0041576D" w:rsidRDefault="00E413ED" w:rsidP="009B4F82">
      <w:pPr>
        <w:pStyle w:val="Listbullet1"/>
        <w:numPr>
          <w:ilvl w:val="1"/>
          <w:numId w:val="347"/>
        </w:numPr>
      </w:pPr>
      <w:r>
        <w:t>r</w:t>
      </w:r>
      <w:r w:rsidR="0041576D">
        <w:t>isks identified under any of the 16 PSPF policies</w:t>
      </w:r>
    </w:p>
    <w:p w14:paraId="5CEAA242" w14:textId="77777777" w:rsidR="00F5676A" w:rsidRDefault="00F5676A" w:rsidP="00EF27A5">
      <w:pPr>
        <w:pStyle w:val="Listbullet1"/>
        <w:numPr>
          <w:ilvl w:val="1"/>
          <w:numId w:val="347"/>
        </w:numPr>
      </w:pPr>
      <w:r>
        <w:t>systemic or</w:t>
      </w:r>
      <w:r w:rsidR="00062FE9">
        <w:t xml:space="preserve"> emerging</w:t>
      </w:r>
      <w:r w:rsidR="0041576D">
        <w:t xml:space="preserve"> risks</w:t>
      </w:r>
    </w:p>
    <w:p w14:paraId="305F9352" w14:textId="77777777" w:rsidR="00F5676A" w:rsidRDefault="0041576D" w:rsidP="00EF27A5">
      <w:pPr>
        <w:pStyle w:val="Listbullet1"/>
        <w:numPr>
          <w:ilvl w:val="1"/>
          <w:numId w:val="347"/>
        </w:numPr>
      </w:pPr>
      <w:r>
        <w:t xml:space="preserve">significant risks </w:t>
      </w:r>
      <w:r w:rsidR="0063688B" w:rsidRPr="0063688B">
        <w:t xml:space="preserve">not sufficiently mitigated, </w:t>
      </w:r>
      <w:r w:rsidR="00F5676A">
        <w:t>or</w:t>
      </w:r>
    </w:p>
    <w:p w14:paraId="5DA3865B" w14:textId="77777777" w:rsidR="00F5676A" w:rsidRDefault="0041576D" w:rsidP="00EF27A5">
      <w:pPr>
        <w:pStyle w:val="Listbullet1"/>
        <w:numPr>
          <w:ilvl w:val="1"/>
          <w:numId w:val="347"/>
        </w:numPr>
      </w:pPr>
      <w:r>
        <w:t xml:space="preserve">significant risks </w:t>
      </w:r>
      <w:r w:rsidR="00FD3957">
        <w:t>that have</w:t>
      </w:r>
      <w:r w:rsidR="00FD3957" w:rsidRPr="0063688B">
        <w:t xml:space="preserve"> </w:t>
      </w:r>
      <w:r w:rsidR="0063688B" w:rsidRPr="0063688B">
        <w:t xml:space="preserve">insufficient protective security policy coverage. </w:t>
      </w:r>
    </w:p>
    <w:p w14:paraId="65663B88" w14:textId="77647E35" w:rsidR="00D8743A" w:rsidRDefault="009665D1" w:rsidP="00EF27A5">
      <w:pPr>
        <w:pStyle w:val="Listbullet1"/>
      </w:pPr>
      <w:r>
        <w:t>The Attorney</w:t>
      </w:r>
      <w:r>
        <w:noBreakHyphen/>
        <w:t>General’s Department, as well as other lead security entities, uses information collected about k</w:t>
      </w:r>
      <w:r w:rsidR="00F22CE3">
        <w:t>ey security risk</w:t>
      </w:r>
      <w:r>
        <w:t>s</w:t>
      </w:r>
      <w:r w:rsidR="00F22CE3" w:rsidRPr="0063688B">
        <w:t xml:space="preserve"> </w:t>
      </w:r>
      <w:r>
        <w:t>to</w:t>
      </w:r>
      <w:r w:rsidR="00BC3B6D" w:rsidRPr="0063688B">
        <w:t xml:space="preserve"> </w:t>
      </w:r>
      <w:r>
        <w:t>inform</w:t>
      </w:r>
      <w:r w:rsidR="0063688B" w:rsidRPr="0063688B">
        <w:t xml:space="preserve"> </w:t>
      </w:r>
      <w:r w:rsidR="006A396B">
        <w:t xml:space="preserve">policy and </w:t>
      </w:r>
      <w:r w:rsidR="00DA260F">
        <w:t xml:space="preserve">develop </w:t>
      </w:r>
      <w:r w:rsidR="00FD3957">
        <w:t>strategies to mitigate</w:t>
      </w:r>
      <w:r w:rsidR="0063688B" w:rsidRPr="0063688B">
        <w:t xml:space="preserve"> </w:t>
      </w:r>
      <w:r w:rsidR="00FD3957">
        <w:t xml:space="preserve">security </w:t>
      </w:r>
      <w:r w:rsidR="0063688B" w:rsidRPr="0063688B">
        <w:t>threats</w:t>
      </w:r>
      <w:r w:rsidR="006A396B" w:rsidRPr="0063688B">
        <w:t xml:space="preserve"> </w:t>
      </w:r>
      <w:r w:rsidR="0063688B" w:rsidRPr="0063688B">
        <w:t>and vulnerabilities across government.</w:t>
      </w:r>
    </w:p>
    <w:p w14:paraId="4163B372" w14:textId="402D9622" w:rsidR="002709DD" w:rsidRPr="002709DD" w:rsidRDefault="002709DD" w:rsidP="009B4F82">
      <w:pPr>
        <w:pStyle w:val="Listbullet1"/>
      </w:pPr>
      <w:r w:rsidRPr="002709DD">
        <w:t xml:space="preserve">Changes in an entity’s security risks may be influenced by factors including the security risk environment, operational priorities and security incidents. Entities </w:t>
      </w:r>
      <w:r w:rsidRPr="005706F5">
        <w:t>may</w:t>
      </w:r>
      <w:r w:rsidRPr="002709DD">
        <w:t xml:space="preserve"> not have the same key security risks for consecutive years.</w:t>
      </w:r>
    </w:p>
    <w:p w14:paraId="28E7F14F" w14:textId="5DE9D567" w:rsidR="002709DD" w:rsidRDefault="002709DD" w:rsidP="009B4F82">
      <w:pPr>
        <w:pStyle w:val="Listbullet1"/>
      </w:pPr>
      <w:r w:rsidRPr="002709DD">
        <w:t xml:space="preserve">For guidance on security risk management, see PSPF policy: </w:t>
      </w:r>
      <w:hyperlink r:id="rId16" w:history="1">
        <w:r w:rsidRPr="009730E8">
          <w:rPr>
            <w:rStyle w:val="Hyperlink"/>
          </w:rPr>
          <w:t>S</w:t>
        </w:r>
        <w:r w:rsidRPr="002709DD">
          <w:rPr>
            <w:rStyle w:val="Hyperlink"/>
          </w:rPr>
          <w:t>ecurity planning and risk management</w:t>
        </w:r>
      </w:hyperlink>
      <w:r w:rsidRPr="002709DD">
        <w:t>.</w:t>
      </w:r>
    </w:p>
    <w:p w14:paraId="518D838B" w14:textId="18E7794F" w:rsidR="008546A9" w:rsidRDefault="008546A9" w:rsidP="00EF27A5">
      <w:pPr>
        <w:pStyle w:val="Heading4"/>
      </w:pPr>
      <w:bookmarkStart w:id="4" w:name="_Ref518486128"/>
      <w:bookmarkStart w:id="5" w:name="_Ref523833690"/>
      <w:r>
        <w:t>How to report</w:t>
      </w:r>
    </w:p>
    <w:p w14:paraId="5D1236DE" w14:textId="0325967B" w:rsidR="008546A9" w:rsidRDefault="009665D1" w:rsidP="00E303C1">
      <w:pPr>
        <w:pStyle w:val="Listbullet1"/>
      </w:pPr>
      <w:r w:rsidRPr="00A3129A">
        <w:t xml:space="preserve">The core requirement mandates that </w:t>
      </w:r>
      <w:r>
        <w:t>entities</w:t>
      </w:r>
      <w:r w:rsidRPr="00A3129A">
        <w:t xml:space="preserve"> </w:t>
      </w:r>
      <w:r>
        <w:t xml:space="preserve">submit their annual security </w:t>
      </w:r>
      <w:r w:rsidRPr="00A3129A">
        <w:t xml:space="preserve">report to </w:t>
      </w:r>
      <w:r>
        <w:t xml:space="preserve">the Attorney-General’s Department and to the entity’s </w:t>
      </w:r>
      <w:r w:rsidRPr="00A3129A">
        <w:t xml:space="preserve">portfolio minister. </w:t>
      </w:r>
      <w:r w:rsidR="003C5426">
        <w:t xml:space="preserve">In accordance with supporting requirement 2, </w:t>
      </w:r>
      <w:r>
        <w:t xml:space="preserve">entities </w:t>
      </w:r>
      <w:r w:rsidR="003C5426">
        <w:t xml:space="preserve">must </w:t>
      </w:r>
      <w:r>
        <w:t>use:</w:t>
      </w:r>
    </w:p>
    <w:p w14:paraId="1ECFBF43" w14:textId="676150FD" w:rsidR="008546A9" w:rsidRDefault="009665D1" w:rsidP="009B4F82">
      <w:pPr>
        <w:pStyle w:val="Listbullet1"/>
        <w:numPr>
          <w:ilvl w:val="1"/>
          <w:numId w:val="347"/>
        </w:numPr>
      </w:pPr>
      <w:r>
        <w:t xml:space="preserve">the PSPF online reporting portal to complete and submit reports containing information classified as </w:t>
      </w:r>
      <w:r w:rsidR="008546A9">
        <w:t xml:space="preserve">PROTECTED and below </w:t>
      </w:r>
    </w:p>
    <w:p w14:paraId="22E9344D" w14:textId="540AAACC" w:rsidR="008546A9" w:rsidRDefault="009665D1" w:rsidP="009B4F82">
      <w:pPr>
        <w:pStyle w:val="Listbullet1"/>
        <w:numPr>
          <w:ilvl w:val="1"/>
          <w:numId w:val="347"/>
        </w:numPr>
      </w:pPr>
      <w:r>
        <w:t>the PSPF offline reporting template</w:t>
      </w:r>
      <w:r w:rsidRPr="009665D1">
        <w:t xml:space="preserve"> </w:t>
      </w:r>
      <w:r>
        <w:t>to complete reports containing information classified higher than PROTECTED, which can be submitted by secure means appropriate for the security classification of the report</w:t>
      </w:r>
      <w:r w:rsidR="008546A9">
        <w:t>.</w:t>
      </w:r>
    </w:p>
    <w:p w14:paraId="3310F17D" w14:textId="5686A070" w:rsidR="00CA59EA" w:rsidRDefault="00CA59EA" w:rsidP="008546A9">
      <w:pPr>
        <w:pStyle w:val="Heading5"/>
      </w:pPr>
      <w:r>
        <w:t>PSPF</w:t>
      </w:r>
      <w:r w:rsidR="005454A3">
        <w:t xml:space="preserve"> online</w:t>
      </w:r>
      <w:r>
        <w:t xml:space="preserve"> reporting portal </w:t>
      </w:r>
    </w:p>
    <w:p w14:paraId="0F801C12" w14:textId="60BA0200" w:rsidR="00CA59EA" w:rsidRDefault="005454A3" w:rsidP="005454A3">
      <w:pPr>
        <w:pStyle w:val="Listbullet1"/>
        <w:ind w:left="426" w:hanging="426"/>
      </w:pPr>
      <w:r w:rsidRPr="005454A3">
        <w:t xml:space="preserve">The PSPF reporting portal allows Commonwealth entities to complete and submit </w:t>
      </w:r>
      <w:r w:rsidR="0071153B">
        <w:t>the</w:t>
      </w:r>
      <w:r w:rsidRPr="005454A3">
        <w:t xml:space="preserve">ir annual security </w:t>
      </w:r>
      <w:r>
        <w:t>assessment</w:t>
      </w:r>
      <w:r w:rsidRPr="005454A3">
        <w:t xml:space="preserve"> online, access benchmarking reports at the conclusion of </w:t>
      </w:r>
      <w:r>
        <w:t xml:space="preserve">the submission period and </w:t>
      </w:r>
      <w:r w:rsidRPr="005454A3">
        <w:t>access reports from previous reporting periods.</w:t>
      </w:r>
      <w:r w:rsidR="00CA59EA" w:rsidRPr="00812F46">
        <w:t xml:space="preserve"> </w:t>
      </w:r>
    </w:p>
    <w:p w14:paraId="27219B82" w14:textId="67A8B3FC" w:rsidR="00CA59EA" w:rsidRDefault="00CA59EA" w:rsidP="005454A3">
      <w:pPr>
        <w:pStyle w:val="Listbullet1"/>
        <w:ind w:left="426" w:hanging="426"/>
      </w:pPr>
      <w:r w:rsidRPr="002A0AC0">
        <w:lastRenderedPageBreak/>
        <w:t xml:space="preserve">The </w:t>
      </w:r>
      <w:r w:rsidRPr="00B61A11">
        <w:t xml:space="preserve">PSPF </w:t>
      </w:r>
      <w:r>
        <w:t xml:space="preserve">reporting portal is </w:t>
      </w:r>
      <w:r w:rsidR="0066183D">
        <w:t>accredited to process, store and communicate</w:t>
      </w:r>
      <w:r w:rsidR="005454A3">
        <w:t xml:space="preserve"> information up to PROTECTED. </w:t>
      </w:r>
    </w:p>
    <w:p w14:paraId="00844C4F" w14:textId="77777777" w:rsidR="005454A3" w:rsidRDefault="005454A3" w:rsidP="005454A3">
      <w:pPr>
        <w:pStyle w:val="Listbullet1"/>
      </w:pPr>
      <w:r>
        <w:rPr>
          <w:lang w:eastAsia="en-AU"/>
        </w:rPr>
        <w:t xml:space="preserve">At the start of the new assessment period, all CSOs will receive an email advising that the </w:t>
      </w:r>
      <w:r w:rsidRPr="00D327E7">
        <w:rPr>
          <w:lang w:eastAsia="en-AU"/>
        </w:rPr>
        <w:t>PSPF assessment for the entity is available for completion</w:t>
      </w:r>
      <w:r>
        <w:rPr>
          <w:lang w:eastAsia="en-AU"/>
        </w:rPr>
        <w:t xml:space="preserve">. The email will provide a link to login and indicate the </w:t>
      </w:r>
      <w:r w:rsidRPr="00D327E7">
        <w:rPr>
          <w:lang w:eastAsia="en-AU"/>
        </w:rPr>
        <w:t>due</w:t>
      </w:r>
      <w:r>
        <w:rPr>
          <w:lang w:eastAsia="en-AU"/>
        </w:rPr>
        <w:t xml:space="preserve"> date for submission</w:t>
      </w:r>
      <w:r w:rsidRPr="00D327E7">
        <w:rPr>
          <w:lang w:eastAsia="en-AU"/>
        </w:rPr>
        <w:t>.</w:t>
      </w:r>
      <w:r>
        <w:t xml:space="preserve"> </w:t>
      </w:r>
    </w:p>
    <w:p w14:paraId="6ED48994" w14:textId="30374C2C" w:rsidR="005454A3" w:rsidRDefault="005454A3" w:rsidP="005454A3">
      <w:pPr>
        <w:pStyle w:val="Listbullet1"/>
      </w:pPr>
      <w:r>
        <w:t xml:space="preserve">All </w:t>
      </w:r>
      <w:r w:rsidR="00F42CD4">
        <w:t>CSOs</w:t>
      </w:r>
      <w:r>
        <w:t xml:space="preserve"> must commence the assessment in the portal.</w:t>
      </w:r>
    </w:p>
    <w:p w14:paraId="00B95683" w14:textId="1CAFD877" w:rsidR="00CA59EA" w:rsidRDefault="005454A3" w:rsidP="00EF27A5">
      <w:pPr>
        <w:pStyle w:val="Listbullet1"/>
        <w:numPr>
          <w:ilvl w:val="1"/>
          <w:numId w:val="347"/>
        </w:numPr>
      </w:pPr>
      <w:r>
        <w:t>For entities reporting information classified higher than PROTECTED, the PSPF online reporting portal will generate a downloadable offline reporting template.  The offline reporting template is not saved in the PSPF reporting portal and can be transferred to an ICT system appropriate for the security classification of the report</w:t>
      </w:r>
      <w:r w:rsidR="00CA59EA">
        <w:t xml:space="preserve">. </w:t>
      </w:r>
    </w:p>
    <w:p w14:paraId="54721145" w14:textId="7AE35C48" w:rsidR="00F42CD4" w:rsidRDefault="00F42CD4" w:rsidP="00F42CD4">
      <w:pPr>
        <w:pStyle w:val="Heading5"/>
      </w:pPr>
      <w:r>
        <w:t>Completing the assessment</w:t>
      </w:r>
    </w:p>
    <w:p w14:paraId="1BA5F69C" w14:textId="7258E523" w:rsidR="005454A3" w:rsidRDefault="005454A3" w:rsidP="005454A3">
      <w:pPr>
        <w:pStyle w:val="Listbullet1"/>
      </w:pPr>
      <w:r>
        <w:t xml:space="preserve">The annual </w:t>
      </w:r>
      <w:r w:rsidRPr="00D37F8D">
        <w:t xml:space="preserve">security </w:t>
      </w:r>
      <w:r>
        <w:t>assessment is comprised of 17 modules—one for each of the 16 PSPF polices and a summary module.</w:t>
      </w:r>
      <w:r w:rsidRPr="002F7D43">
        <w:t xml:space="preserve"> </w:t>
      </w:r>
    </w:p>
    <w:p w14:paraId="5A14B2B1" w14:textId="48FADD08" w:rsidR="005454A3" w:rsidRPr="005454A3" w:rsidRDefault="005454A3" w:rsidP="005454A3">
      <w:pPr>
        <w:pStyle w:val="Casestudytitle"/>
      </w:pPr>
      <w:r w:rsidRPr="005454A3">
        <w:t>Modules 1-16</w:t>
      </w:r>
    </w:p>
    <w:p w14:paraId="6B7C0A43" w14:textId="77777777" w:rsidR="005454A3" w:rsidRPr="005454A3" w:rsidRDefault="005454A3" w:rsidP="005454A3">
      <w:pPr>
        <w:pStyle w:val="Casestudytext"/>
        <w:rPr>
          <w:b/>
        </w:rPr>
      </w:pPr>
      <w:r w:rsidRPr="005454A3">
        <w:t>The assessment contains a module for each of the 16 PSPF policies. Each of these modules has two parts</w:t>
      </w:r>
      <w:r w:rsidRPr="005454A3">
        <w:rPr>
          <w:b/>
        </w:rPr>
        <w:t xml:space="preserve">: </w:t>
      </w:r>
    </w:p>
    <w:p w14:paraId="10A29ADD" w14:textId="77777777" w:rsidR="005454A3" w:rsidRPr="005454A3" w:rsidRDefault="005454A3" w:rsidP="005454A3">
      <w:pPr>
        <w:pStyle w:val="Casestudytext"/>
        <w:rPr>
          <w:b/>
        </w:rPr>
      </w:pPr>
      <w:r w:rsidRPr="005454A3">
        <w:rPr>
          <w:b/>
        </w:rPr>
        <w:t>Maturity questions</w:t>
      </w:r>
    </w:p>
    <w:p w14:paraId="491BC0C3" w14:textId="77777777" w:rsidR="005454A3" w:rsidRPr="005454A3" w:rsidRDefault="005454A3" w:rsidP="005454A3">
      <w:pPr>
        <w:pStyle w:val="Casestudytext"/>
      </w:pPr>
      <w:r w:rsidRPr="005454A3">
        <w:t xml:space="preserve">Each module consists of a set of questions drawn from the core and supporting requirements in the PSPF. </w:t>
      </w:r>
    </w:p>
    <w:p w14:paraId="48BEE6AF" w14:textId="77777777" w:rsidR="005454A3" w:rsidRPr="005454A3" w:rsidRDefault="005454A3" w:rsidP="005454A3">
      <w:pPr>
        <w:pStyle w:val="Casestudytext"/>
      </w:pPr>
      <w:r w:rsidRPr="005454A3">
        <w:rPr>
          <w:b/>
        </w:rPr>
        <w:t>Rationale, strategies &amp; timeframes</w:t>
      </w:r>
    </w:p>
    <w:p w14:paraId="5EA4AC5A" w14:textId="77777777" w:rsidR="005454A3" w:rsidRPr="005454A3" w:rsidRDefault="005454A3" w:rsidP="005454A3">
      <w:pPr>
        <w:pStyle w:val="Casestudytext"/>
      </w:pPr>
      <w:r w:rsidRPr="005454A3">
        <w:t>Based on the entity’s answers to the maturity questions, the portal will suggest a maturity level for the module. This will be displayed on a chart that shows the distribution of the entities answers for the module.</w:t>
      </w:r>
    </w:p>
    <w:p w14:paraId="6E74DE4C" w14:textId="77777777" w:rsidR="005454A3" w:rsidRPr="005454A3" w:rsidRDefault="005454A3" w:rsidP="005454A3">
      <w:pPr>
        <w:pStyle w:val="Casestudytext"/>
      </w:pPr>
      <w:r w:rsidRPr="005454A3">
        <w:t>The entity can confirm the suggested maturity level or select a higher or lower maturity level to reflect the entity’s self-assessment.</w:t>
      </w:r>
    </w:p>
    <w:p w14:paraId="1480EF24" w14:textId="575B643A" w:rsidR="005454A3" w:rsidRPr="005454A3" w:rsidRDefault="005454A3" w:rsidP="00EF27A5">
      <w:pPr>
        <w:pStyle w:val="Casestudytext"/>
      </w:pPr>
      <w:r w:rsidRPr="005454A3">
        <w:t>There is a text box to enter a rationale for the selected maturity level. If the entity changed the suggested maturity level, the rationale should explain why the change is justified.</w:t>
      </w:r>
    </w:p>
    <w:p w14:paraId="3162F05A" w14:textId="52AF4450" w:rsidR="005454A3" w:rsidRDefault="005454A3" w:rsidP="00EF27A5">
      <w:pPr>
        <w:pStyle w:val="Casestudytext"/>
      </w:pPr>
      <w:r w:rsidRPr="005454A3">
        <w:t xml:space="preserve">If the maturity level for the module is ad hoc or developing, there will be a </w:t>
      </w:r>
      <w:r w:rsidR="00F42CD4">
        <w:t xml:space="preserve">set of </w:t>
      </w:r>
      <w:r w:rsidRPr="005454A3">
        <w:t>text box</w:t>
      </w:r>
      <w:r w:rsidR="00F42CD4">
        <w:t>es</w:t>
      </w:r>
      <w:r w:rsidRPr="005454A3">
        <w:t xml:space="preserve"> to enter the proposed strategies and timeframes to improve the entities maturity level.</w:t>
      </w:r>
    </w:p>
    <w:p w14:paraId="48E64EF8" w14:textId="2C1B480B" w:rsidR="00F42CD4" w:rsidRPr="005454A3" w:rsidRDefault="00F42CD4" w:rsidP="00EF27A5">
      <w:pPr>
        <w:pStyle w:val="Casestudytext"/>
      </w:pPr>
      <w:r w:rsidRPr="00B26D15">
        <w:t xml:space="preserve">An entity may identify a core requirement as not applicable to the entity’s business. </w:t>
      </w:r>
      <w:r w:rsidRPr="00EF27A5">
        <w:rPr>
          <w:w w:val="105"/>
        </w:rPr>
        <w:t xml:space="preserve">Where </w:t>
      </w:r>
      <w:r w:rsidRPr="00CE5F5D">
        <w:rPr>
          <w:w w:val="105"/>
        </w:rPr>
        <w:t xml:space="preserve">there is an option to assess </w:t>
      </w:r>
      <w:r w:rsidRPr="00EF27A5">
        <w:rPr>
          <w:w w:val="105"/>
        </w:rPr>
        <w:t xml:space="preserve">a core </w:t>
      </w:r>
      <w:r w:rsidRPr="00CE5F5D">
        <w:rPr>
          <w:w w:val="105"/>
        </w:rPr>
        <w:t xml:space="preserve">or supporting </w:t>
      </w:r>
      <w:r w:rsidRPr="00EF27A5">
        <w:rPr>
          <w:w w:val="105"/>
        </w:rPr>
        <w:t xml:space="preserve">PSPF requirement </w:t>
      </w:r>
      <w:r w:rsidRPr="00CE5F5D">
        <w:rPr>
          <w:w w:val="105"/>
        </w:rPr>
        <w:t>as</w:t>
      </w:r>
      <w:r w:rsidRPr="00EF27A5">
        <w:rPr>
          <w:w w:val="105"/>
        </w:rPr>
        <w:t xml:space="preserve"> not applicable, the </w:t>
      </w:r>
      <w:r w:rsidRPr="00CE5F5D">
        <w:rPr>
          <w:w w:val="105"/>
        </w:rPr>
        <w:t>entity’s</w:t>
      </w:r>
      <w:r w:rsidRPr="00EF27A5">
        <w:rPr>
          <w:w w:val="105"/>
        </w:rPr>
        <w:t xml:space="preserve"> security maturity will not be penalised. </w:t>
      </w:r>
      <w:r w:rsidRPr="00CE5F5D">
        <w:rPr>
          <w:w w:val="105"/>
        </w:rPr>
        <w:t xml:space="preserve">For example the PSPF policy: </w:t>
      </w:r>
      <w:hyperlink r:id="rId17" w:history="1">
        <w:r w:rsidRPr="002B0434">
          <w:rPr>
            <w:rStyle w:val="Hyperlink"/>
            <w:w w:val="105"/>
          </w:rPr>
          <w:t>Security governance for international sharing</w:t>
        </w:r>
      </w:hyperlink>
      <w:r w:rsidRPr="00EF27A5">
        <w:rPr>
          <w:w w:val="105"/>
        </w:rPr>
        <w:t xml:space="preserve"> may not be applicable where the entity is confident it does not access any information or assets governed by international agreements or arrangements to which Australia is a party. In this case </w:t>
      </w:r>
      <w:r w:rsidRPr="00CE5F5D">
        <w:rPr>
          <w:w w:val="105"/>
        </w:rPr>
        <w:t xml:space="preserve">marking not applicable will not </w:t>
      </w:r>
      <w:r>
        <w:rPr>
          <w:w w:val="105"/>
        </w:rPr>
        <w:t>affect</w:t>
      </w:r>
      <w:r w:rsidRPr="00CE5F5D">
        <w:rPr>
          <w:w w:val="105"/>
        </w:rPr>
        <w:t xml:space="preserve"> </w:t>
      </w:r>
      <w:r w:rsidRPr="00EF27A5">
        <w:rPr>
          <w:w w:val="105"/>
        </w:rPr>
        <w:t xml:space="preserve">the </w:t>
      </w:r>
      <w:r w:rsidRPr="00CE5F5D">
        <w:rPr>
          <w:w w:val="105"/>
        </w:rPr>
        <w:t>entity’s</w:t>
      </w:r>
      <w:r w:rsidRPr="00EF27A5">
        <w:rPr>
          <w:w w:val="105"/>
        </w:rPr>
        <w:t xml:space="preserve"> maturity</w:t>
      </w:r>
      <w:r w:rsidRPr="00CE5F5D">
        <w:rPr>
          <w:w w:val="105"/>
        </w:rPr>
        <w:t>.</w:t>
      </w:r>
    </w:p>
    <w:p w14:paraId="3AF3CE5E" w14:textId="2DA79089" w:rsidR="005454A3" w:rsidRPr="005454A3" w:rsidRDefault="005454A3" w:rsidP="005454A3">
      <w:pPr>
        <w:pStyle w:val="Casestudytitle"/>
      </w:pPr>
      <w:r w:rsidRPr="005454A3">
        <w:t>Summary Module</w:t>
      </w:r>
    </w:p>
    <w:p w14:paraId="7FBCA8E2" w14:textId="106096A3" w:rsidR="004A696C" w:rsidRDefault="004A696C" w:rsidP="005454A3">
      <w:pPr>
        <w:pStyle w:val="Casestudytext"/>
      </w:pPr>
      <w:r w:rsidRPr="005454A3">
        <w:t xml:space="preserve">The summary module provides </w:t>
      </w:r>
      <w:r>
        <w:t>the</w:t>
      </w:r>
      <w:r w:rsidRPr="009730E8">
        <w:t xml:space="preserve"> entity’s overall maturity rating,</w:t>
      </w:r>
      <w:r>
        <w:t xml:space="preserve"> which is calculated</w:t>
      </w:r>
      <w:r w:rsidRPr="009730E8">
        <w:t xml:space="preserve"> based on the average of all the individual self-assessed maturity levels selected for each core requirement. </w:t>
      </w:r>
    </w:p>
    <w:p w14:paraId="4FD5F79D" w14:textId="2B63D17D" w:rsidR="00F42CD4" w:rsidRDefault="004A696C" w:rsidP="00EF27A5">
      <w:pPr>
        <w:pStyle w:val="Casestudytext"/>
      </w:pPr>
      <w:r w:rsidRPr="009730E8">
        <w:t>Separate to the overall maturity rating, a stand-alone entity maturity rating is calculated for each security outcome (ie governance, information, personnel and physical) based on the average of the ap</w:t>
      </w:r>
      <w:r>
        <w:t xml:space="preserve">plicable core requirements. </w:t>
      </w:r>
      <w:r w:rsidR="00F42CD4">
        <w:t>Entities have the option of providing additional information to describe</w:t>
      </w:r>
      <w:r>
        <w:t xml:space="preserve"> their</w:t>
      </w:r>
      <w:r w:rsidR="00F42CD4">
        <w:t xml:space="preserve"> maturity level for each outcome.</w:t>
      </w:r>
    </w:p>
    <w:p w14:paraId="6FD2973E" w14:textId="647FADE6" w:rsidR="005454A3" w:rsidRPr="005454A3" w:rsidRDefault="005454A3" w:rsidP="005454A3">
      <w:pPr>
        <w:pStyle w:val="Casestudytext"/>
      </w:pPr>
      <w:r w:rsidRPr="005454A3">
        <w:t xml:space="preserve">The summary module </w:t>
      </w:r>
      <w:r w:rsidR="00F42CD4">
        <w:t xml:space="preserve">provides </w:t>
      </w:r>
      <w:r w:rsidRPr="005454A3">
        <w:t>text boxes that must be completed:</w:t>
      </w:r>
    </w:p>
    <w:p w14:paraId="14CC275B" w14:textId="77777777" w:rsidR="005454A3" w:rsidRPr="005454A3" w:rsidRDefault="005454A3" w:rsidP="005454A3">
      <w:pPr>
        <w:pStyle w:val="Casestudytext"/>
        <w:numPr>
          <w:ilvl w:val="0"/>
          <w:numId w:val="355"/>
        </w:numPr>
        <w:ind w:left="426" w:hanging="426"/>
      </w:pPr>
      <w:r w:rsidRPr="005454A3">
        <w:rPr>
          <w:b/>
        </w:rPr>
        <w:t xml:space="preserve">Summary of risk environment </w:t>
      </w:r>
    </w:p>
    <w:p w14:paraId="7D010979" w14:textId="62E26DA2" w:rsidR="005454A3" w:rsidRPr="005454A3" w:rsidRDefault="005454A3" w:rsidP="005454A3">
      <w:pPr>
        <w:pStyle w:val="Casestudytext"/>
        <w:numPr>
          <w:ilvl w:val="0"/>
          <w:numId w:val="355"/>
        </w:numPr>
        <w:ind w:left="426" w:hanging="426"/>
      </w:pPr>
      <w:r>
        <w:rPr>
          <w:b/>
        </w:rPr>
        <w:t>Maturity of</w:t>
      </w:r>
      <w:r w:rsidRPr="005454A3">
        <w:rPr>
          <w:b/>
        </w:rPr>
        <w:t xml:space="preserve"> security capability</w:t>
      </w:r>
    </w:p>
    <w:p w14:paraId="2BD57326" w14:textId="113F43B9" w:rsidR="005454A3" w:rsidRPr="005454A3" w:rsidRDefault="005454A3" w:rsidP="005454A3">
      <w:pPr>
        <w:pStyle w:val="Casestudytext"/>
        <w:numPr>
          <w:ilvl w:val="0"/>
          <w:numId w:val="355"/>
        </w:numPr>
        <w:ind w:left="426" w:hanging="426"/>
        <w:rPr>
          <w:b/>
        </w:rPr>
      </w:pPr>
      <w:r w:rsidRPr="005454A3">
        <w:rPr>
          <w:b/>
        </w:rPr>
        <w:t xml:space="preserve">Key risks to the entity’s people, </w:t>
      </w:r>
      <w:r w:rsidRPr="00EF27A5">
        <w:rPr>
          <w:b/>
        </w:rPr>
        <w:t xml:space="preserve">information </w:t>
      </w:r>
      <w:r w:rsidRPr="005454A3">
        <w:rPr>
          <w:b/>
        </w:rPr>
        <w:t>and assets</w:t>
      </w:r>
    </w:p>
    <w:p w14:paraId="7E27DF70" w14:textId="4315CAA7" w:rsidR="005454A3" w:rsidRPr="005454A3" w:rsidRDefault="00F42CD4" w:rsidP="005454A3">
      <w:pPr>
        <w:pStyle w:val="Casestudytext"/>
      </w:pPr>
      <w:r>
        <w:t>Within the summary module, t</w:t>
      </w:r>
      <w:r w:rsidR="005454A3" w:rsidRPr="005454A3">
        <w:t>he following information will be prefilled from answers provided in earlier modules</w:t>
      </w:r>
      <w:r>
        <w:t xml:space="preserve"> or from elsewhere in the portal</w:t>
      </w:r>
      <w:r w:rsidR="005454A3" w:rsidRPr="005454A3">
        <w:t>:</w:t>
      </w:r>
    </w:p>
    <w:p w14:paraId="1FA9F233" w14:textId="7C374652" w:rsidR="00F42CD4" w:rsidRPr="00F42CD4" w:rsidRDefault="00F42CD4" w:rsidP="00F42CD4">
      <w:pPr>
        <w:pStyle w:val="Casestudytext"/>
        <w:numPr>
          <w:ilvl w:val="0"/>
          <w:numId w:val="355"/>
        </w:numPr>
        <w:ind w:left="426" w:hanging="426"/>
      </w:pPr>
      <w:r w:rsidRPr="00F42CD4">
        <w:t>Summary of significant security incidents during the reporting period</w:t>
      </w:r>
      <w:r>
        <w:t xml:space="preserve"> </w:t>
      </w:r>
      <w:r w:rsidRPr="005454A3">
        <w:t>(if applicable)—prefilled</w:t>
      </w:r>
      <w:r>
        <w:t xml:space="preserve"> from the significant security incidents reported through the online reporting portal during the financial year. Where an entity identifies that a significant security incident has not been reported through the portal, the entity is required to add the incident to the summary module</w:t>
      </w:r>
    </w:p>
    <w:p w14:paraId="5AB3D1BC" w14:textId="77777777" w:rsidR="005454A3" w:rsidRPr="005454A3" w:rsidRDefault="005454A3" w:rsidP="005454A3">
      <w:pPr>
        <w:pStyle w:val="Casestudytext"/>
        <w:numPr>
          <w:ilvl w:val="0"/>
          <w:numId w:val="355"/>
        </w:numPr>
        <w:ind w:left="426" w:hanging="426"/>
      </w:pPr>
      <w:r w:rsidRPr="005454A3">
        <w:t>Exceptional circumstances (if applicable)—prefilled from Module 1 Role of the accountable authority</w:t>
      </w:r>
    </w:p>
    <w:p w14:paraId="3F81F17D" w14:textId="279458FE" w:rsidR="005454A3" w:rsidRDefault="005454A3" w:rsidP="005454A3">
      <w:pPr>
        <w:pStyle w:val="Casestudytext"/>
        <w:numPr>
          <w:ilvl w:val="0"/>
          <w:numId w:val="355"/>
        </w:numPr>
        <w:ind w:left="426" w:hanging="426"/>
      </w:pPr>
      <w:r w:rsidRPr="005454A3">
        <w:t>Personnel security clearance</w:t>
      </w:r>
      <w:r w:rsidR="00F42CD4">
        <w:t>s and</w:t>
      </w:r>
      <w:r w:rsidRPr="005454A3">
        <w:t xml:space="preserve"> waivers—prefilled from Module 12 Eligibility and suitability of personnel and Module 13 Ongoing assessment of personnel</w:t>
      </w:r>
    </w:p>
    <w:p w14:paraId="1C13527B" w14:textId="2E50355B" w:rsidR="00F42CD4" w:rsidRDefault="00F42CD4" w:rsidP="00F42CD4">
      <w:pPr>
        <w:pStyle w:val="Heading5"/>
      </w:pPr>
      <w:r>
        <w:lastRenderedPageBreak/>
        <w:t>Approving the assessment</w:t>
      </w:r>
    </w:p>
    <w:p w14:paraId="6CE2D1E6" w14:textId="68ABD5D7" w:rsidR="00F42CD4" w:rsidRDefault="00F42CD4" w:rsidP="009B4F82">
      <w:pPr>
        <w:pStyle w:val="Listbullet1"/>
      </w:pPr>
      <w:r>
        <w:t>The entity’s Accountable Authority is responsible for approving the report before it is submitted to the Attorney</w:t>
      </w:r>
      <w:r>
        <w:noBreakHyphen/>
        <w:t>General’s Department and portfolio minister. This responsibility cannot be delegated.</w:t>
      </w:r>
    </w:p>
    <w:p w14:paraId="23377EDC" w14:textId="360C3638" w:rsidR="00F42CD4" w:rsidRDefault="003C5426" w:rsidP="009B4F82">
      <w:pPr>
        <w:pStyle w:val="Listbullet1"/>
      </w:pPr>
      <w:r>
        <w:t>The report cannot be approved in the portal. A copy of the final report can be downloaded for the Accountable Authority to approve offline.</w:t>
      </w:r>
      <w:r w:rsidR="00006EE9">
        <w:t xml:space="preserve"> For entities using the offline template, instructions are included in the template.</w:t>
      </w:r>
    </w:p>
    <w:p w14:paraId="73B0A113" w14:textId="0B8B7C50" w:rsidR="00EC1BDD" w:rsidRDefault="0071153B" w:rsidP="00EC1BDD">
      <w:pPr>
        <w:pStyle w:val="Heading5"/>
      </w:pPr>
      <w:r>
        <w:t>S</w:t>
      </w:r>
      <w:r w:rsidR="00EC1BDD">
        <w:t>ubmitting the assessment</w:t>
      </w:r>
    </w:p>
    <w:p w14:paraId="3BAFA2AB" w14:textId="0D88DC1C" w:rsidR="00EC1BDD" w:rsidRDefault="00EC1BDD" w:rsidP="00EC1BDD">
      <w:pPr>
        <w:pStyle w:val="Listbullet1"/>
        <w:ind w:left="426" w:hanging="426"/>
      </w:pPr>
      <w:r w:rsidRPr="00A3129A">
        <w:t xml:space="preserve">To </w:t>
      </w:r>
      <w:r>
        <w:t xml:space="preserve">meet the requirement to report to the entity’s portfolio minister, the entity must </w:t>
      </w:r>
      <w:r w:rsidRPr="00A3129A">
        <w:t>provide</w:t>
      </w:r>
      <w:r>
        <w:t xml:space="preserve"> the minister with the content of the summary module from the online PSPF reporting portal or offline reporting template. This content can be provided in the format of the report downloaded directly from the PSPF reporting portal or by copying and pasting the content into a format that meets the entity’s standard procedures</w:t>
      </w:r>
      <w:r w:rsidRPr="00410A68">
        <w:t xml:space="preserve"> </w:t>
      </w:r>
      <w:r>
        <w:t>for communicating with their minister.</w:t>
      </w:r>
    </w:p>
    <w:p w14:paraId="1BBE89BC" w14:textId="29F52EA6" w:rsidR="00CA59EA" w:rsidRDefault="0071153B" w:rsidP="009B4F82">
      <w:pPr>
        <w:pStyle w:val="Listbullet1"/>
      </w:pPr>
      <w:r>
        <w:t>To meet the requirement to report to the Attorney</w:t>
      </w:r>
      <w:r>
        <w:noBreakHyphen/>
        <w:t xml:space="preserve">General’s Department, the entity’s CSO must finalise the assessment by completing </w:t>
      </w:r>
      <w:r w:rsidR="00F42CD4">
        <w:t xml:space="preserve">the </w:t>
      </w:r>
      <w:r>
        <w:t>a</w:t>
      </w:r>
      <w:r w:rsidR="00CA59EA">
        <w:t xml:space="preserve">cknowledgement of reporting obligations </w:t>
      </w:r>
      <w:r>
        <w:t xml:space="preserve">to </w:t>
      </w:r>
      <w:r w:rsidR="00CA59EA">
        <w:t>confirm that:</w:t>
      </w:r>
    </w:p>
    <w:p w14:paraId="77B69F3A" w14:textId="77777777" w:rsidR="00CA59EA" w:rsidRDefault="00CA59EA" w:rsidP="00C56172">
      <w:pPr>
        <w:pStyle w:val="Listbullet1"/>
        <w:numPr>
          <w:ilvl w:val="1"/>
          <w:numId w:val="347"/>
        </w:numPr>
      </w:pPr>
      <w:r>
        <w:t xml:space="preserve">the </w:t>
      </w:r>
      <w:r w:rsidRPr="00DC2EEA">
        <w:rPr>
          <w:lang w:val="en"/>
        </w:rPr>
        <w:t>entity</w:t>
      </w:r>
      <w:r>
        <w:t xml:space="preserve"> </w:t>
      </w:r>
      <w:r w:rsidRPr="00DC2EEA">
        <w:rPr>
          <w:lang w:val="en"/>
        </w:rPr>
        <w:t>has</w:t>
      </w:r>
      <w:r>
        <w:t xml:space="preserve"> reported to affected entities</w:t>
      </w:r>
      <w:r w:rsidRPr="009D13D0">
        <w:t xml:space="preserve"> whose interests or security arrangements</w:t>
      </w:r>
      <w:r>
        <w:t xml:space="preserve"> could be affected by the outcomes of</w:t>
      </w:r>
      <w:r w:rsidRPr="00E316DC">
        <w:t xml:space="preserve"> </w:t>
      </w:r>
      <w:r w:rsidRPr="008B3E22">
        <w:t>unmitigated security risks, security incidents or vulnerabilities in PSPF implementation</w:t>
      </w:r>
      <w:r>
        <w:t xml:space="preserve">. If not the entity has provided explanatory comments. </w:t>
      </w:r>
    </w:p>
    <w:p w14:paraId="34075B2C" w14:textId="77777777" w:rsidR="00CA59EA" w:rsidRDefault="00CA59EA" w:rsidP="00C56172">
      <w:pPr>
        <w:pStyle w:val="Listbullet1"/>
        <w:numPr>
          <w:ilvl w:val="1"/>
          <w:numId w:val="347"/>
        </w:numPr>
        <w:rPr>
          <w:lang w:val="en"/>
        </w:rPr>
      </w:pPr>
      <w:r w:rsidRPr="009F2390">
        <w:rPr>
          <w:lang w:val="en"/>
        </w:rPr>
        <w:t xml:space="preserve">the </w:t>
      </w:r>
      <w:r w:rsidRPr="009F2390">
        <w:t>entity</w:t>
      </w:r>
      <w:r w:rsidRPr="009F2390">
        <w:rPr>
          <w:lang w:val="en"/>
        </w:rPr>
        <w:t xml:space="preserve"> has submitted the ACSC Cyber Security Survey for Commonwealth entities. If not the entity </w:t>
      </w:r>
      <w:r w:rsidRPr="009F2390">
        <w:t>has</w:t>
      </w:r>
      <w:r w:rsidRPr="009F2390">
        <w:rPr>
          <w:lang w:val="en"/>
        </w:rPr>
        <w:t xml:space="preserve"> provided explanatory comments. </w:t>
      </w:r>
    </w:p>
    <w:p w14:paraId="19417E6E" w14:textId="5670E8E0" w:rsidR="00CA59EA" w:rsidRDefault="0071153B" w:rsidP="0071153B">
      <w:pPr>
        <w:pStyle w:val="Listbullet1"/>
        <w:numPr>
          <w:ilvl w:val="1"/>
          <w:numId w:val="347"/>
        </w:numPr>
        <w:rPr>
          <w:lang w:val="en"/>
        </w:rPr>
      </w:pPr>
      <w:r>
        <w:rPr>
          <w:lang w:val="en"/>
        </w:rPr>
        <w:t>t</w:t>
      </w:r>
      <w:r w:rsidR="00CA59EA" w:rsidRPr="00DC2EEA">
        <w:rPr>
          <w:lang w:val="en"/>
        </w:rPr>
        <w:t>he entity has reported to ASIO</w:t>
      </w:r>
      <w:r w:rsidR="00CA59EA" w:rsidRPr="00EF27A5">
        <w:rPr>
          <w:lang w:val="en"/>
        </w:rPr>
        <w:t xml:space="preserve"> any </w:t>
      </w:r>
      <w:r w:rsidR="00CA59EA" w:rsidRPr="00DC2EEA">
        <w:rPr>
          <w:lang w:val="en"/>
        </w:rPr>
        <w:t>significant security incidents or vulnerabilities relating to national security. If not</w:t>
      </w:r>
      <w:r w:rsidR="00CA59EA" w:rsidRPr="00EF27A5">
        <w:rPr>
          <w:lang w:val="en"/>
        </w:rPr>
        <w:t xml:space="preserve"> the entity </w:t>
      </w:r>
      <w:r w:rsidR="00CA59EA" w:rsidRPr="00DC2EEA">
        <w:rPr>
          <w:lang w:val="en"/>
        </w:rPr>
        <w:t>has provided explanatory comments.</w:t>
      </w:r>
    </w:p>
    <w:p w14:paraId="009BF478" w14:textId="77777777" w:rsidR="00CA59EA" w:rsidRDefault="00CA59EA" w:rsidP="0071153B">
      <w:pPr>
        <w:pStyle w:val="Listbullet1"/>
        <w:numPr>
          <w:ilvl w:val="1"/>
          <w:numId w:val="347"/>
        </w:numPr>
        <w:rPr>
          <w:lang w:val="en"/>
        </w:rPr>
      </w:pPr>
      <w:r>
        <w:rPr>
          <w:lang w:val="en"/>
        </w:rPr>
        <w:t>the assessment has been approved by the accountable authority—confirmation and date approved</w:t>
      </w:r>
    </w:p>
    <w:p w14:paraId="79FE3D0A" w14:textId="04A7A1D5" w:rsidR="00CA59EA" w:rsidRDefault="00CA59EA" w:rsidP="0071153B">
      <w:pPr>
        <w:pStyle w:val="Listbullet1"/>
        <w:numPr>
          <w:ilvl w:val="1"/>
          <w:numId w:val="347"/>
        </w:numPr>
        <w:rPr>
          <w:lang w:val="en"/>
        </w:rPr>
      </w:pPr>
      <w:r>
        <w:rPr>
          <w:lang w:val="en"/>
        </w:rPr>
        <w:t>the assessment has been provided to</w:t>
      </w:r>
      <w:r w:rsidRPr="00EF27A5">
        <w:rPr>
          <w:lang w:val="en"/>
        </w:rPr>
        <w:t xml:space="preserve"> the </w:t>
      </w:r>
      <w:r>
        <w:rPr>
          <w:lang w:val="en"/>
        </w:rPr>
        <w:t>relevant</w:t>
      </w:r>
      <w:r w:rsidRPr="00EF27A5">
        <w:rPr>
          <w:lang w:val="en"/>
        </w:rPr>
        <w:t xml:space="preserve"> portfolio minister</w:t>
      </w:r>
      <w:r>
        <w:rPr>
          <w:lang w:val="en"/>
        </w:rPr>
        <w:t>—confirmation</w:t>
      </w:r>
      <w:r w:rsidRPr="00EF27A5">
        <w:rPr>
          <w:lang w:val="en"/>
        </w:rPr>
        <w:t xml:space="preserve"> and</w:t>
      </w:r>
      <w:r>
        <w:rPr>
          <w:lang w:val="en"/>
        </w:rPr>
        <w:t xml:space="preserve"> date provided</w:t>
      </w:r>
    </w:p>
    <w:p w14:paraId="2978913C" w14:textId="22A28B15" w:rsidR="00CA59EA" w:rsidRDefault="0071153B" w:rsidP="0071153B">
      <w:pPr>
        <w:pStyle w:val="Listbullet1"/>
        <w:rPr>
          <w:lang w:val="en"/>
        </w:rPr>
      </w:pPr>
      <w:r>
        <w:rPr>
          <w:lang w:val="en"/>
        </w:rPr>
        <w:t xml:space="preserve">The entity can provide additional </w:t>
      </w:r>
      <w:r w:rsidR="00CA59EA" w:rsidRPr="0071153B">
        <w:rPr>
          <w:lang w:val="en"/>
        </w:rPr>
        <w:t>comments</w:t>
      </w:r>
      <w:r>
        <w:rPr>
          <w:lang w:val="en"/>
        </w:rPr>
        <w:t xml:space="preserve"> at this stage, for example to</w:t>
      </w:r>
      <w:r w:rsidR="00CA59EA" w:rsidRPr="0071153B">
        <w:rPr>
          <w:lang w:val="en"/>
        </w:rPr>
        <w:t xml:space="preserve"> advise if </w:t>
      </w:r>
      <w:r w:rsidR="00006EE9">
        <w:rPr>
          <w:lang w:val="en"/>
        </w:rPr>
        <w:t>supplementary information needs to be provided separately because it is classified</w:t>
      </w:r>
      <w:r w:rsidR="00CA59EA" w:rsidRPr="0071153B">
        <w:rPr>
          <w:lang w:val="en"/>
        </w:rPr>
        <w:t xml:space="preserve"> above PROTECTED. </w:t>
      </w:r>
    </w:p>
    <w:p w14:paraId="50BE7600" w14:textId="774B7FDA" w:rsidR="00006EE9" w:rsidRPr="00006EE9" w:rsidRDefault="00006EE9" w:rsidP="002A3B34">
      <w:pPr>
        <w:pStyle w:val="Listbullet1"/>
      </w:pPr>
      <w:r>
        <w:rPr>
          <w:lang w:val="en"/>
        </w:rPr>
        <w:t xml:space="preserve">The CSO </w:t>
      </w:r>
      <w:r>
        <w:t xml:space="preserve">is responsible for </w:t>
      </w:r>
      <w:r w:rsidRPr="002A3B34">
        <w:t>submitting</w:t>
      </w:r>
      <w:r>
        <w:t xml:space="preserve"> the report to the Attorney</w:t>
      </w:r>
      <w:r>
        <w:noBreakHyphen/>
        <w:t xml:space="preserve">General’s Department in the online portal </w:t>
      </w:r>
      <w:r w:rsidR="00A108FA">
        <w:t xml:space="preserve">or </w:t>
      </w:r>
      <w:r>
        <w:t>by secure means appropriate for the security classification of the report. This responsibility cannot be delegated.</w:t>
      </w:r>
    </w:p>
    <w:bookmarkEnd w:id="4"/>
    <w:bookmarkEnd w:id="5"/>
    <w:p w14:paraId="79B21ADA" w14:textId="77777777" w:rsidR="00BB650C" w:rsidRDefault="00BB650C" w:rsidP="00BB650C">
      <w:pPr>
        <w:pStyle w:val="Heading3"/>
        <w:ind w:left="576"/>
      </w:pPr>
      <w:r>
        <w:t xml:space="preserve">Reporting to </w:t>
      </w:r>
      <w:r w:rsidR="00FF18D4" w:rsidRPr="00BB650C">
        <w:t>affected entities</w:t>
      </w:r>
    </w:p>
    <w:p w14:paraId="4F03A893" w14:textId="42D4F111" w:rsidR="008A099D" w:rsidRDefault="00BE38CA" w:rsidP="009B4F82">
      <w:pPr>
        <w:pStyle w:val="Listbullet1"/>
      </w:pPr>
      <w:r w:rsidRPr="00AB6319">
        <w:t xml:space="preserve">The core requirement mandates entities </w:t>
      </w:r>
      <w:r w:rsidRPr="00A3129A">
        <w:t>report on security to</w:t>
      </w:r>
      <w:r w:rsidR="002C0F1D">
        <w:t xml:space="preserve"> all</w:t>
      </w:r>
      <w:r w:rsidRPr="00A3129A">
        <w:t xml:space="preserve"> </w:t>
      </w:r>
      <w:r w:rsidR="007D36E9" w:rsidRPr="00BB650C">
        <w:t>affected entities</w:t>
      </w:r>
      <w:r w:rsidR="00FF18D4" w:rsidRPr="00BB650C">
        <w:t xml:space="preserve"> whose </w:t>
      </w:r>
      <w:r w:rsidR="005F4EE5">
        <w:t xml:space="preserve">interests or security arrangements could be affected by the outcome </w:t>
      </w:r>
      <w:r w:rsidR="00FF18D4" w:rsidRPr="00AB6319">
        <w:t>of unmitigated security risks</w:t>
      </w:r>
      <w:r w:rsidR="006209F5">
        <w:t>, security incidents or vulnerabilities in the</w:t>
      </w:r>
      <w:r w:rsidR="00FF18D4" w:rsidRPr="00AB6319">
        <w:t xml:space="preserve"> entity’s PSPF implementation. </w:t>
      </w:r>
    </w:p>
    <w:p w14:paraId="5A66FA06" w14:textId="7538DCED" w:rsidR="00FF18D4" w:rsidRDefault="00FF18D4" w:rsidP="009B4F82">
      <w:pPr>
        <w:pStyle w:val="Listbullet1"/>
      </w:pPr>
      <w:r>
        <w:t xml:space="preserve">To fulfil this </w:t>
      </w:r>
      <w:r w:rsidR="00B20BB4">
        <w:t>requirement</w:t>
      </w:r>
      <w:r>
        <w:t xml:space="preserve">, entities must report details of core and supporting requirements assessed, with </w:t>
      </w:r>
      <w:r w:rsidR="006209F5">
        <w:t>ad</w:t>
      </w:r>
      <w:r w:rsidR="006209F5">
        <w:noBreakHyphen/>
      </w:r>
      <w:r>
        <w:t xml:space="preserve">hoc </w:t>
      </w:r>
      <w:r w:rsidR="006209F5">
        <w:t>or</w:t>
      </w:r>
      <w:r>
        <w:t xml:space="preserve"> developing maturity that affect and expose other entities to unmitigated security risks</w:t>
      </w:r>
      <w:r w:rsidR="00D15088">
        <w:t xml:space="preserve">. This includes </w:t>
      </w:r>
      <w:r w:rsidR="00C47626">
        <w:t xml:space="preserve">security risks that affect national security, cyber security and </w:t>
      </w:r>
      <w:r w:rsidR="00D15088">
        <w:t>shared service arrangements</w:t>
      </w:r>
      <w:r w:rsidR="00C47626">
        <w:t>.</w:t>
      </w:r>
      <w:r w:rsidR="00DB3BF5">
        <w:t xml:space="preserve"> </w:t>
      </w:r>
      <w:r>
        <w:t>Affected entities</w:t>
      </w:r>
      <w:r w:rsidRPr="00AB6319">
        <w:t xml:space="preserve"> </w:t>
      </w:r>
      <w:r>
        <w:t xml:space="preserve">may </w:t>
      </w:r>
      <w:r w:rsidRPr="00AB6319">
        <w:t>include</w:t>
      </w:r>
      <w:r>
        <w:t>:</w:t>
      </w:r>
    </w:p>
    <w:p w14:paraId="3B92A43A" w14:textId="77777777" w:rsidR="00FF18D4" w:rsidRDefault="00FF18D4" w:rsidP="002C0F1D">
      <w:pPr>
        <w:pStyle w:val="Listbullet1"/>
        <w:numPr>
          <w:ilvl w:val="1"/>
          <w:numId w:val="347"/>
        </w:numPr>
      </w:pPr>
      <w:r w:rsidRPr="00AB6319">
        <w:t xml:space="preserve">lead security entities as set out in PSPF policy: </w:t>
      </w:r>
      <w:hyperlink r:id="rId18" w:history="1">
        <w:r>
          <w:rPr>
            <w:rStyle w:val="Hyperlink"/>
          </w:rPr>
          <w:t>Role of accountable authority</w:t>
        </w:r>
      </w:hyperlink>
      <w:r w:rsidRPr="00BE38CA">
        <w:t xml:space="preserve">, </w:t>
      </w:r>
      <w:r>
        <w:t>in particular:</w:t>
      </w:r>
    </w:p>
    <w:p w14:paraId="53130017" w14:textId="557B41A6" w:rsidR="005F5A2A" w:rsidRPr="002C0F1D" w:rsidRDefault="00FF18D4" w:rsidP="002C0F1D">
      <w:pPr>
        <w:pStyle w:val="Listbullet1"/>
        <w:numPr>
          <w:ilvl w:val="2"/>
          <w:numId w:val="347"/>
        </w:numPr>
        <w:rPr>
          <w:rFonts w:asciiTheme="minorHAnsi" w:hAnsiTheme="minorHAnsi"/>
          <w:color w:val="313131"/>
          <w:lang w:val="en"/>
        </w:rPr>
      </w:pPr>
      <w:r w:rsidRPr="00AB6319">
        <w:t>A</w:t>
      </w:r>
      <w:r>
        <w:t xml:space="preserve">ustralian </w:t>
      </w:r>
      <w:r w:rsidRPr="00AB6319">
        <w:t>S</w:t>
      </w:r>
      <w:r>
        <w:t xml:space="preserve">ecurity </w:t>
      </w:r>
      <w:r w:rsidRPr="005706F5">
        <w:t>Intelligence</w:t>
      </w:r>
      <w:r>
        <w:t xml:space="preserve"> </w:t>
      </w:r>
      <w:r w:rsidRPr="00AB6319">
        <w:t>O</w:t>
      </w:r>
      <w:r>
        <w:t>rganisation (ASIO)</w:t>
      </w:r>
      <w:r w:rsidR="006209F5">
        <w:t xml:space="preserve"> for </w:t>
      </w:r>
      <w:r w:rsidR="005F5A2A">
        <w:t xml:space="preserve">national security risks </w:t>
      </w:r>
    </w:p>
    <w:p w14:paraId="0766D722" w14:textId="300E769F" w:rsidR="004855BB" w:rsidRPr="002C0F1D" w:rsidRDefault="00FF18D4" w:rsidP="002C0F1D">
      <w:pPr>
        <w:pStyle w:val="Listbullet1"/>
        <w:numPr>
          <w:ilvl w:val="2"/>
          <w:numId w:val="347"/>
        </w:numPr>
        <w:rPr>
          <w:rFonts w:asciiTheme="minorHAnsi" w:hAnsiTheme="minorHAnsi"/>
          <w:color w:val="313131"/>
          <w:lang w:val="en"/>
        </w:rPr>
      </w:pPr>
      <w:r w:rsidRPr="00AB6319">
        <w:t>A</w:t>
      </w:r>
      <w:r>
        <w:t xml:space="preserve">ustralian </w:t>
      </w:r>
      <w:r w:rsidRPr="00AB6319">
        <w:t>S</w:t>
      </w:r>
      <w:r>
        <w:t xml:space="preserve">ignals </w:t>
      </w:r>
      <w:r w:rsidRPr="00AB6319">
        <w:t>D</w:t>
      </w:r>
      <w:r>
        <w:t>irectorate (ASD)</w:t>
      </w:r>
      <w:r w:rsidR="006209F5">
        <w:t xml:space="preserve"> for </w:t>
      </w:r>
      <w:r w:rsidR="005F5A2A">
        <w:t xml:space="preserve">cyber security risks </w:t>
      </w:r>
    </w:p>
    <w:p w14:paraId="52B583B0" w14:textId="64232922" w:rsidR="005F5A2A" w:rsidRDefault="00DB3BF5" w:rsidP="002C0F1D">
      <w:pPr>
        <w:pStyle w:val="Listbullet1"/>
        <w:numPr>
          <w:ilvl w:val="1"/>
          <w:numId w:val="347"/>
        </w:numPr>
      </w:pPr>
      <w:r>
        <w:t>entities in shared service arrangements, for example entities such as co-tenants o</w:t>
      </w:r>
      <w:r w:rsidR="00A56AAB">
        <w:t>f</w:t>
      </w:r>
      <w:r>
        <w:t xml:space="preserve"> premises or users of ICT infrastructure.</w:t>
      </w:r>
    </w:p>
    <w:p w14:paraId="2D37C2C8" w14:textId="3EFDA55E" w:rsidR="001F1CCB" w:rsidRDefault="001F1CCB" w:rsidP="00E303C1">
      <w:pPr>
        <w:pStyle w:val="Heading4"/>
      </w:pPr>
      <w:r>
        <w:t xml:space="preserve">Reporting </w:t>
      </w:r>
      <w:r w:rsidR="00365688">
        <w:t xml:space="preserve">significant and reportable </w:t>
      </w:r>
      <w:r>
        <w:t>security incidents</w:t>
      </w:r>
    </w:p>
    <w:p w14:paraId="4F0CB0F9" w14:textId="77777777" w:rsidR="001F1CCB" w:rsidRPr="001F1CCB" w:rsidRDefault="001F1CCB" w:rsidP="001F1CCB">
      <w:pPr>
        <w:pStyle w:val="Listbullet1"/>
        <w:rPr>
          <w:lang w:val="en"/>
        </w:rPr>
      </w:pPr>
      <w:r>
        <w:t xml:space="preserve">Supporting requirement 2 </w:t>
      </w:r>
      <w:r>
        <w:rPr>
          <w:lang w:val="en"/>
        </w:rPr>
        <w:t>mandates</w:t>
      </w:r>
      <w:r w:rsidRPr="00C46416">
        <w:rPr>
          <w:lang w:val="en"/>
        </w:rPr>
        <w:t xml:space="preserve"> </w:t>
      </w:r>
      <w:r>
        <w:rPr>
          <w:lang w:val="en"/>
        </w:rPr>
        <w:t xml:space="preserve">that entities </w:t>
      </w:r>
      <w:r w:rsidRPr="00C46416">
        <w:rPr>
          <w:lang w:val="en"/>
        </w:rPr>
        <w:t>report</w:t>
      </w:r>
      <w:r>
        <w:rPr>
          <w:lang w:val="en"/>
        </w:rPr>
        <w:t xml:space="preserve"> </w:t>
      </w:r>
      <w:r w:rsidRPr="00C46416">
        <w:rPr>
          <w:lang w:val="en"/>
        </w:rPr>
        <w:t xml:space="preserve">significant and </w:t>
      </w:r>
      <w:r w:rsidRPr="00B26D15">
        <w:rPr>
          <w:lang w:val="en"/>
        </w:rPr>
        <w:t xml:space="preserve">reportable </w:t>
      </w:r>
      <w:r w:rsidRPr="00C46416">
        <w:rPr>
          <w:lang w:val="en"/>
        </w:rPr>
        <w:t>security inc</w:t>
      </w:r>
      <w:r>
        <w:rPr>
          <w:lang w:val="en"/>
        </w:rPr>
        <w:t xml:space="preserve">idents </w:t>
      </w:r>
      <w:r w:rsidRPr="001F1CCB">
        <w:rPr>
          <w:lang w:val="en"/>
        </w:rPr>
        <w:t xml:space="preserve">at </w:t>
      </w:r>
      <w:r w:rsidRPr="002C0F1D">
        <w:rPr>
          <w:lang w:val="en"/>
        </w:rPr>
        <w:t xml:space="preserve">the </w:t>
      </w:r>
      <w:r w:rsidRPr="001F1CCB">
        <w:rPr>
          <w:lang w:val="en"/>
        </w:rPr>
        <w:t xml:space="preserve">time they occur to: </w:t>
      </w:r>
    </w:p>
    <w:p w14:paraId="34EE120E" w14:textId="77777777" w:rsidR="001F1CCB" w:rsidRPr="001F1CCB" w:rsidRDefault="001F1CCB" w:rsidP="001F1CCB">
      <w:pPr>
        <w:pStyle w:val="Listbullet1"/>
        <w:numPr>
          <w:ilvl w:val="1"/>
          <w:numId w:val="347"/>
        </w:numPr>
        <w:rPr>
          <w:lang w:val="en"/>
        </w:rPr>
      </w:pPr>
      <w:r w:rsidRPr="001F1CCB">
        <w:rPr>
          <w:lang w:val="en"/>
        </w:rPr>
        <w:t>the Attorney-General’s Department</w:t>
      </w:r>
    </w:p>
    <w:p w14:paraId="2C377582" w14:textId="77777777" w:rsidR="001F1CCB" w:rsidRPr="001F1CCB" w:rsidRDefault="001F1CCB" w:rsidP="001F1CCB">
      <w:pPr>
        <w:pStyle w:val="Listbullet1"/>
        <w:numPr>
          <w:ilvl w:val="1"/>
          <w:numId w:val="347"/>
        </w:numPr>
        <w:rPr>
          <w:lang w:val="en"/>
        </w:rPr>
      </w:pPr>
      <w:r w:rsidRPr="001F1CCB">
        <w:rPr>
          <w:lang w:val="en"/>
        </w:rPr>
        <w:t xml:space="preserve">the relevant lead security authority </w:t>
      </w:r>
    </w:p>
    <w:p w14:paraId="66A3CE92" w14:textId="77777777" w:rsidR="001F1CCB" w:rsidRPr="001F1CCB" w:rsidRDefault="001F1CCB" w:rsidP="001F1CCB">
      <w:pPr>
        <w:pStyle w:val="Listbullet1"/>
        <w:numPr>
          <w:ilvl w:val="1"/>
          <w:numId w:val="347"/>
        </w:numPr>
        <w:rPr>
          <w:lang w:val="en"/>
        </w:rPr>
      </w:pPr>
      <w:r w:rsidRPr="001F1CCB">
        <w:rPr>
          <w:lang w:val="en"/>
        </w:rPr>
        <w:t xml:space="preserve">other </w:t>
      </w:r>
      <w:r w:rsidRPr="000C7534">
        <w:rPr>
          <w:lang w:val="en"/>
        </w:rPr>
        <w:t xml:space="preserve">affected </w:t>
      </w:r>
      <w:r w:rsidRPr="001F1CCB">
        <w:rPr>
          <w:lang w:val="en"/>
        </w:rPr>
        <w:t>entities.</w:t>
      </w:r>
    </w:p>
    <w:p w14:paraId="27F7DDD2" w14:textId="23BDCF3B" w:rsidR="001F1CCB" w:rsidRPr="00462B0D" w:rsidRDefault="001F1CCB" w:rsidP="001F1CCB">
      <w:pPr>
        <w:pStyle w:val="Listbullet1"/>
      </w:pPr>
      <w:r w:rsidRPr="00AD18EF">
        <w:lastRenderedPageBreak/>
        <w:t>A significant security incident is a deliberate, negligent or reckless action that leads, or could lead</w:t>
      </w:r>
      <w:r>
        <w:t xml:space="preserve"> </w:t>
      </w:r>
      <w:r w:rsidRPr="00AD18EF">
        <w:t>to</w:t>
      </w:r>
      <w:r>
        <w:t>,</w:t>
      </w:r>
      <w:r w:rsidRPr="00AD18EF">
        <w:t xml:space="preserve"> the loss, damage, compromise, corruption or disclosure of official resources</w:t>
      </w:r>
      <w:r>
        <w:rPr>
          <w:rFonts w:ascii="Segoe UI" w:hAnsi="Segoe UI" w:cs="Segoe UI"/>
          <w:color w:val="313131"/>
          <w:lang w:val="en"/>
        </w:rPr>
        <w:t xml:space="preserve">. </w:t>
      </w:r>
      <w:r w:rsidRPr="00AD18EF">
        <w:rPr>
          <w:rFonts w:asciiTheme="minorHAnsi" w:hAnsiTheme="minorHAnsi" w:cstheme="minorHAnsi"/>
          <w:color w:val="313131"/>
          <w:lang w:val="en"/>
        </w:rPr>
        <w:t xml:space="preserve">A </w:t>
      </w:r>
      <w:r w:rsidRPr="00AD18EF">
        <w:rPr>
          <w:rFonts w:asciiTheme="minorHAnsi" w:hAnsiTheme="minorHAnsi" w:cstheme="minorHAnsi"/>
          <w:color w:val="313131"/>
        </w:rPr>
        <w:t>significant security incident can hav</w:t>
      </w:r>
      <w:r>
        <w:rPr>
          <w:rFonts w:asciiTheme="minorHAnsi" w:hAnsiTheme="minorHAnsi" w:cstheme="minorHAnsi"/>
          <w:color w:val="313131"/>
        </w:rPr>
        <w:t>e wide</w:t>
      </w:r>
      <w:r>
        <w:rPr>
          <w:rFonts w:asciiTheme="minorHAnsi" w:hAnsiTheme="minorHAnsi" w:cstheme="minorHAnsi"/>
          <w:color w:val="313131"/>
        </w:rPr>
        <w:noBreakHyphen/>
      </w:r>
      <w:r w:rsidRPr="00AD18EF">
        <w:rPr>
          <w:rFonts w:asciiTheme="minorHAnsi" w:hAnsiTheme="minorHAnsi" w:cstheme="minorHAnsi"/>
          <w:color w:val="313131"/>
        </w:rPr>
        <w:t xml:space="preserve">ranging and critical consequences for the </w:t>
      </w:r>
      <w:r w:rsidRPr="000C7534">
        <w:t xml:space="preserve">entity </w:t>
      </w:r>
      <w:r w:rsidRPr="00AD18EF">
        <w:rPr>
          <w:rFonts w:asciiTheme="minorHAnsi" w:hAnsiTheme="minorHAnsi" w:cstheme="minorHAnsi"/>
          <w:color w:val="313131"/>
        </w:rPr>
        <w:t>and the Australian Government</w:t>
      </w:r>
      <w:r w:rsidR="00365688">
        <w:rPr>
          <w:rFonts w:ascii="Segoe UI" w:hAnsi="Segoe UI"/>
          <w:color w:val="313131"/>
          <w:lang w:val="en"/>
        </w:rPr>
        <w:t>.</w:t>
      </w:r>
    </w:p>
    <w:p w14:paraId="7B5CA98D" w14:textId="557576E2" w:rsidR="00E303C1" w:rsidRPr="00365688" w:rsidRDefault="001F1CCB" w:rsidP="00365688">
      <w:pPr>
        <w:pStyle w:val="Heading5"/>
        <w:rPr>
          <w:lang w:val="en"/>
        </w:rPr>
      </w:pPr>
      <w:r>
        <w:rPr>
          <w:lang w:val="en"/>
        </w:rPr>
        <w:t>Reporting significant security incidents to the Attorney</w:t>
      </w:r>
      <w:r>
        <w:rPr>
          <w:lang w:val="en"/>
        </w:rPr>
        <w:noBreakHyphen/>
        <w:t>General’s Department</w:t>
      </w:r>
    </w:p>
    <w:p w14:paraId="42052038" w14:textId="1FC02B0A" w:rsidR="00365688" w:rsidRPr="000C7534" w:rsidRDefault="00365688" w:rsidP="00365688">
      <w:pPr>
        <w:pStyle w:val="Listbullet1"/>
      </w:pPr>
      <w:r>
        <w:t xml:space="preserve">The </w:t>
      </w:r>
      <w:r w:rsidRPr="000C7534">
        <w:t>Attorney</w:t>
      </w:r>
      <w:r w:rsidRPr="000C7534">
        <w:noBreakHyphen/>
        <w:t xml:space="preserve">General’s Department </w:t>
      </w:r>
      <w:r w:rsidR="00EC1552">
        <w:t>encourages</w:t>
      </w:r>
      <w:r w:rsidRPr="000C7534">
        <w:t xml:space="preserve"> e</w:t>
      </w:r>
      <w:r w:rsidR="00E303C1" w:rsidRPr="000C7534">
        <w:t xml:space="preserve">ntities </w:t>
      </w:r>
      <w:r w:rsidR="00EC1552">
        <w:t xml:space="preserve">to </w:t>
      </w:r>
      <w:r w:rsidR="00E303C1" w:rsidRPr="000C7534">
        <w:t xml:space="preserve">report significant security incidents </w:t>
      </w:r>
      <w:r w:rsidR="00EC1552">
        <w:t xml:space="preserve">to the Attorney-General’s Department </w:t>
      </w:r>
      <w:r w:rsidR="00E303C1" w:rsidRPr="000C7534">
        <w:t xml:space="preserve">via the PSPF </w:t>
      </w:r>
      <w:r w:rsidRPr="000C7534">
        <w:t>online reporting p</w:t>
      </w:r>
      <w:r w:rsidR="00E303C1" w:rsidRPr="000C7534">
        <w:t>ortal</w:t>
      </w:r>
      <w:r w:rsidR="00E303C1">
        <w:t>.</w:t>
      </w:r>
    </w:p>
    <w:p w14:paraId="3DF274C6" w14:textId="59B1E407" w:rsidR="001F1CCB" w:rsidRPr="00E303C1" w:rsidRDefault="001F1CCB" w:rsidP="00365688">
      <w:pPr>
        <w:pStyle w:val="Listbullet1"/>
        <w:rPr>
          <w:lang w:val="en"/>
        </w:rPr>
      </w:pPr>
      <w:r w:rsidRPr="00E303C1">
        <w:rPr>
          <w:lang w:val="en"/>
        </w:rPr>
        <w:t xml:space="preserve">Information gathered on significant security incidents assists the Attorney-General’s Department to: </w:t>
      </w:r>
    </w:p>
    <w:p w14:paraId="1976AEB7" w14:textId="77777777" w:rsidR="001F1CCB" w:rsidRPr="00F84521" w:rsidRDefault="001F1CCB" w:rsidP="001F1CCB">
      <w:pPr>
        <w:pStyle w:val="Listbullet1"/>
        <w:numPr>
          <w:ilvl w:val="1"/>
          <w:numId w:val="347"/>
        </w:numPr>
        <w:rPr>
          <w:lang w:val="en"/>
        </w:rPr>
      </w:pPr>
      <w:r w:rsidRPr="00F84521">
        <w:rPr>
          <w:lang w:val="en"/>
        </w:rPr>
        <w:t xml:space="preserve">determine the adequacy of protective security policies </w:t>
      </w:r>
    </w:p>
    <w:p w14:paraId="791973B3" w14:textId="77777777" w:rsidR="001F1CCB" w:rsidRPr="00AD18EF" w:rsidRDefault="001F1CCB" w:rsidP="001F1CCB">
      <w:pPr>
        <w:pStyle w:val="Listbullet1"/>
        <w:numPr>
          <w:ilvl w:val="1"/>
          <w:numId w:val="347"/>
        </w:numPr>
        <w:rPr>
          <w:lang w:val="en"/>
        </w:rPr>
      </w:pPr>
      <w:r w:rsidRPr="00AD18EF">
        <w:rPr>
          <w:lang w:val="en"/>
        </w:rPr>
        <w:t>provide an insight into entity security culture</w:t>
      </w:r>
    </w:p>
    <w:p w14:paraId="60789655" w14:textId="77777777" w:rsidR="001F1CCB" w:rsidRDefault="001F1CCB" w:rsidP="001F1CCB">
      <w:pPr>
        <w:pStyle w:val="Listbullet1"/>
        <w:numPr>
          <w:ilvl w:val="1"/>
          <w:numId w:val="347"/>
        </w:numPr>
        <w:rPr>
          <w:lang w:val="en"/>
        </w:rPr>
      </w:pPr>
      <w:r>
        <w:rPr>
          <w:lang w:val="en"/>
        </w:rPr>
        <w:t>identify</w:t>
      </w:r>
      <w:r w:rsidRPr="00F84521">
        <w:rPr>
          <w:lang w:val="en"/>
        </w:rPr>
        <w:t xml:space="preserve"> </w:t>
      </w:r>
      <w:r w:rsidRPr="00497766">
        <w:t>potential</w:t>
      </w:r>
      <w:r w:rsidRPr="00F84521">
        <w:rPr>
          <w:lang w:val="en"/>
        </w:rPr>
        <w:t xml:space="preserve"> vulnerabilities in government security awareness training </w:t>
      </w:r>
      <w:r>
        <w:rPr>
          <w:lang w:val="en"/>
        </w:rPr>
        <w:t>to inform</w:t>
      </w:r>
      <w:r w:rsidRPr="00F84521">
        <w:rPr>
          <w:lang w:val="en"/>
        </w:rPr>
        <w:t xml:space="preserve"> whole-of-government security outreach activities.</w:t>
      </w:r>
    </w:p>
    <w:p w14:paraId="7006ACC5" w14:textId="51A619F6" w:rsidR="001F1CCB" w:rsidRPr="00F35B1D" w:rsidRDefault="001F1CCB" w:rsidP="00365688">
      <w:pPr>
        <w:pStyle w:val="Heading5"/>
        <w:rPr>
          <w:lang w:val="en"/>
        </w:rPr>
      </w:pPr>
      <w:r w:rsidRPr="00E303C1">
        <w:t>Reporting</w:t>
      </w:r>
      <w:r>
        <w:rPr>
          <w:lang w:val="en"/>
        </w:rPr>
        <w:t xml:space="preserve"> security incidents to</w:t>
      </w:r>
      <w:r w:rsidR="00A349E7">
        <w:rPr>
          <w:lang w:val="en"/>
        </w:rPr>
        <w:t xml:space="preserve"> lead security authorities and</w:t>
      </w:r>
      <w:r>
        <w:rPr>
          <w:lang w:val="en"/>
        </w:rPr>
        <w:t xml:space="preserve"> other entities</w:t>
      </w:r>
    </w:p>
    <w:p w14:paraId="4B1F07FD" w14:textId="74E4F274" w:rsidR="001F1CCB" w:rsidRPr="00A349E7" w:rsidRDefault="001F1CCB" w:rsidP="00A349E7">
      <w:pPr>
        <w:pStyle w:val="Listbullet1"/>
      </w:pPr>
      <w:r w:rsidRPr="00A349E7">
        <w:t>Details of significant and reportable security incidents and the relevant authority to which entities report are</w:t>
      </w:r>
      <w:r w:rsidR="00A349E7" w:rsidRPr="00A349E7">
        <w:t xml:space="preserve"> provided in Table 3 and summarised below</w:t>
      </w:r>
      <w:r w:rsidRPr="00A349E7">
        <w:t>:</w:t>
      </w:r>
    </w:p>
    <w:p w14:paraId="008249A9" w14:textId="3A7A8BFC" w:rsidR="001F1CCB" w:rsidRDefault="001F1CCB" w:rsidP="001F1CCB">
      <w:pPr>
        <w:pStyle w:val="Listbullet1"/>
        <w:numPr>
          <w:ilvl w:val="1"/>
          <w:numId w:val="347"/>
        </w:numPr>
      </w:pPr>
      <w:r>
        <w:rPr>
          <w:rStyle w:val="Strong"/>
          <w:rFonts w:ascii="Segoe UI" w:hAnsi="Segoe UI" w:cs="Segoe UI"/>
          <w:color w:val="313131"/>
        </w:rPr>
        <w:t>Significant national security-related incidents</w:t>
      </w:r>
      <w:r w:rsidR="00365688">
        <w:t xml:space="preserve"> </w:t>
      </w:r>
      <w:r>
        <w:t>— Australian Security Intelligence Organisation</w:t>
      </w:r>
    </w:p>
    <w:p w14:paraId="21507638" w14:textId="184F4BE1" w:rsidR="001F1CCB" w:rsidRDefault="001F1CCB" w:rsidP="001F1CCB">
      <w:pPr>
        <w:pStyle w:val="Listbullet1"/>
        <w:numPr>
          <w:ilvl w:val="1"/>
          <w:numId w:val="347"/>
        </w:numPr>
      </w:pPr>
      <w:r>
        <w:rPr>
          <w:rStyle w:val="Strong"/>
          <w:rFonts w:ascii="Segoe UI" w:hAnsi="Segoe UI" w:cs="Segoe UI"/>
          <w:color w:val="313131"/>
        </w:rPr>
        <w:t>Significant cyber security incidents</w:t>
      </w:r>
      <w:r w:rsidR="00365688">
        <w:rPr>
          <w:rStyle w:val="Strong"/>
          <w:rFonts w:ascii="Segoe UI" w:hAnsi="Segoe UI" w:cs="Segoe UI"/>
          <w:color w:val="313131"/>
        </w:rPr>
        <w:t xml:space="preserve"> </w:t>
      </w:r>
      <w:r>
        <w:t>— Australian Signals Directorate</w:t>
      </w:r>
    </w:p>
    <w:p w14:paraId="26D40110" w14:textId="48F59F1E" w:rsidR="001F1CCB" w:rsidRDefault="001F1CCB" w:rsidP="001F1CCB">
      <w:pPr>
        <w:pStyle w:val="Listbullet1"/>
        <w:numPr>
          <w:ilvl w:val="1"/>
          <w:numId w:val="347"/>
        </w:numPr>
      </w:pPr>
      <w:r>
        <w:rPr>
          <w:rStyle w:val="Strong"/>
          <w:rFonts w:ascii="Segoe UI" w:hAnsi="Segoe UI" w:cs="Segoe UI"/>
          <w:color w:val="313131"/>
        </w:rPr>
        <w:t>Security incidents involving Cabinet material</w:t>
      </w:r>
      <w:r w:rsidR="00365688">
        <w:rPr>
          <w:rStyle w:val="Strong"/>
          <w:rFonts w:ascii="Segoe UI" w:hAnsi="Segoe UI" w:cs="Segoe UI"/>
          <w:color w:val="313131"/>
        </w:rPr>
        <w:t xml:space="preserve"> </w:t>
      </w:r>
      <w:r>
        <w:t>— Department of Prime Minister and Cabinet</w:t>
      </w:r>
    </w:p>
    <w:p w14:paraId="2E398311" w14:textId="45750B45" w:rsidR="001F1CCB" w:rsidRDefault="001F1CCB" w:rsidP="001F1CCB">
      <w:pPr>
        <w:pStyle w:val="Listbullet1"/>
        <w:numPr>
          <w:ilvl w:val="1"/>
          <w:numId w:val="347"/>
        </w:numPr>
      </w:pPr>
      <w:r>
        <w:rPr>
          <w:rStyle w:val="Strong"/>
          <w:rFonts w:ascii="Segoe UI" w:hAnsi="Segoe UI" w:cs="Segoe UI"/>
          <w:color w:val="313131"/>
        </w:rPr>
        <w:t>Security incidents involving personnel with a  security clearance</w:t>
      </w:r>
      <w:r w:rsidR="00365688">
        <w:t xml:space="preserve"> </w:t>
      </w:r>
      <w:r>
        <w:t>— Australian Government Security Vetting Agency (or entity CSO if the entity is an authorised vetting agency)</w:t>
      </w:r>
    </w:p>
    <w:p w14:paraId="6F65E081" w14:textId="41F4F6BE" w:rsidR="001F1CCB" w:rsidRDefault="001F1CCB" w:rsidP="001F1CCB">
      <w:pPr>
        <w:pStyle w:val="Listbullet1"/>
        <w:numPr>
          <w:ilvl w:val="1"/>
          <w:numId w:val="347"/>
        </w:numPr>
      </w:pPr>
      <w:r>
        <w:rPr>
          <w:rStyle w:val="Strong"/>
          <w:rFonts w:ascii="Segoe UI" w:hAnsi="Segoe UI" w:cs="Segoe UI"/>
          <w:color w:val="313131"/>
        </w:rPr>
        <w:t>Contact reporting</w:t>
      </w:r>
      <w:r w:rsidR="00365688">
        <w:rPr>
          <w:rStyle w:val="Strong"/>
          <w:rFonts w:ascii="Segoe UI" w:hAnsi="Segoe UI" w:cs="Segoe UI"/>
          <w:color w:val="313131"/>
        </w:rPr>
        <w:t xml:space="preserve"> </w:t>
      </w:r>
      <w:r>
        <w:t>— Australian Security Intelligence Organisation - Australian Government Contact Reporting Scheme</w:t>
      </w:r>
    </w:p>
    <w:p w14:paraId="32629556" w14:textId="4D859E01" w:rsidR="001F1CCB" w:rsidRDefault="001F1CCB" w:rsidP="001F1CCB">
      <w:pPr>
        <w:pStyle w:val="Listbullet1"/>
        <w:numPr>
          <w:ilvl w:val="1"/>
          <w:numId w:val="347"/>
        </w:numPr>
      </w:pPr>
      <w:r>
        <w:rPr>
          <w:rStyle w:val="Strong"/>
          <w:rFonts w:ascii="Segoe UI" w:hAnsi="Segoe UI" w:cs="Segoe UI"/>
          <w:color w:val="313131"/>
        </w:rPr>
        <w:t>Correspondence of security concern</w:t>
      </w:r>
      <w:r w:rsidR="00365688">
        <w:t xml:space="preserve"> </w:t>
      </w:r>
      <w:r>
        <w:t>— Australian Security Intelligence Organisation</w:t>
      </w:r>
    </w:p>
    <w:p w14:paraId="0B07C5A8" w14:textId="1A7BCCE3" w:rsidR="001F1CCB" w:rsidRDefault="001F1CCB" w:rsidP="001F1CCB">
      <w:pPr>
        <w:pStyle w:val="Listbullet1"/>
        <w:numPr>
          <w:ilvl w:val="1"/>
          <w:numId w:val="347"/>
        </w:numPr>
      </w:pPr>
      <w:r>
        <w:rPr>
          <w:rStyle w:val="Strong"/>
          <w:rFonts w:ascii="Segoe UI" w:hAnsi="Segoe UI" w:cs="Segoe UI"/>
          <w:color w:val="313131"/>
        </w:rPr>
        <w:t>Security incidents or unmitigated security risk that affects the protection of another entity's people, information or assets</w:t>
      </w:r>
      <w:r w:rsidR="00365688">
        <w:t xml:space="preserve"> — </w:t>
      </w:r>
      <w:r>
        <w:t>accountable authority (or CSO) of the affected entity</w:t>
      </w:r>
    </w:p>
    <w:p w14:paraId="44368776" w14:textId="4FD1EE55" w:rsidR="001F1CCB" w:rsidRDefault="001F1CCB" w:rsidP="001F1CCB">
      <w:pPr>
        <w:pStyle w:val="Listbullet1"/>
        <w:numPr>
          <w:ilvl w:val="1"/>
          <w:numId w:val="347"/>
        </w:numPr>
      </w:pPr>
      <w:r>
        <w:rPr>
          <w:rStyle w:val="Strong"/>
          <w:rFonts w:ascii="Segoe UI" w:hAnsi="Segoe UI" w:cs="Segoe UI"/>
          <w:color w:val="313131"/>
        </w:rPr>
        <w:t>Security incidents involving sensitive or classified equipment and services</w:t>
      </w:r>
      <w:r w:rsidR="00365688">
        <w:t xml:space="preserve"> — </w:t>
      </w:r>
      <w:r>
        <w:t>Security Construction and Equipment Committee</w:t>
      </w:r>
    </w:p>
    <w:p w14:paraId="7AF79401" w14:textId="7A900D7E" w:rsidR="001F1CCB" w:rsidRDefault="001F1CCB" w:rsidP="001F1CCB">
      <w:pPr>
        <w:pStyle w:val="Listbullet1"/>
        <w:numPr>
          <w:ilvl w:val="1"/>
          <w:numId w:val="347"/>
        </w:numPr>
      </w:pPr>
      <w:r>
        <w:rPr>
          <w:rStyle w:val="Strong"/>
          <w:rFonts w:ascii="Segoe UI" w:hAnsi="Segoe UI" w:cs="Segoe UI"/>
          <w:color w:val="313131"/>
        </w:rPr>
        <w:t>Security incidents involving foreign entity assets or information</w:t>
      </w:r>
      <w:r w:rsidR="00365688">
        <w:t xml:space="preserve"> — </w:t>
      </w:r>
      <w:r>
        <w:t>entity CSO. The incident may also need to be externally reported in line with other reportable incident categories.</w:t>
      </w:r>
    </w:p>
    <w:p w14:paraId="06F5D7EA" w14:textId="77777777" w:rsidR="001F1CCB" w:rsidRDefault="001F1CCB" w:rsidP="001F1CCB">
      <w:pPr>
        <w:pStyle w:val="Listbullet1"/>
      </w:pPr>
      <w:r>
        <w:t>In addition, some security incidents may be subject to other legislative or policy reporting requirements, for example:</w:t>
      </w:r>
    </w:p>
    <w:p w14:paraId="2068CEB4" w14:textId="77777777" w:rsidR="001F1CCB" w:rsidRDefault="001F1CCB" w:rsidP="001F1CCB">
      <w:pPr>
        <w:pStyle w:val="Listbullet1"/>
        <w:numPr>
          <w:ilvl w:val="1"/>
          <w:numId w:val="347"/>
        </w:numPr>
      </w:pPr>
      <w:r>
        <w:rPr>
          <w:rStyle w:val="Strong"/>
          <w:rFonts w:ascii="Segoe UI" w:hAnsi="Segoe UI" w:cs="Segoe UI"/>
          <w:color w:val="313131"/>
        </w:rPr>
        <w:t>Eligible data breaches </w:t>
      </w:r>
      <w:r>
        <w:t xml:space="preserve">must be reported to the Office of the Australian Information Commissioner under the </w:t>
      </w:r>
      <w:hyperlink r:id="rId19" w:history="1">
        <w:r w:rsidRPr="00BB5CF1">
          <w:t xml:space="preserve">Notifiable Data Breaches </w:t>
        </w:r>
        <w:r>
          <w:t>S</w:t>
        </w:r>
        <w:r w:rsidRPr="00BB5CF1">
          <w:t>cheme</w:t>
        </w:r>
      </w:hyperlink>
    </w:p>
    <w:p w14:paraId="6FCE86AF" w14:textId="77777777" w:rsidR="001F1CCB" w:rsidRDefault="001F1CCB" w:rsidP="001F1CCB">
      <w:pPr>
        <w:pStyle w:val="Listbullet1"/>
        <w:numPr>
          <w:ilvl w:val="1"/>
          <w:numId w:val="347"/>
        </w:numPr>
      </w:pPr>
      <w:r>
        <w:rPr>
          <w:rStyle w:val="Strong"/>
          <w:rFonts w:ascii="Segoe UI" w:hAnsi="Segoe UI" w:cs="Segoe UI"/>
          <w:color w:val="313131"/>
        </w:rPr>
        <w:t>Potential criminal/serious incidents</w:t>
      </w:r>
      <w:r>
        <w:t> must be reported to the Australian Federal Police (Commonwealth crimes) or local police (state and territory crimes)</w:t>
      </w:r>
    </w:p>
    <w:p w14:paraId="6111E9B9" w14:textId="77777777" w:rsidR="001F1CCB" w:rsidRDefault="001F1CCB" w:rsidP="001F1CCB">
      <w:pPr>
        <w:pStyle w:val="Listbullet1"/>
        <w:numPr>
          <w:ilvl w:val="1"/>
          <w:numId w:val="347"/>
        </w:numPr>
      </w:pPr>
      <w:r>
        <w:rPr>
          <w:rStyle w:val="Strong"/>
          <w:rFonts w:ascii="Segoe UI" w:hAnsi="Segoe UI" w:cs="Segoe UI"/>
          <w:color w:val="313131"/>
        </w:rPr>
        <w:t>Critical incidents involving public safety</w:t>
      </w:r>
      <w:r>
        <w:t> must be reported to the Australian Government Crisis Coordination Centre.</w:t>
      </w:r>
    </w:p>
    <w:p w14:paraId="07404BAE" w14:textId="77777777" w:rsidR="001F1CCB" w:rsidRDefault="001F1CCB" w:rsidP="001F1CCB">
      <w:pPr>
        <w:pStyle w:val="Listbullet1"/>
      </w:pPr>
      <w:r w:rsidRPr="00BB5CF1">
        <w:t>Note: There may be other legislative requirements for reporting security incidents.</w:t>
      </w:r>
    </w:p>
    <w:p w14:paraId="4A44C9F7" w14:textId="77777777" w:rsidR="00C42142" w:rsidRDefault="00C42142" w:rsidP="001F1CCB">
      <w:pPr>
        <w:pStyle w:val="Listbullet1"/>
        <w:sectPr w:rsidR="00C42142" w:rsidSect="00035AFF">
          <w:headerReference w:type="even" r:id="rId20"/>
          <w:headerReference w:type="default" r:id="rId21"/>
          <w:footerReference w:type="even" r:id="rId22"/>
          <w:footerReference w:type="default" r:id="rId23"/>
          <w:headerReference w:type="first" r:id="rId24"/>
          <w:footerReference w:type="first" r:id="rId25"/>
          <w:type w:val="continuous"/>
          <w:pgSz w:w="11906" w:h="16838" w:code="9"/>
          <w:pgMar w:top="412" w:right="720" w:bottom="720" w:left="720" w:header="284" w:footer="284" w:gutter="0"/>
          <w:cols w:space="708"/>
          <w:titlePg/>
          <w:docGrid w:linePitch="360"/>
        </w:sectPr>
      </w:pPr>
    </w:p>
    <w:p w14:paraId="75EB764E" w14:textId="543FD295" w:rsidR="00E303C1" w:rsidRDefault="00E303C1" w:rsidP="00E303C1">
      <w:pPr>
        <w:pStyle w:val="Caption"/>
      </w:pPr>
      <w:bookmarkStart w:id="6" w:name="_Ref37276517"/>
      <w:r>
        <w:lastRenderedPageBreak/>
        <w:t xml:space="preserve">Table </w:t>
      </w:r>
      <w:r w:rsidR="00BE09D4">
        <w:rPr>
          <w:noProof/>
        </w:rPr>
        <w:fldChar w:fldCharType="begin"/>
      </w:r>
      <w:r w:rsidR="00BE09D4">
        <w:rPr>
          <w:noProof/>
        </w:rPr>
        <w:instrText xml:space="preserve"> SEQ Table \* ARABIC </w:instrText>
      </w:r>
      <w:r w:rsidR="00BE09D4">
        <w:rPr>
          <w:noProof/>
        </w:rPr>
        <w:fldChar w:fldCharType="separate"/>
      </w:r>
      <w:r w:rsidR="001039E5">
        <w:rPr>
          <w:noProof/>
        </w:rPr>
        <w:t>3</w:t>
      </w:r>
      <w:r w:rsidR="00BE09D4">
        <w:rPr>
          <w:noProof/>
        </w:rPr>
        <w:fldChar w:fldCharType="end"/>
      </w:r>
      <w:bookmarkEnd w:id="6"/>
      <w:r>
        <w:t xml:space="preserve"> - </w:t>
      </w:r>
      <w:r w:rsidRPr="008E7A43">
        <w:t>External security incident reporting or referral obligatio</w:t>
      </w:r>
      <w:r>
        <w:t>ns (mandated under Requirement 2</w:t>
      </w:r>
      <w:r w:rsidRPr="008E7A43">
        <w:t>)</w:t>
      </w:r>
    </w:p>
    <w:tbl>
      <w:tblPr>
        <w:tblStyle w:val="GridTable6Colorful-Accent4"/>
        <w:tblW w:w="5000" w:type="pct"/>
        <w:tblLook w:val="04A0" w:firstRow="1" w:lastRow="0" w:firstColumn="1" w:lastColumn="0" w:noHBand="0" w:noVBand="1"/>
        <w:tblCaption w:val="Table 5 External security incident reporting or referral obligations"/>
        <w:tblDescription w:val="This table has three columns. Column one identifies the Reportable incident. Column two describes the entity obligations to report. Column three describes who the security incident is reportable to.&#10;&#10;There are fourteen Reportable Incidents that entities have oligations to report on to specific places.&#10;"/>
      </w:tblPr>
      <w:tblGrid>
        <w:gridCol w:w="2019"/>
        <w:gridCol w:w="9543"/>
        <w:gridCol w:w="4134"/>
      </w:tblGrid>
      <w:tr w:rsidR="00E303C1" w:rsidRPr="00C166C3" w14:paraId="2B4A4E13" w14:textId="77777777" w:rsidTr="00E303C1">
        <w:trPr>
          <w:cnfStyle w:val="100000000000" w:firstRow="1" w:lastRow="0" w:firstColumn="0" w:lastColumn="0" w:oddVBand="0" w:evenVBand="0" w:oddHBand="0" w:evenHBand="0" w:firstRowFirstColumn="0" w:firstRowLastColumn="0" w:lastRowFirstColumn="0" w:lastRowLastColumn="0"/>
          <w:cantSplit/>
          <w:trHeight w:val="154"/>
          <w:tblHeader/>
        </w:trPr>
        <w:tc>
          <w:tcPr>
            <w:cnfStyle w:val="001000000000" w:firstRow="0" w:lastRow="0" w:firstColumn="1" w:lastColumn="0" w:oddVBand="0" w:evenVBand="0" w:oddHBand="0" w:evenHBand="0" w:firstRowFirstColumn="0" w:firstRowLastColumn="0" w:lastRowFirstColumn="0" w:lastRowLastColumn="0"/>
            <w:tcW w:w="643" w:type="pct"/>
          </w:tcPr>
          <w:p w14:paraId="4676556C" w14:textId="77777777" w:rsidR="00E303C1" w:rsidRPr="00C166C3" w:rsidRDefault="00E303C1" w:rsidP="00E303C1">
            <w:pPr>
              <w:pStyle w:val="Tablebody"/>
              <w:rPr>
                <w:rStyle w:val="Strong"/>
                <w:b/>
              </w:rPr>
            </w:pPr>
            <w:r>
              <w:rPr>
                <w:rStyle w:val="Strong"/>
                <w:b/>
              </w:rPr>
              <w:t>Reportable incident</w:t>
            </w:r>
          </w:p>
        </w:tc>
        <w:tc>
          <w:tcPr>
            <w:tcW w:w="3040" w:type="pct"/>
          </w:tcPr>
          <w:p w14:paraId="44B7D97A" w14:textId="77777777" w:rsidR="00E303C1" w:rsidRPr="00C166C3" w:rsidRDefault="00E303C1" w:rsidP="00E303C1">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Entity obligation to report</w:t>
            </w:r>
          </w:p>
        </w:tc>
        <w:tc>
          <w:tcPr>
            <w:tcW w:w="1317" w:type="pct"/>
          </w:tcPr>
          <w:p w14:paraId="5C1EF92E" w14:textId="77777777" w:rsidR="00E303C1" w:rsidRPr="00C166C3" w:rsidRDefault="00E303C1" w:rsidP="00E303C1">
            <w:pPr>
              <w:pStyle w:val="Tablebody"/>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Reportable to</w:t>
            </w:r>
          </w:p>
        </w:tc>
      </w:tr>
      <w:tr w:rsidR="00E303C1" w:rsidRPr="00C166C3" w14:paraId="7E8529CD" w14:textId="77777777" w:rsidTr="00E303C1">
        <w:trPr>
          <w:cnfStyle w:val="000000100000" w:firstRow="0" w:lastRow="0" w:firstColumn="0" w:lastColumn="0" w:oddVBand="0" w:evenVBand="0" w:oddHBand="1" w:evenHBand="0" w:firstRowFirstColumn="0" w:firstRowLastColumn="0" w:lastRowFirstColumn="0" w:lastRowLastColumn="0"/>
          <w:cantSplit/>
          <w:trHeight w:val="154"/>
        </w:trPr>
        <w:tc>
          <w:tcPr>
            <w:cnfStyle w:val="001000000000" w:firstRow="0" w:lastRow="0" w:firstColumn="1" w:lastColumn="0" w:oddVBand="0" w:evenVBand="0" w:oddHBand="0" w:evenHBand="0" w:firstRowFirstColumn="0" w:firstRowLastColumn="0" w:lastRowFirstColumn="0" w:lastRowLastColumn="0"/>
            <w:tcW w:w="643" w:type="pct"/>
          </w:tcPr>
          <w:p w14:paraId="5CA20C1D" w14:textId="77777777" w:rsidR="00E303C1" w:rsidRDefault="00E303C1" w:rsidP="00E303C1">
            <w:pPr>
              <w:pStyle w:val="Tablebody"/>
              <w:rPr>
                <w:rStyle w:val="Strong"/>
              </w:rPr>
            </w:pPr>
            <w:r w:rsidRPr="00C164BC">
              <w:rPr>
                <w:rStyle w:val="Strong"/>
                <w:b/>
                <w:bCs/>
              </w:rPr>
              <w:t>Significant security incidents</w:t>
            </w:r>
          </w:p>
        </w:tc>
        <w:tc>
          <w:tcPr>
            <w:tcW w:w="3040" w:type="pct"/>
          </w:tcPr>
          <w:p w14:paraId="06E757B2" w14:textId="4320DCEA" w:rsidR="00E303C1" w:rsidRPr="00A349E7" w:rsidRDefault="00E303C1" w:rsidP="00E303C1">
            <w:pPr>
              <w:pStyle w:val="Tablebody"/>
              <w:cnfStyle w:val="000000100000" w:firstRow="0" w:lastRow="0" w:firstColumn="0" w:lastColumn="0" w:oddVBand="0" w:evenVBand="0" w:oddHBand="1" w:evenHBand="0" w:firstRowFirstColumn="0" w:firstRowLastColumn="0" w:lastRowFirstColumn="0" w:lastRowLastColumn="0"/>
              <w:rPr>
                <w:rStyle w:val="Strong"/>
                <w:b w:val="0"/>
              </w:rPr>
            </w:pPr>
            <w:r>
              <w:t>A</w:t>
            </w:r>
            <w:r w:rsidRPr="00A4418A">
              <w:t>dvise the Attorney-General’s Department of significant sec</w:t>
            </w:r>
            <w:r w:rsidR="00A349E7">
              <w:t xml:space="preserve">urity incidents as they arise. </w:t>
            </w:r>
          </w:p>
        </w:tc>
        <w:tc>
          <w:tcPr>
            <w:tcW w:w="1317" w:type="pct"/>
          </w:tcPr>
          <w:p w14:paraId="741C09BF" w14:textId="77777777" w:rsidR="00E303C1" w:rsidRPr="00A408B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A408B1">
              <w:rPr>
                <w:b/>
              </w:rPr>
              <w:t>Attorney-General’s Department</w:t>
            </w:r>
          </w:p>
          <w:p w14:paraId="72AEEC87" w14:textId="77777777" w:rsidR="00E303C1" w:rsidRDefault="00E303C1" w:rsidP="00A349E7">
            <w:pPr>
              <w:pStyle w:val="Tablebody"/>
              <w:cnfStyle w:val="000000100000" w:firstRow="0" w:lastRow="0" w:firstColumn="0" w:lastColumn="0" w:oddVBand="0" w:evenVBand="0" w:oddHBand="1" w:evenHBand="0" w:firstRowFirstColumn="0" w:firstRowLastColumn="0" w:lastRowFirstColumn="0" w:lastRowLastColumn="0"/>
            </w:pPr>
            <w:r>
              <w:t xml:space="preserve">PSPF Reporting Portal: </w:t>
            </w:r>
            <w:hyperlink r:id="rId26" w:history="1">
              <w:r w:rsidRPr="00D37702">
                <w:rPr>
                  <w:rStyle w:val="Hyperlink"/>
                </w:rPr>
                <w:t>https://portal.protectivesecurity.gov.au/</w:t>
              </w:r>
            </w:hyperlink>
          </w:p>
          <w:p w14:paraId="3BB4F8E5" w14:textId="77777777" w:rsidR="00E303C1" w:rsidRDefault="00E303C1" w:rsidP="00A349E7">
            <w:pPr>
              <w:pStyle w:val="Tablebody"/>
              <w:cnfStyle w:val="000000100000" w:firstRow="0" w:lastRow="0" w:firstColumn="0" w:lastColumn="0" w:oddVBand="0" w:evenVBand="0" w:oddHBand="1" w:evenHBand="0" w:firstRowFirstColumn="0" w:firstRowLastColumn="0" w:lastRowFirstColumn="0" w:lastRowLastColumn="0"/>
            </w:pPr>
            <w:r>
              <w:t xml:space="preserve">Email: </w:t>
            </w:r>
            <w:hyperlink r:id="rId27" w:history="1">
              <w:r w:rsidRPr="000648F5">
                <w:rPr>
                  <w:rStyle w:val="Hyperlink"/>
                </w:rPr>
                <w:t>PSPF@ag.gov.au</w:t>
              </w:r>
            </w:hyperlink>
          </w:p>
          <w:p w14:paraId="28BD3ACA" w14:textId="77777777" w:rsidR="00E303C1" w:rsidRDefault="00E303C1" w:rsidP="00A349E7">
            <w:pPr>
              <w:pStyle w:val="Tablebody"/>
              <w:cnfStyle w:val="000000100000" w:firstRow="0" w:lastRow="0" w:firstColumn="0" w:lastColumn="0" w:oddVBand="0" w:evenVBand="0" w:oddHBand="1" w:evenHBand="0" w:firstRowFirstColumn="0" w:firstRowLastColumn="0" w:lastRowFirstColumn="0" w:lastRowLastColumn="0"/>
              <w:rPr>
                <w:rStyle w:val="Strong"/>
                <w:bCs w:val="0"/>
                <w:sz w:val="22"/>
              </w:rPr>
            </w:pPr>
            <w:r>
              <w:t>Phone: 02 6141 3600 (PSPF Hotline)</w:t>
            </w:r>
          </w:p>
        </w:tc>
      </w:tr>
      <w:tr w:rsidR="00E303C1" w:rsidRPr="0068552B" w14:paraId="68B6C87A" w14:textId="77777777" w:rsidTr="002C0F1D">
        <w:trPr>
          <w:cantSplit/>
        </w:trPr>
        <w:tc>
          <w:tcPr>
            <w:cnfStyle w:val="001000000000" w:firstRow="0" w:lastRow="0" w:firstColumn="1" w:lastColumn="0" w:oddVBand="0" w:evenVBand="0" w:oddHBand="0" w:evenHBand="0" w:firstRowFirstColumn="0" w:firstRowLastColumn="0" w:lastRowFirstColumn="0" w:lastRowLastColumn="0"/>
            <w:tcW w:w="643" w:type="pct"/>
          </w:tcPr>
          <w:p w14:paraId="55A1962E" w14:textId="4219F029" w:rsidR="00E303C1" w:rsidRPr="002C0F1D" w:rsidRDefault="00E303C1" w:rsidP="002C0F1D">
            <w:pPr>
              <w:pStyle w:val="Tablebody"/>
              <w:rPr>
                <w:rStyle w:val="Strong"/>
              </w:rPr>
            </w:pPr>
            <w:r w:rsidRPr="00C57226">
              <w:rPr>
                <w:rStyle w:val="Strong"/>
                <w:b/>
              </w:rPr>
              <w:t>National security incidents</w:t>
            </w:r>
          </w:p>
        </w:tc>
        <w:tc>
          <w:tcPr>
            <w:tcW w:w="3040" w:type="pct"/>
          </w:tcPr>
          <w:p w14:paraId="330B5487" w14:textId="77777777" w:rsidR="00E303C1" w:rsidRPr="00C57226" w:rsidRDefault="00E303C1" w:rsidP="00E303C1">
            <w:pPr>
              <w:pStyle w:val="Tablebody"/>
              <w:keepNext/>
              <w:cnfStyle w:val="000000000000" w:firstRow="0" w:lastRow="0" w:firstColumn="0" w:lastColumn="0" w:oddVBand="0" w:evenVBand="0" w:oddHBand="0" w:evenHBand="0" w:firstRowFirstColumn="0" w:firstRowLastColumn="0" w:lastRowFirstColumn="0" w:lastRowLastColumn="0"/>
            </w:pPr>
            <w:r>
              <w:t>Report s</w:t>
            </w:r>
            <w:r w:rsidRPr="00F417C6">
              <w:t>ecurity</w:t>
            </w:r>
            <w:r w:rsidRPr="00C57226">
              <w:t xml:space="preserve"> incidents or situations that have, or could</w:t>
            </w:r>
            <w:r>
              <w:t xml:space="preserve"> have</w:t>
            </w:r>
            <w:r w:rsidRPr="00C57226">
              <w:t xml:space="preserve">, </w:t>
            </w:r>
            <w:r>
              <w:t xml:space="preserve">an </w:t>
            </w:r>
            <w:r w:rsidRPr="00C57226">
              <w:t xml:space="preserve">impact on national security, as defined in the </w:t>
            </w:r>
            <w:hyperlink r:id="rId28" w:history="1">
              <w:r w:rsidRPr="0046248C">
                <w:rPr>
                  <w:rStyle w:val="Hyperlink"/>
                  <w:i/>
                </w:rPr>
                <w:t>Australian Security Intelligence Organisation Act 1979</w:t>
              </w:r>
            </w:hyperlink>
            <w:r w:rsidRPr="0046248C">
              <w:rPr>
                <w:rStyle w:val="Hyperlink"/>
              </w:rPr>
              <w:t xml:space="preserve"> </w:t>
            </w:r>
            <w:r w:rsidRPr="00C57226">
              <w:t>(ASIO Act), including suspected:</w:t>
            </w:r>
          </w:p>
          <w:p w14:paraId="54B69582" w14:textId="77777777" w:rsidR="00E303C1" w:rsidRPr="005A60C1" w:rsidRDefault="00E303C1" w:rsidP="002C0F1D">
            <w:pPr>
              <w:pStyle w:val="Tablebodybullet1"/>
              <w:numPr>
                <w:ilvl w:val="0"/>
                <w:numId w:val="358"/>
              </w:numPr>
              <w:ind w:left="720"/>
              <w:cnfStyle w:val="000000000000" w:firstRow="0" w:lastRow="0" w:firstColumn="0" w:lastColumn="0" w:oddVBand="0" w:evenVBand="0" w:oddHBand="0" w:evenHBand="0" w:firstRowFirstColumn="0" w:firstRowLastColumn="0" w:lastRowFirstColumn="0" w:lastRowLastColumn="0"/>
            </w:pPr>
            <w:r w:rsidRPr="005A60C1">
              <w:t>espionage</w:t>
            </w:r>
          </w:p>
          <w:p w14:paraId="7B928D97" w14:textId="44CA0299" w:rsidR="00E303C1" w:rsidRPr="005B66ED" w:rsidRDefault="00E303C1" w:rsidP="00E303C1">
            <w:pPr>
              <w:pStyle w:val="Tablebodybullet1"/>
              <w:numPr>
                <w:ilvl w:val="0"/>
                <w:numId w:val="358"/>
              </w:numPr>
              <w:ind w:left="720"/>
              <w:cnfStyle w:val="000000000000" w:firstRow="0" w:lastRow="0" w:firstColumn="0" w:lastColumn="0" w:oddVBand="0" w:evenVBand="0" w:oddHBand="0" w:evenHBand="0" w:firstRowFirstColumn="0" w:firstRowLastColumn="0" w:lastRowFirstColumn="0" w:lastRowLastColumn="0"/>
            </w:pPr>
            <w:r w:rsidRPr="005A60C1">
              <w:t>sabotage</w:t>
            </w:r>
          </w:p>
          <w:p w14:paraId="404ED33D" w14:textId="77777777" w:rsidR="00E303C1" w:rsidRPr="005B66ED" w:rsidRDefault="00E303C1" w:rsidP="00E303C1">
            <w:pPr>
              <w:pStyle w:val="Tablebodybullet1"/>
              <w:numPr>
                <w:ilvl w:val="0"/>
                <w:numId w:val="358"/>
              </w:numPr>
              <w:ind w:left="720"/>
              <w:cnfStyle w:val="000000000000" w:firstRow="0" w:lastRow="0" w:firstColumn="0" w:lastColumn="0" w:oddVBand="0" w:evenVBand="0" w:oddHBand="0" w:evenHBand="0" w:firstRowFirstColumn="0" w:firstRowLastColumn="0" w:lastRowFirstColumn="0" w:lastRowLastColumn="0"/>
            </w:pPr>
            <w:r w:rsidRPr="005A60C1">
              <w:t>politically motivated violence</w:t>
            </w:r>
            <w:r w:rsidRPr="005B66ED">
              <w:t xml:space="preserve"> </w:t>
            </w:r>
          </w:p>
          <w:p w14:paraId="2B0AAEE4" w14:textId="77777777" w:rsidR="00E303C1" w:rsidRPr="005B66ED" w:rsidRDefault="00E303C1" w:rsidP="00E303C1">
            <w:pPr>
              <w:pStyle w:val="Tablebodybullet1"/>
              <w:numPr>
                <w:ilvl w:val="0"/>
                <w:numId w:val="358"/>
              </w:numPr>
              <w:ind w:left="720"/>
              <w:cnfStyle w:val="000000000000" w:firstRow="0" w:lastRow="0" w:firstColumn="0" w:lastColumn="0" w:oddVBand="0" w:evenVBand="0" w:oddHBand="0" w:evenHBand="0" w:firstRowFirstColumn="0" w:firstRowLastColumn="0" w:lastRowFirstColumn="0" w:lastRowLastColumn="0"/>
            </w:pPr>
            <w:r w:rsidRPr="005A60C1">
              <w:t>promotion of communal violence</w:t>
            </w:r>
            <w:r w:rsidRPr="005B66ED">
              <w:t xml:space="preserve"> </w:t>
            </w:r>
          </w:p>
          <w:p w14:paraId="53E4319A" w14:textId="77777777" w:rsidR="00E303C1" w:rsidRPr="005A60C1" w:rsidRDefault="00E303C1" w:rsidP="002C0F1D">
            <w:pPr>
              <w:pStyle w:val="Tablebodybullet1"/>
              <w:numPr>
                <w:ilvl w:val="0"/>
                <w:numId w:val="358"/>
              </w:numPr>
              <w:ind w:left="720"/>
              <w:cnfStyle w:val="000000000000" w:firstRow="0" w:lastRow="0" w:firstColumn="0" w:lastColumn="0" w:oddVBand="0" w:evenVBand="0" w:oddHBand="0" w:evenHBand="0" w:firstRowFirstColumn="0" w:firstRowLastColumn="0" w:lastRowFirstColumn="0" w:lastRowLastColumn="0"/>
            </w:pPr>
            <w:r w:rsidRPr="005A60C1">
              <w:t xml:space="preserve">attacks on Australia’s defence system </w:t>
            </w:r>
          </w:p>
          <w:p w14:paraId="744FB370" w14:textId="77777777" w:rsidR="00E303C1" w:rsidRPr="005A60C1" w:rsidRDefault="00E303C1" w:rsidP="002C0F1D">
            <w:pPr>
              <w:pStyle w:val="Tablebodybullet1"/>
              <w:numPr>
                <w:ilvl w:val="0"/>
                <w:numId w:val="358"/>
              </w:numPr>
              <w:ind w:left="720"/>
              <w:cnfStyle w:val="000000000000" w:firstRow="0" w:lastRow="0" w:firstColumn="0" w:lastColumn="0" w:oddVBand="0" w:evenVBand="0" w:oddHBand="0" w:evenHBand="0" w:firstRowFirstColumn="0" w:firstRowLastColumn="0" w:lastRowFirstColumn="0" w:lastRowLastColumn="0"/>
            </w:pPr>
            <w:r w:rsidRPr="005A60C1">
              <w:t>acts of foreign interference</w:t>
            </w:r>
          </w:p>
          <w:p w14:paraId="30A3CF5E" w14:textId="185B9E71" w:rsidR="00E303C1" w:rsidRPr="00C57226" w:rsidRDefault="00E303C1" w:rsidP="00E303C1">
            <w:pPr>
              <w:pStyle w:val="Tablebody"/>
              <w:keepNext/>
              <w:numPr>
                <w:ilvl w:val="0"/>
                <w:numId w:val="358"/>
              </w:numPr>
              <w:spacing w:after="120"/>
              <w:ind w:left="720"/>
              <w:cnfStyle w:val="000000000000" w:firstRow="0" w:lastRow="0" w:firstColumn="0" w:lastColumn="0" w:oddVBand="0" w:evenVBand="0" w:oddHBand="0" w:evenHBand="0" w:firstRowFirstColumn="0" w:firstRowLastColumn="0" w:lastRowFirstColumn="0" w:lastRowLastColumn="0"/>
            </w:pPr>
            <w:r w:rsidRPr="00C57226">
              <w:t>serious threats to Australia’s territorial and border integrity.</w:t>
            </w:r>
            <w:r>
              <w:t xml:space="preserve"> </w:t>
            </w:r>
          </w:p>
          <w:p w14:paraId="17571068"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rsidRPr="001129D1">
              <w:rPr>
                <w:rFonts w:asciiTheme="minorHAnsi" w:hAnsiTheme="minorHAnsi"/>
              </w:rPr>
              <w:t xml:space="preserve">For </w:t>
            </w:r>
            <w:r w:rsidRPr="00341E49">
              <w:t>security</w:t>
            </w:r>
            <w:r w:rsidRPr="001129D1">
              <w:rPr>
                <w:rFonts w:asciiTheme="minorHAnsi" w:hAnsiTheme="minorHAnsi"/>
              </w:rPr>
              <w:t xml:space="preserve"> incidents that are r</w:t>
            </w:r>
            <w:r>
              <w:rPr>
                <w:rFonts w:asciiTheme="minorHAnsi" w:hAnsiTheme="minorHAnsi"/>
              </w:rPr>
              <w:t xml:space="preserve">eportable to </w:t>
            </w:r>
            <w:r w:rsidRPr="008271B2">
              <w:t>ASIO</w:t>
            </w:r>
            <w:r>
              <w:t xml:space="preserve">, ASIO </w:t>
            </w:r>
            <w:r w:rsidRPr="008271B2">
              <w:t xml:space="preserve">and the reporting entity </w:t>
            </w:r>
            <w:r>
              <w:t xml:space="preserve">will </w:t>
            </w:r>
            <w:r w:rsidRPr="008271B2">
              <w:t xml:space="preserve">conduct an initial assessment of the potential </w:t>
            </w:r>
            <w:r>
              <w:t xml:space="preserve">harm. Dependent on the assessment, </w:t>
            </w:r>
            <w:r w:rsidRPr="008271B2">
              <w:t>ASIO will either: recommend the entity continue with its own investigation and advise ASIO of the outcome, or conduct the investigation, in close consultation with the entity, and possibly in conjunction with the Australian Federal Police (AFP).</w:t>
            </w:r>
          </w:p>
          <w:p w14:paraId="021D35A9" w14:textId="77777777" w:rsidR="00E303C1" w:rsidRPr="002C0F1D" w:rsidRDefault="00E303C1" w:rsidP="002C0F1D">
            <w:pPr>
              <w:pStyle w:val="Tablebody"/>
              <w:keepNext/>
              <w:cnfStyle w:val="000000000000" w:firstRow="0" w:lastRow="0" w:firstColumn="0" w:lastColumn="0" w:oddVBand="0" w:evenVBand="0" w:oddHBand="0" w:evenHBand="0" w:firstRowFirstColumn="0" w:firstRowLastColumn="0" w:lastRowFirstColumn="0" w:lastRowLastColumn="0"/>
            </w:pPr>
            <w:r w:rsidRPr="00C57226">
              <w:t>Entities are encouraged to observe the need-to-know principle in relation to the details of a major security incident and its occurrence within an entity, until ASIO advises otherwise.</w:t>
            </w:r>
          </w:p>
        </w:tc>
        <w:tc>
          <w:tcPr>
            <w:tcW w:w="1317" w:type="pct"/>
          </w:tcPr>
          <w:p w14:paraId="35A039A3" w14:textId="77777777" w:rsidR="00E303C1" w:rsidRPr="00A408B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A408B1">
              <w:rPr>
                <w:b/>
              </w:rPr>
              <w:t xml:space="preserve">Australian Security Intelligence Organisation </w:t>
            </w:r>
          </w:p>
          <w:p w14:paraId="5ECFE042" w14:textId="77777777" w:rsidR="00E303C1" w:rsidRPr="005F6999" w:rsidRDefault="00E303C1" w:rsidP="00E303C1">
            <w:pPr>
              <w:pStyle w:val="Tablebody"/>
              <w:spacing w:after="60"/>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rsidRPr="0046248C">
              <w:t xml:space="preserve">Email: </w:t>
            </w:r>
            <w:hyperlink r:id="rId29" w:history="1">
              <w:r w:rsidRPr="0046248C">
                <w:rPr>
                  <w:rStyle w:val="Hyperlink"/>
                </w:rPr>
                <w:t>asa@asio.gov.au</w:t>
              </w:r>
            </w:hyperlink>
            <w:r w:rsidRPr="0046248C">
              <w:rPr>
                <w:rStyle w:val="Hyperlink"/>
              </w:rPr>
              <w:t xml:space="preserve"> </w:t>
            </w:r>
          </w:p>
          <w:p w14:paraId="67DB1DBD" w14:textId="77777777" w:rsidR="00E303C1" w:rsidRPr="005F6999" w:rsidRDefault="00E303C1" w:rsidP="00E303C1">
            <w:pPr>
              <w:pStyle w:val="Tablebody"/>
              <w:spacing w:after="60"/>
              <w:cnfStyle w:val="000000000000" w:firstRow="0" w:lastRow="0" w:firstColumn="0" w:lastColumn="0" w:oddVBand="0" w:evenVBand="0" w:oddHBand="0" w:evenHBand="0" w:firstRowFirstColumn="0" w:firstRowLastColumn="0" w:lastRowFirstColumn="0" w:lastRowLastColumn="0"/>
              <w:rPr>
                <w:rFonts w:ascii="Arial Narrow" w:hAnsi="Arial Narrow" w:cs="Arial"/>
                <w:sz w:val="18"/>
                <w:szCs w:val="18"/>
              </w:rPr>
            </w:pPr>
            <w:r>
              <w:t>Internet</w:t>
            </w:r>
            <w:r w:rsidRPr="0046248C">
              <w:t xml:space="preserve">: </w:t>
            </w:r>
            <w:hyperlink r:id="rId30" w:history="1">
              <w:r w:rsidRPr="0046248C">
                <w:rPr>
                  <w:rStyle w:val="Hyperlink"/>
                </w:rPr>
                <w:t>http://www.asio.gov.au/</w:t>
              </w:r>
            </w:hyperlink>
          </w:p>
          <w:p w14:paraId="5C10CCBA" w14:textId="5E2C8DE8" w:rsidR="00E303C1" w:rsidRPr="0046248C"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rsidRPr="0046248C">
              <w:t>Phone:</w:t>
            </w:r>
            <w:r w:rsidR="00AC28BE">
              <w:t xml:space="preserve"> 132746 </w:t>
            </w:r>
            <w:r w:rsidRPr="0046248C">
              <w:t xml:space="preserve"> </w:t>
            </w:r>
          </w:p>
          <w:p w14:paraId="0B8AD916" w14:textId="77777777" w:rsidR="00E303C1" w:rsidRPr="0068552B" w:rsidRDefault="00E303C1" w:rsidP="00E303C1">
            <w:pPr>
              <w:pStyle w:val="Tablebody"/>
              <w:keepNext/>
              <w:cnfStyle w:val="000000000000" w:firstRow="0" w:lastRow="0" w:firstColumn="0" w:lastColumn="0" w:oddVBand="0" w:evenVBand="0" w:oddHBand="0" w:evenHBand="0" w:firstRowFirstColumn="0" w:firstRowLastColumn="0" w:lastRowFirstColumn="0" w:lastRowLastColumn="0"/>
            </w:pPr>
            <w:r w:rsidRPr="0046248C">
              <w:t xml:space="preserve">For advice on whether the incident needs to be reported, contact the National Security Hotline on </w:t>
            </w:r>
            <w:r>
              <w:rPr>
                <w:b/>
              </w:rPr>
              <w:t>1800 </w:t>
            </w:r>
            <w:r w:rsidRPr="0046248C">
              <w:rPr>
                <w:b/>
              </w:rPr>
              <w:t>123 400</w:t>
            </w:r>
            <w:r w:rsidRPr="002E50A9">
              <w:t>.</w:t>
            </w:r>
          </w:p>
        </w:tc>
      </w:tr>
      <w:tr w:rsidR="00E303C1" w:rsidRPr="00BF76DE" w14:paraId="15CFF224" w14:textId="77777777" w:rsidTr="002C0F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3" w:type="pct"/>
          </w:tcPr>
          <w:p w14:paraId="4735E5F5" w14:textId="77777777" w:rsidR="00E303C1" w:rsidRPr="0046248C" w:rsidRDefault="00E303C1" w:rsidP="00E303C1">
            <w:pPr>
              <w:pStyle w:val="Tablebody"/>
              <w:rPr>
                <w:rStyle w:val="Strong"/>
                <w:b/>
                <w:bCs/>
              </w:rPr>
            </w:pPr>
            <w:r>
              <w:rPr>
                <w:rStyle w:val="Strong"/>
                <w:b/>
                <w:bCs/>
              </w:rPr>
              <w:t>Cyber security incidents</w:t>
            </w:r>
          </w:p>
        </w:tc>
        <w:tc>
          <w:tcPr>
            <w:tcW w:w="3040" w:type="pct"/>
          </w:tcPr>
          <w:p w14:paraId="79C3C895" w14:textId="04D8A2EE" w:rsidR="00E303C1" w:rsidRPr="005A60C1"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R</w:t>
            </w:r>
            <w:r w:rsidRPr="00F417C6">
              <w:t>eport any</w:t>
            </w:r>
            <w:r w:rsidRPr="005A60C1">
              <w:t xml:space="preserve"> cyber security incidents relating to: </w:t>
            </w:r>
          </w:p>
          <w:p w14:paraId="66F30180" w14:textId="77777777" w:rsidR="00E303C1" w:rsidRPr="005A60C1" w:rsidRDefault="00E303C1" w:rsidP="002C0F1D">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rsidRPr="005A60C1">
              <w:t>suspicious or seemingly targeted emails with attachments or links</w:t>
            </w:r>
          </w:p>
          <w:p w14:paraId="138D71A1" w14:textId="77777777" w:rsidR="00E303C1" w:rsidRPr="005A60C1" w:rsidRDefault="00E303C1" w:rsidP="002C0F1D">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rsidRPr="005A60C1">
              <w:t>any compromise or corruption of information</w:t>
            </w:r>
          </w:p>
          <w:p w14:paraId="344CF712" w14:textId="05EF29C7" w:rsidR="00E303C1" w:rsidRPr="005A60C1" w:rsidRDefault="00E303C1" w:rsidP="002C0F1D">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rsidRPr="005A60C1">
              <w:t xml:space="preserve">unauthorised </w:t>
            </w:r>
            <w:r>
              <w:t>access or intrusion into an ICT system</w:t>
            </w:r>
          </w:p>
          <w:p w14:paraId="07AF2F41" w14:textId="77777777" w:rsidR="00E303C1" w:rsidRPr="005A60C1" w:rsidRDefault="00E303C1" w:rsidP="002C0F1D">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rsidRPr="005A60C1">
              <w:t>any viruses</w:t>
            </w:r>
          </w:p>
          <w:p w14:paraId="66B48F8D" w14:textId="1D077AFA" w:rsidR="00E303C1" w:rsidRDefault="00E303C1" w:rsidP="00E303C1">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rsidRPr="005A60C1">
              <w:t>any disruption or damage to services or equipment</w:t>
            </w:r>
            <w:r>
              <w:t xml:space="preserve"> </w:t>
            </w:r>
            <w:r w:rsidRPr="005A60C1">
              <w:t>data spills</w:t>
            </w:r>
          </w:p>
          <w:p w14:paraId="37F4043E" w14:textId="77777777" w:rsidR="00E303C1" w:rsidRDefault="00E303C1" w:rsidP="00E303C1">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t>theft or loss of electronic devices that have processed or stored Australian Government information</w:t>
            </w:r>
          </w:p>
          <w:p w14:paraId="27538735" w14:textId="77777777" w:rsidR="00E303C1" w:rsidRDefault="00E303C1" w:rsidP="00E303C1">
            <w:pPr>
              <w:pStyle w:val="Tablebodybullet1"/>
              <w:numPr>
                <w:ilvl w:val="0"/>
                <w:numId w:val="359"/>
              </w:numPr>
              <w:ind w:left="720"/>
              <w:cnfStyle w:val="000000100000" w:firstRow="0" w:lastRow="0" w:firstColumn="0" w:lastColumn="0" w:oddVBand="0" w:evenVBand="0" w:oddHBand="1" w:evenHBand="0" w:firstRowFirstColumn="0" w:firstRowLastColumn="0" w:lastRowFirstColumn="0" w:lastRowLastColumn="0"/>
            </w:pPr>
            <w:r>
              <w:t>denial of service attacks</w:t>
            </w:r>
          </w:p>
          <w:p w14:paraId="4A76B713" w14:textId="77777777" w:rsidR="00E303C1" w:rsidRDefault="00E303C1" w:rsidP="00E303C1">
            <w:pPr>
              <w:pStyle w:val="Tablebodybullet1"/>
              <w:numPr>
                <w:ilvl w:val="0"/>
                <w:numId w:val="359"/>
              </w:numPr>
              <w:spacing w:after="120"/>
              <w:ind w:left="720"/>
              <w:cnfStyle w:val="000000100000" w:firstRow="0" w:lastRow="0" w:firstColumn="0" w:lastColumn="0" w:oddVBand="0" w:evenVBand="0" w:oddHBand="1" w:evenHBand="0" w:firstRowFirstColumn="0" w:firstRowLastColumn="0" w:lastRowFirstColumn="0" w:lastRowLastColumn="0"/>
            </w:pPr>
            <w:r>
              <w:t>suspicious or unauthorised network activity.</w:t>
            </w:r>
          </w:p>
          <w:p w14:paraId="475A1DEE" w14:textId="77777777"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rsidRPr="00E35104">
              <w:t xml:space="preserve">To avoid inadvertently compromising any investigation into a cyber security incident, entities are encouraged to contact </w:t>
            </w:r>
            <w:r>
              <w:t>the ACSC</w:t>
            </w:r>
            <w:r w:rsidRPr="00E35104">
              <w:t xml:space="preserve"> as early as possible</w:t>
            </w:r>
            <w:r>
              <w:t xml:space="preserve">. </w:t>
            </w:r>
          </w:p>
          <w:p w14:paraId="673B1EFB"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 xml:space="preserve">Refer to Australian Government </w:t>
            </w:r>
            <w:hyperlink r:id="rId31" w:history="1">
              <w:r w:rsidRPr="00801E92">
                <w:rPr>
                  <w:rStyle w:val="Hyperlink"/>
                </w:rPr>
                <w:t>Information Security Manual</w:t>
              </w:r>
            </w:hyperlink>
            <w:r>
              <w:t>:</w:t>
            </w:r>
          </w:p>
          <w:p w14:paraId="6220761F" w14:textId="77777777" w:rsidR="00E303C1" w:rsidRDefault="00E303C1" w:rsidP="00E303C1">
            <w:pPr>
              <w:pStyle w:val="Tablebodybullet1"/>
              <w:numPr>
                <w:ilvl w:val="0"/>
                <w:numId w:val="360"/>
              </w:numPr>
              <w:ind w:left="720"/>
              <w:cnfStyle w:val="000000100000" w:firstRow="0" w:lastRow="0" w:firstColumn="0" w:lastColumn="0" w:oddVBand="0" w:evenVBand="0" w:oddHBand="1" w:evenHBand="0" w:firstRowFirstColumn="0" w:firstRowLastColumn="0" w:lastRowFirstColumn="0" w:lastRowLastColumn="0"/>
            </w:pPr>
            <w:r>
              <w:t>ISM security control 0123 – Cyber security incidents are reported to an organisation’s CISO, or one of their delegates, as soon as possible after they occur or are discovered.</w:t>
            </w:r>
          </w:p>
          <w:p w14:paraId="12607588" w14:textId="77777777" w:rsidR="00E303C1" w:rsidRDefault="00E303C1" w:rsidP="00E303C1">
            <w:pPr>
              <w:pStyle w:val="Tablebodybullet1"/>
              <w:numPr>
                <w:ilvl w:val="0"/>
                <w:numId w:val="360"/>
              </w:numPr>
              <w:ind w:left="720"/>
              <w:cnfStyle w:val="000000100000" w:firstRow="0" w:lastRow="0" w:firstColumn="0" w:lastColumn="0" w:oddVBand="0" w:evenVBand="0" w:oddHBand="1" w:evenHBand="0" w:firstRowFirstColumn="0" w:firstRowLastColumn="0" w:lastRowFirstColumn="0" w:lastRowLastColumn="0"/>
            </w:pPr>
            <w:r>
              <w:t>ISM security control 0141 – When organisations use outsourced information technology or cloud services, their service providers report all cyber security incidents to the organisation’s CISO, or one of their delegates, as soon as possible after they occur or are discovered.</w:t>
            </w:r>
          </w:p>
          <w:p w14:paraId="198995F6" w14:textId="77777777" w:rsidR="00E303C1" w:rsidRPr="005A60C1" w:rsidRDefault="00E303C1" w:rsidP="002C0F1D">
            <w:pPr>
              <w:pStyle w:val="Tablebodybullet1"/>
              <w:numPr>
                <w:ilvl w:val="0"/>
                <w:numId w:val="360"/>
              </w:numPr>
              <w:ind w:left="720"/>
              <w:cnfStyle w:val="000000100000" w:firstRow="0" w:lastRow="0" w:firstColumn="0" w:lastColumn="0" w:oddVBand="0" w:evenVBand="0" w:oddHBand="1" w:evenHBand="0" w:firstRowFirstColumn="0" w:firstRowLastColumn="0" w:lastRowFirstColumn="0" w:lastRowLastColumn="0"/>
            </w:pPr>
            <w:r>
              <w:t xml:space="preserve">ISM security </w:t>
            </w:r>
            <w:r w:rsidRPr="004B0F8F">
              <w:t>c</w:t>
            </w:r>
            <w:r>
              <w:t xml:space="preserve">ontrol 0140 – Cyber security incidents are reported to the ACSC. </w:t>
            </w:r>
          </w:p>
        </w:tc>
        <w:tc>
          <w:tcPr>
            <w:tcW w:w="1317" w:type="pct"/>
          </w:tcPr>
          <w:p w14:paraId="4E4AB0A5" w14:textId="0A8798E1" w:rsidR="00E303C1" w:rsidRPr="002C0F1D" w:rsidRDefault="00E303C1" w:rsidP="002C0F1D">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A408B1">
              <w:rPr>
                <w:b/>
              </w:rPr>
              <w:t xml:space="preserve">Australian Cyber Security Centre </w:t>
            </w:r>
            <w:r>
              <w:rPr>
                <w:b/>
              </w:rPr>
              <w:t>in</w:t>
            </w:r>
            <w:r w:rsidRPr="002C0F1D">
              <w:rPr>
                <w:b/>
              </w:rPr>
              <w:t xml:space="preserve"> Australian Signals Directorate</w:t>
            </w:r>
            <w:r w:rsidRPr="00A408B1">
              <w:rPr>
                <w:b/>
              </w:rPr>
              <w:t xml:space="preserve"> </w:t>
            </w:r>
          </w:p>
          <w:p w14:paraId="22677F36" w14:textId="77777777" w:rsidR="00E303C1" w:rsidRPr="00F36305" w:rsidRDefault="00E303C1" w:rsidP="00E303C1">
            <w:pPr>
              <w:pStyle w:val="Tablebody"/>
              <w:spacing w:after="60"/>
              <w:cnfStyle w:val="000000100000" w:firstRow="0" w:lastRow="0" w:firstColumn="0" w:lastColumn="0" w:oddVBand="0" w:evenVBand="0" w:oddHBand="1" w:evenHBand="0" w:firstRowFirstColumn="0" w:firstRowLastColumn="0" w:lastRowFirstColumn="0" w:lastRowLastColumn="0"/>
              <w:rPr>
                <w:rFonts w:ascii="Arial Narrow" w:hAnsi="Arial Narrow" w:cstheme="minorHAnsi"/>
                <w:color w:val="0000FF" w:themeColor="hyperlink"/>
                <w:sz w:val="18"/>
                <w:szCs w:val="18"/>
                <w:u w:val="single"/>
              </w:rPr>
            </w:pPr>
            <w:r w:rsidRPr="00BF76DE">
              <w:t xml:space="preserve">Email: </w:t>
            </w:r>
            <w:hyperlink r:id="rId32" w:history="1">
              <w:r w:rsidRPr="002C0F1D">
                <w:rPr>
                  <w:rStyle w:val="Hyperlink"/>
                </w:rPr>
                <w:t>asd.assist@defence.gov.au</w:t>
              </w:r>
            </w:hyperlink>
          </w:p>
          <w:p w14:paraId="77880937" w14:textId="77777777" w:rsidR="00E303C1" w:rsidRDefault="00E303C1" w:rsidP="00E303C1">
            <w:pPr>
              <w:pStyle w:val="Tablebody"/>
              <w:spacing w:after="60"/>
              <w:cnfStyle w:val="000000100000" w:firstRow="0" w:lastRow="0" w:firstColumn="0" w:lastColumn="0" w:oddVBand="0" w:evenVBand="0" w:oddHBand="1" w:evenHBand="0" w:firstRowFirstColumn="0" w:firstRowLastColumn="0" w:lastRowFirstColumn="0" w:lastRowLastColumn="0"/>
              <w:rPr>
                <w:rFonts w:ascii="Arial Narrow" w:eastAsiaTheme="minorHAnsi" w:hAnsi="Arial Narrow"/>
                <w:color w:val="FF0000"/>
                <w:kern w:val="0"/>
                <w:sz w:val="18"/>
                <w:szCs w:val="18"/>
              </w:rPr>
            </w:pPr>
            <w:r>
              <w:t>Form to report:</w:t>
            </w:r>
            <w:r w:rsidRPr="005F6999">
              <w:rPr>
                <w:rFonts w:ascii="Arial Narrow" w:hAnsi="Arial Narrow"/>
                <w:sz w:val="18"/>
                <w:szCs w:val="18"/>
              </w:rPr>
              <w:t xml:space="preserve"> </w:t>
            </w:r>
            <w:hyperlink r:id="rId33" w:history="1">
              <w:r w:rsidRPr="00A115FD">
                <w:rPr>
                  <w:rStyle w:val="Hyperlink"/>
                </w:rPr>
                <w:t>https://www.cyber.gov.au/report</w:t>
              </w:r>
            </w:hyperlink>
          </w:p>
          <w:p w14:paraId="38D67193" w14:textId="77777777" w:rsidR="00E303C1" w:rsidRPr="002C0F1D" w:rsidRDefault="00E303C1" w:rsidP="002C0F1D">
            <w:pPr>
              <w:pStyle w:val="Tablebody"/>
              <w:spacing w:after="120"/>
              <w:cnfStyle w:val="000000100000" w:firstRow="0" w:lastRow="0" w:firstColumn="0" w:lastColumn="0" w:oddVBand="0" w:evenVBand="0" w:oddHBand="1" w:evenHBand="0" w:firstRowFirstColumn="0" w:firstRowLastColumn="0" w:lastRowFirstColumn="0" w:lastRowLastColumn="0"/>
            </w:pPr>
            <w:r w:rsidRPr="00BF76DE">
              <w:t>Phone</w:t>
            </w:r>
            <w:r>
              <w:t xml:space="preserve">: Cyber Security Hotline: </w:t>
            </w:r>
            <w:r w:rsidRPr="00AA4C24">
              <w:rPr>
                <w:b/>
              </w:rPr>
              <w:t>1300 CYBER 1 (1300 292 371)</w:t>
            </w:r>
          </w:p>
        </w:tc>
      </w:tr>
      <w:tr w:rsidR="00E303C1" w:rsidRPr="006E1A5B" w14:paraId="6F9E0289" w14:textId="77777777" w:rsidTr="00E303C1">
        <w:trPr>
          <w:cantSplit/>
        </w:trPr>
        <w:tc>
          <w:tcPr>
            <w:cnfStyle w:val="001000000000" w:firstRow="0" w:lastRow="0" w:firstColumn="1" w:lastColumn="0" w:oddVBand="0" w:evenVBand="0" w:oddHBand="0" w:evenHBand="0" w:firstRowFirstColumn="0" w:firstRowLastColumn="0" w:lastRowFirstColumn="0" w:lastRowLastColumn="0"/>
            <w:tcW w:w="643" w:type="pct"/>
          </w:tcPr>
          <w:p w14:paraId="62CE5C68" w14:textId="77777777" w:rsidR="00E303C1" w:rsidRPr="006E1A5B" w:rsidRDefault="00E303C1" w:rsidP="00E303C1">
            <w:pPr>
              <w:pStyle w:val="Tablebody"/>
              <w:rPr>
                <w:rStyle w:val="Strong"/>
                <w:b/>
                <w:bCs/>
              </w:rPr>
            </w:pPr>
            <w:r w:rsidRPr="006E1A5B">
              <w:rPr>
                <w:rStyle w:val="Strong"/>
                <w:b/>
                <w:bCs/>
              </w:rPr>
              <w:lastRenderedPageBreak/>
              <w:t>Cabinet material</w:t>
            </w:r>
          </w:p>
        </w:tc>
        <w:tc>
          <w:tcPr>
            <w:tcW w:w="3040" w:type="pct"/>
          </w:tcPr>
          <w:p w14:paraId="21BBF519" w14:textId="77777777" w:rsidR="00E303C1" w:rsidRPr="006E1A5B" w:rsidRDefault="00E303C1" w:rsidP="00E303C1">
            <w:pPr>
              <w:pStyle w:val="Tablebody"/>
              <w:cnfStyle w:val="000000000000" w:firstRow="0" w:lastRow="0" w:firstColumn="0" w:lastColumn="0" w:oddVBand="0" w:evenVBand="0" w:oddHBand="0" w:evenHBand="0" w:firstRowFirstColumn="0" w:firstRowLastColumn="0" w:lastRowFirstColumn="0" w:lastRowLastColumn="0"/>
              <w:rPr>
                <w:color w:val="0000FF" w:themeColor="hyperlink"/>
                <w:u w:val="single"/>
              </w:rPr>
            </w:pPr>
            <w:r>
              <w:t>Report s</w:t>
            </w:r>
            <w:r w:rsidRPr="006E1A5B">
              <w:t xml:space="preserve">ecurity incidents </w:t>
            </w:r>
            <w:r>
              <w:t>(</w:t>
            </w:r>
            <w:r w:rsidRPr="006E1A5B">
              <w:t>or suspected incidents</w:t>
            </w:r>
            <w:r>
              <w:t>)</w:t>
            </w:r>
            <w:r w:rsidRPr="006E1A5B">
              <w:t xml:space="preserve"> involving Cabinet material. Refer to the </w:t>
            </w:r>
            <w:hyperlink r:id="rId34" w:history="1">
              <w:r w:rsidRPr="006E1A5B">
                <w:rPr>
                  <w:rStyle w:val="Hyperlink"/>
                </w:rPr>
                <w:t>Cabinet Handbook</w:t>
              </w:r>
            </w:hyperlink>
            <w:r w:rsidRPr="006E1A5B">
              <w:t xml:space="preserve"> for information on handling of Cabinet documents.</w:t>
            </w:r>
          </w:p>
        </w:tc>
        <w:tc>
          <w:tcPr>
            <w:tcW w:w="1317" w:type="pct"/>
          </w:tcPr>
          <w:p w14:paraId="42B68877" w14:textId="77777777" w:rsidR="00E303C1" w:rsidRPr="006E1A5B"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1912EC">
              <w:rPr>
                <w:b/>
              </w:rPr>
              <w:t>Cabinet Division, Department of the Prime Minister and Cabinet</w:t>
            </w:r>
            <w:r w:rsidRPr="006E1A5B">
              <w:t xml:space="preserve"> via entity Cabinet Liaison Officers.</w:t>
            </w:r>
          </w:p>
        </w:tc>
      </w:tr>
      <w:tr w:rsidR="00E303C1" w:rsidRPr="00A12945" w14:paraId="5F3F8AF3" w14:textId="77777777" w:rsidTr="002C0F1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3" w:type="pct"/>
          </w:tcPr>
          <w:p w14:paraId="1BD442A6" w14:textId="77777777" w:rsidR="00E303C1" w:rsidRDefault="00E303C1" w:rsidP="00E303C1">
            <w:pPr>
              <w:pStyle w:val="Tablebody"/>
              <w:rPr>
                <w:rStyle w:val="Strong"/>
                <w:b/>
                <w:bCs/>
              </w:rPr>
            </w:pPr>
            <w:r>
              <w:rPr>
                <w:rStyle w:val="Strong"/>
                <w:b/>
                <w:bCs/>
              </w:rPr>
              <w:t>Contact reporting</w:t>
            </w:r>
          </w:p>
        </w:tc>
        <w:tc>
          <w:tcPr>
            <w:tcW w:w="3040" w:type="pct"/>
          </w:tcPr>
          <w:p w14:paraId="390D9DF7" w14:textId="77777777"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t xml:space="preserve">Under the </w:t>
            </w:r>
            <w:r w:rsidRPr="00341E49">
              <w:rPr>
                <w:b/>
              </w:rPr>
              <w:t>Australian Government Contact Reporting Scheme</w:t>
            </w:r>
            <w:r>
              <w:t>, government personnel are required to report when a contact, either official or social, with a foreign national</w:t>
            </w:r>
            <w:r>
              <w:rPr>
                <w:vertAlign w:val="superscript"/>
              </w:rPr>
              <w:t xml:space="preserve"> </w:t>
            </w:r>
            <w:r>
              <w:t>seems suspicious, persistent or unusual in any respect, or becomes ongoing. Such contact should be reported irrespective of whether it occurs within or outside Australia.</w:t>
            </w:r>
          </w:p>
          <w:p w14:paraId="5A71E764" w14:textId="6E4CD984"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t>Foreign nationals may include, but are not limited to, embassy or foreign government officials, includ</w:t>
            </w:r>
            <w:r w:rsidR="00AC28BE">
              <w:t>ing</w:t>
            </w:r>
            <w:r>
              <w:t xml:space="preserve"> trade or business representatives. It is not necessary to report contact as part of official meetings provided a formal corporate record is produced detailing the topics discussed. However, employees should complete a contact report where a foreign national seeks to establish social contact outside official meetings, and/or where the contact seems suspicious, persistent or unusual.</w:t>
            </w:r>
          </w:p>
          <w:p w14:paraId="5EC6DF49" w14:textId="4D13ED2C" w:rsidR="00E303C1" w:rsidRPr="005A60C1" w:rsidRDefault="00E303C1" w:rsidP="002C0F1D">
            <w:pPr>
              <w:pStyle w:val="Tablebody"/>
              <w:cnfStyle w:val="000000100000" w:firstRow="0" w:lastRow="0" w:firstColumn="0" w:lastColumn="0" w:oddVBand="0" w:evenVBand="0" w:oddHBand="1" w:evenHBand="0" w:firstRowFirstColumn="0" w:firstRowLastColumn="0" w:lastRowFirstColumn="0" w:lastRowLastColumn="0"/>
            </w:pPr>
            <w:r>
              <w:t>Additionally, personnel should report where a person or group, regardless of nationality, seeks to obtain information they do not need to know in order to do their job.</w:t>
            </w:r>
          </w:p>
        </w:tc>
        <w:tc>
          <w:tcPr>
            <w:tcW w:w="1317" w:type="pct"/>
          </w:tcPr>
          <w:p w14:paraId="0E70EC4F" w14:textId="107E9EC2" w:rsidR="00E303C1" w:rsidRPr="002C0F1D" w:rsidRDefault="00E303C1" w:rsidP="002C0F1D">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2C0F1D">
              <w:rPr>
                <w:b/>
              </w:rPr>
              <w:t>Australian Security Intelligence Organisation</w:t>
            </w:r>
            <w:r w:rsidRPr="00A408B1">
              <w:rPr>
                <w:b/>
              </w:rPr>
              <w:t xml:space="preserve"> </w:t>
            </w:r>
          </w:p>
          <w:p w14:paraId="1D263EAF" w14:textId="7D445A74" w:rsidR="00E303C1" w:rsidRPr="00FE19D2" w:rsidRDefault="00E303C1" w:rsidP="00E303C1">
            <w:pPr>
              <w:pStyle w:val="Tablebody"/>
              <w:cnfStyle w:val="000000100000" w:firstRow="0" w:lastRow="0" w:firstColumn="0" w:lastColumn="0" w:oddVBand="0" w:evenVBand="0" w:oddHBand="1" w:evenHBand="0" w:firstRowFirstColumn="0" w:firstRowLastColumn="0" w:lastRowFirstColumn="0" w:lastRowLastColumn="0"/>
              <w:rPr>
                <w:color w:val="0000FF" w:themeColor="hyperlink"/>
                <w:u w:val="single"/>
              </w:rPr>
            </w:pPr>
            <w:r w:rsidRPr="00BF76DE">
              <w:t>Email:</w:t>
            </w:r>
            <w:r w:rsidRPr="00A12945">
              <w:t xml:space="preserve"> </w:t>
            </w:r>
            <w:hyperlink r:id="rId35" w:history="1">
              <w:r w:rsidRPr="00A12945">
                <w:rPr>
                  <w:rStyle w:val="Hyperlink"/>
                </w:rPr>
                <w:t>cr@asio.gov.au</w:t>
              </w:r>
            </w:hyperlink>
          </w:p>
        </w:tc>
      </w:tr>
      <w:tr w:rsidR="00E303C1" w:rsidRPr="00BF76DE" w14:paraId="0FE2D317" w14:textId="77777777" w:rsidTr="00E303C1">
        <w:trPr>
          <w:cantSplit/>
        </w:trPr>
        <w:tc>
          <w:tcPr>
            <w:cnfStyle w:val="001000000000" w:firstRow="0" w:lastRow="0" w:firstColumn="1" w:lastColumn="0" w:oddVBand="0" w:evenVBand="0" w:oddHBand="0" w:evenHBand="0" w:firstRowFirstColumn="0" w:firstRowLastColumn="0" w:lastRowFirstColumn="0" w:lastRowLastColumn="0"/>
            <w:tcW w:w="643" w:type="pct"/>
          </w:tcPr>
          <w:p w14:paraId="4CAD71E8" w14:textId="77777777" w:rsidR="00E303C1" w:rsidRDefault="00E303C1" w:rsidP="00E303C1">
            <w:pPr>
              <w:pStyle w:val="Tablebody"/>
              <w:rPr>
                <w:rStyle w:val="Strong"/>
                <w:b/>
                <w:bCs/>
              </w:rPr>
            </w:pPr>
            <w:r>
              <w:rPr>
                <w:rStyle w:val="Strong"/>
                <w:b/>
                <w:bCs/>
              </w:rPr>
              <w:t>Incidents involving security clearance subjects</w:t>
            </w:r>
          </w:p>
        </w:tc>
        <w:tc>
          <w:tcPr>
            <w:tcW w:w="3040" w:type="pct"/>
          </w:tcPr>
          <w:p w14:paraId="34F79DEF"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t xml:space="preserve">Report security incidents involving security clearance subjects. </w:t>
            </w:r>
          </w:p>
          <w:p w14:paraId="1A72ACB3" w14:textId="77777777" w:rsidR="00E303C1" w:rsidRDefault="00E303C1" w:rsidP="00E303C1">
            <w:pPr>
              <w:pStyle w:val="Tablebody"/>
              <w:cnfStyle w:val="000000000000" w:firstRow="0" w:lastRow="0" w:firstColumn="0" w:lastColumn="0" w:oddVBand="0" w:evenVBand="0" w:oddHBand="0" w:evenHBand="0" w:firstRowFirstColumn="0" w:firstRowLastColumn="0" w:lastRowFirstColumn="0" w:lastRowLastColumn="0"/>
            </w:pPr>
            <w:r>
              <w:t>The entity is required to notify their vetting agency, at the appropriate time, of any security incident that may be relevant to a person’s suitability to hold a security clearance. The appropriate time will depend on the significance of the incident, whether it is subject to investigation and an assessment of the related personnel security risks.</w:t>
            </w:r>
          </w:p>
        </w:tc>
        <w:tc>
          <w:tcPr>
            <w:tcW w:w="1317" w:type="pct"/>
          </w:tcPr>
          <w:p w14:paraId="3C57FE75" w14:textId="77777777" w:rsidR="00E303C1" w:rsidRPr="00593AC2"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593AC2">
              <w:rPr>
                <w:b/>
              </w:rPr>
              <w:t>Vetting agency</w:t>
            </w:r>
          </w:p>
          <w:p w14:paraId="16C9A786"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rsidRPr="00D56371">
              <w:t xml:space="preserve">For clearances issued by the </w:t>
            </w:r>
            <w:hyperlink r:id="rId36" w:history="1">
              <w:r w:rsidRPr="00431131">
                <w:rPr>
                  <w:rStyle w:val="Hyperlink"/>
                </w:rPr>
                <w:t>Australian Government Security Vetting Agency</w:t>
              </w:r>
            </w:hyperlink>
            <w:r>
              <w:t xml:space="preserve"> (AGSVA)</w:t>
            </w:r>
          </w:p>
          <w:p w14:paraId="512C6B10" w14:textId="77777777" w:rsidR="00E303C1" w:rsidRDefault="00E303C1" w:rsidP="00E303C1">
            <w:pPr>
              <w:pStyle w:val="Tablebody"/>
              <w:spacing w:after="60"/>
              <w:cnfStyle w:val="000000000000" w:firstRow="0" w:lastRow="0" w:firstColumn="0" w:lastColumn="0" w:oddVBand="0" w:evenVBand="0" w:oddHBand="0" w:evenHBand="0" w:firstRowFirstColumn="0" w:firstRowLastColumn="0" w:lastRowFirstColumn="0" w:lastRowLastColumn="0"/>
            </w:pPr>
            <w:r>
              <w:t>Avenue to report:</w:t>
            </w:r>
            <w:r w:rsidRPr="00D56371">
              <w:t xml:space="preserve"> </w:t>
            </w:r>
            <w:hyperlink r:id="rId37" w:history="1">
              <w:r w:rsidRPr="00431131">
                <w:rPr>
                  <w:rStyle w:val="Hyperlink"/>
                </w:rPr>
                <w:t>Security Officer Dashboard</w:t>
              </w:r>
            </w:hyperlink>
            <w:r>
              <w:t xml:space="preserve"> </w:t>
            </w:r>
          </w:p>
          <w:p w14:paraId="3014252C" w14:textId="77777777" w:rsidR="00E303C1" w:rsidRPr="00BF76DE"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D56371">
              <w:t>Phone: 1800 640 450</w:t>
            </w:r>
          </w:p>
        </w:tc>
      </w:tr>
      <w:tr w:rsidR="00E303C1" w:rsidRPr="00F91942" w14:paraId="72B66EE1" w14:textId="77777777" w:rsidTr="00E303C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3" w:type="pct"/>
          </w:tcPr>
          <w:p w14:paraId="5C52C0D8" w14:textId="77777777" w:rsidR="00E303C1" w:rsidRPr="00A27C3D" w:rsidRDefault="00E303C1" w:rsidP="00E303C1">
            <w:pPr>
              <w:pStyle w:val="Tablebody"/>
              <w:rPr>
                <w:b w:val="0"/>
              </w:rPr>
            </w:pPr>
            <w:r w:rsidRPr="00A27C3D">
              <w:rPr>
                <w:rStyle w:val="Strong"/>
                <w:b/>
              </w:rPr>
              <w:t>Correspondence of security concern</w:t>
            </w:r>
          </w:p>
        </w:tc>
        <w:tc>
          <w:tcPr>
            <w:tcW w:w="3040" w:type="pct"/>
          </w:tcPr>
          <w:p w14:paraId="6DBCF336"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Report c</w:t>
            </w:r>
            <w:r w:rsidRPr="00F91942">
              <w:t>orrespondence received that may be o</w:t>
            </w:r>
            <w:r>
              <w:t>f a security concern, including but not limited to:</w:t>
            </w:r>
          </w:p>
          <w:p w14:paraId="04CB492B" w14:textId="77777777" w:rsidR="00E303C1" w:rsidRDefault="00E303C1" w:rsidP="00E303C1">
            <w:pPr>
              <w:pStyle w:val="Tablebodybullet1"/>
              <w:numPr>
                <w:ilvl w:val="0"/>
                <w:numId w:val="364"/>
              </w:numPr>
              <w:ind w:left="720"/>
              <w:cnfStyle w:val="000000100000" w:firstRow="0" w:lastRow="0" w:firstColumn="0" w:lastColumn="0" w:oddVBand="0" w:evenVBand="0" w:oddHBand="1" w:evenHBand="0" w:firstRowFirstColumn="0" w:firstRowLastColumn="0" w:lastRowFirstColumn="0" w:lastRowLastColumn="0"/>
            </w:pPr>
            <w:r>
              <w:t>threat to use violence to achieve a political objective</w:t>
            </w:r>
          </w:p>
          <w:p w14:paraId="05C2B57D" w14:textId="77777777" w:rsidR="00E303C1" w:rsidRPr="00F91942" w:rsidRDefault="00E303C1" w:rsidP="00E303C1">
            <w:pPr>
              <w:pStyle w:val="Tablebodybullet1"/>
              <w:numPr>
                <w:ilvl w:val="0"/>
                <w:numId w:val="364"/>
              </w:numPr>
              <w:ind w:left="720"/>
              <w:cnfStyle w:val="000000100000" w:firstRow="0" w:lastRow="0" w:firstColumn="0" w:lastColumn="0" w:oddVBand="0" w:evenVBand="0" w:oddHBand="1" w:evenHBand="0" w:firstRowFirstColumn="0" w:firstRowLastColumn="0" w:lastRowFirstColumn="0" w:lastRowLastColumn="0"/>
            </w:pPr>
            <w:r>
              <w:t>warning of imminent threats to specific individuals, groups, property or buildings.</w:t>
            </w:r>
          </w:p>
        </w:tc>
        <w:tc>
          <w:tcPr>
            <w:tcW w:w="1317" w:type="pct"/>
          </w:tcPr>
          <w:p w14:paraId="19B93F19" w14:textId="77777777" w:rsidR="00E303C1" w:rsidRPr="00F91942"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 xml:space="preserve">Entity security advisors (or CSO) to assess and determine the appropriate law enforcement or national security entity </w:t>
            </w:r>
            <w:r>
              <w:rPr>
                <w:lang w:val="en-US"/>
              </w:rPr>
              <w:t>to externally report the incident.</w:t>
            </w:r>
          </w:p>
        </w:tc>
      </w:tr>
      <w:tr w:rsidR="00E303C1" w:rsidRPr="00BF76DE" w14:paraId="043484C6" w14:textId="77777777" w:rsidTr="002C0F1D">
        <w:trPr>
          <w:cantSplit/>
        </w:trPr>
        <w:tc>
          <w:tcPr>
            <w:cnfStyle w:val="001000000000" w:firstRow="0" w:lastRow="0" w:firstColumn="1" w:lastColumn="0" w:oddVBand="0" w:evenVBand="0" w:oddHBand="0" w:evenHBand="0" w:firstRowFirstColumn="0" w:firstRowLastColumn="0" w:lastRowFirstColumn="0" w:lastRowLastColumn="0"/>
            <w:tcW w:w="643" w:type="pct"/>
          </w:tcPr>
          <w:p w14:paraId="5BC8B4E8" w14:textId="77777777" w:rsidR="00E303C1" w:rsidRDefault="00E303C1" w:rsidP="00E303C1">
            <w:pPr>
              <w:pStyle w:val="Tablebody"/>
              <w:rPr>
                <w:rStyle w:val="Strong"/>
                <w:b/>
                <w:bCs/>
              </w:rPr>
            </w:pPr>
            <w:r>
              <w:rPr>
                <w:rStyle w:val="Strong"/>
                <w:b/>
                <w:bCs/>
              </w:rPr>
              <w:t>Incident affecting another entity</w:t>
            </w:r>
          </w:p>
        </w:tc>
        <w:tc>
          <w:tcPr>
            <w:tcW w:w="3040" w:type="pct"/>
          </w:tcPr>
          <w:p w14:paraId="3DD11C32" w14:textId="704DD434" w:rsidR="00E303C1" w:rsidRPr="005A60C1" w:rsidRDefault="00E303C1" w:rsidP="00E303C1">
            <w:pPr>
              <w:pStyle w:val="Tablebody"/>
              <w:cnfStyle w:val="000000000000" w:firstRow="0" w:lastRow="0" w:firstColumn="0" w:lastColumn="0" w:oddVBand="0" w:evenVBand="0" w:oddHBand="0" w:evenHBand="0" w:firstRowFirstColumn="0" w:firstRowLastColumn="0" w:lastRowFirstColumn="0" w:lastRowLastColumn="0"/>
            </w:pPr>
            <w:r>
              <w:t>Report any s</w:t>
            </w:r>
            <w:r w:rsidRPr="002C7E5B">
              <w:t>ecurity</w:t>
            </w:r>
            <w:r w:rsidRPr="005A60C1">
              <w:t xml:space="preserve"> incidents or unmitigated security risks that affect another entity’s people, information or assets, particularly where entities are co-located or </w:t>
            </w:r>
            <w:r w:rsidRPr="002C7E5B">
              <w:t xml:space="preserve">are </w:t>
            </w:r>
            <w:r w:rsidRPr="005A60C1">
              <w:t>providing services to another entity.</w:t>
            </w:r>
          </w:p>
        </w:tc>
        <w:tc>
          <w:tcPr>
            <w:tcW w:w="1317" w:type="pct"/>
          </w:tcPr>
          <w:p w14:paraId="1A3383EE" w14:textId="55966684"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t>Advise the a</w:t>
            </w:r>
            <w:r w:rsidRPr="002C7E5B">
              <w:t>ccountable authority of the entity whose people, information or assets may be affected.</w:t>
            </w:r>
          </w:p>
          <w:p w14:paraId="45590C2A" w14:textId="05E7CA52" w:rsidR="00E303C1" w:rsidRPr="00BF76DE"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2C7E5B">
              <w:t xml:space="preserve">Refer to the </w:t>
            </w:r>
            <w:hyperlink r:id="rId38" w:history="1">
              <w:r w:rsidRPr="002C7E5B">
                <w:rPr>
                  <w:rStyle w:val="Hyperlink"/>
                </w:rPr>
                <w:t>Australian Government Directory</w:t>
              </w:r>
            </w:hyperlink>
          </w:p>
        </w:tc>
      </w:tr>
      <w:tr w:rsidR="00E303C1" w:rsidRPr="00BF76DE" w14:paraId="12AE0F7C" w14:textId="77777777" w:rsidTr="00E303C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3" w:type="pct"/>
          </w:tcPr>
          <w:p w14:paraId="6DD6476A" w14:textId="77777777" w:rsidR="00E303C1" w:rsidRDefault="00E303C1" w:rsidP="00E303C1">
            <w:pPr>
              <w:pStyle w:val="Tablebody"/>
              <w:rPr>
                <w:rStyle w:val="Strong"/>
                <w:b/>
                <w:bCs/>
              </w:rPr>
            </w:pPr>
            <w:r>
              <w:rPr>
                <w:rStyle w:val="Strong"/>
                <w:b/>
                <w:bCs/>
              </w:rPr>
              <w:t>Classified equipment and services</w:t>
            </w:r>
          </w:p>
        </w:tc>
        <w:tc>
          <w:tcPr>
            <w:tcW w:w="3040" w:type="pct"/>
          </w:tcPr>
          <w:p w14:paraId="507EA325"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Report any security incidents involving SCEC-endorsed safe hand courier services (using form).</w:t>
            </w:r>
          </w:p>
          <w:p w14:paraId="2545A32D"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p>
          <w:p w14:paraId="7B91BBED"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 xml:space="preserve">Report (via email to </w:t>
            </w:r>
            <w:hyperlink r:id="rId39" w:history="1">
              <w:r>
                <w:rPr>
                  <w:rStyle w:val="Hyperlink"/>
                  <w:b/>
                  <w:bCs w:val="0"/>
                </w:rPr>
                <w:t>SCEC@SCEC.gov.au</w:t>
              </w:r>
            </w:hyperlink>
            <w:r>
              <w:rPr>
                <w:b/>
                <w:bCs w:val="0"/>
              </w:rPr>
              <w:t xml:space="preserve">) </w:t>
            </w:r>
            <w:r>
              <w:t xml:space="preserve">any security incidents involving: </w:t>
            </w:r>
          </w:p>
          <w:p w14:paraId="20E37759" w14:textId="53DCE66E" w:rsidR="00E303C1" w:rsidRDefault="00E303C1" w:rsidP="00E303C1">
            <w:pPr>
              <w:pStyle w:val="Tablebodybullet1"/>
              <w:numPr>
                <w:ilvl w:val="0"/>
                <w:numId w:val="365"/>
              </w:numPr>
              <w:cnfStyle w:val="000000100000" w:firstRow="0" w:lastRow="0" w:firstColumn="0" w:lastColumn="0" w:oddVBand="0" w:evenVBand="0" w:oddHBand="1" w:evenHBand="0" w:firstRowFirstColumn="0" w:firstRowLastColumn="0" w:lastRowFirstColumn="0" w:lastRowLastColumn="0"/>
            </w:pPr>
            <w:r>
              <w:t>SCEC-approved products faults or failure</w:t>
            </w:r>
          </w:p>
          <w:p w14:paraId="51665BBC" w14:textId="77777777" w:rsidR="00E303C1" w:rsidRDefault="00E303C1" w:rsidP="00E303C1">
            <w:pPr>
              <w:pStyle w:val="Tablebodybullet1"/>
              <w:numPr>
                <w:ilvl w:val="0"/>
                <w:numId w:val="365"/>
              </w:numPr>
              <w:cnfStyle w:val="000000100000" w:firstRow="0" w:lastRow="0" w:firstColumn="0" w:lastColumn="0" w:oddVBand="0" w:evenVBand="0" w:oddHBand="1" w:evenHBand="0" w:firstRowFirstColumn="0" w:firstRowLastColumn="0" w:lastRowFirstColumn="0" w:lastRowLastColumn="0"/>
            </w:pPr>
            <w:r>
              <w:t>Destruction services - National Association for Information Destruction (NAID) AAA Certification with PSPF endorsement</w:t>
            </w:r>
          </w:p>
          <w:p w14:paraId="5EDA234C" w14:textId="17D950B4" w:rsidR="00E303C1" w:rsidRPr="002C7E5B" w:rsidRDefault="00E303C1" w:rsidP="00A349E7">
            <w:pPr>
              <w:pStyle w:val="Tablebodybullet1"/>
              <w:numPr>
                <w:ilvl w:val="0"/>
                <w:numId w:val="365"/>
              </w:numPr>
              <w:cnfStyle w:val="000000100000" w:firstRow="0" w:lastRow="0" w:firstColumn="0" w:lastColumn="0" w:oddVBand="0" w:evenVBand="0" w:oddHBand="1" w:evenHBand="0" w:firstRowFirstColumn="0" w:firstRowLastColumn="0" w:lastRowFirstColumn="0" w:lastRowLastColumn="0"/>
            </w:pPr>
            <w:r>
              <w:t>SCEC Security Zone Consultants and SCEC approved locksmiths</w:t>
            </w:r>
            <w:r w:rsidR="00A349E7">
              <w:t>.</w:t>
            </w:r>
          </w:p>
        </w:tc>
        <w:tc>
          <w:tcPr>
            <w:tcW w:w="1317" w:type="pct"/>
          </w:tcPr>
          <w:p w14:paraId="7188F8F1" w14:textId="77777777" w:rsidR="00E303C1" w:rsidRPr="002A039E"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rPr>
                <w:b/>
              </w:rPr>
            </w:pPr>
            <w:r w:rsidRPr="002A039E">
              <w:rPr>
                <w:b/>
              </w:rPr>
              <w:t xml:space="preserve">Security Construction and Equipment Committee </w:t>
            </w:r>
          </w:p>
          <w:p w14:paraId="2EC329B1"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Report SCEC-endorsed safe hand courier services:</w:t>
            </w:r>
          </w:p>
          <w:p w14:paraId="102333C2" w14:textId="77777777" w:rsidR="00E303C1" w:rsidRDefault="005E5891" w:rsidP="00E303C1">
            <w:pPr>
              <w:pStyle w:val="Tablebody"/>
              <w:cnfStyle w:val="000000100000" w:firstRow="0" w:lastRow="0" w:firstColumn="0" w:lastColumn="0" w:oddVBand="0" w:evenVBand="0" w:oddHBand="1" w:evenHBand="0" w:firstRowFirstColumn="0" w:firstRowLastColumn="0" w:lastRowFirstColumn="0" w:lastRowLastColumn="0"/>
              <w:rPr>
                <w:rStyle w:val="Hyperlink"/>
              </w:rPr>
            </w:pPr>
            <w:hyperlink r:id="rId40" w:history="1">
              <w:r w:rsidR="00E303C1" w:rsidRPr="008933E2">
                <w:rPr>
                  <w:rStyle w:val="Hyperlink"/>
                </w:rPr>
                <w:t>https://www.scec.gov.au/scec-endorsed-courier-incidents</w:t>
              </w:r>
            </w:hyperlink>
          </w:p>
          <w:p w14:paraId="318565C1"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p>
          <w:p w14:paraId="659D7381" w14:textId="77777777" w:rsidR="00E303C1" w:rsidRPr="00182C30" w:rsidRDefault="00E303C1" w:rsidP="00E303C1">
            <w:pPr>
              <w:pStyle w:val="Tablebody"/>
              <w:cnfStyle w:val="000000100000" w:firstRow="0" w:lastRow="0" w:firstColumn="0" w:lastColumn="0" w:oddVBand="0" w:evenVBand="0" w:oddHBand="1" w:evenHBand="0" w:firstRowFirstColumn="0" w:firstRowLastColumn="0" w:lastRowFirstColumn="0" w:lastRowLastColumn="0"/>
            </w:pPr>
            <w:r w:rsidRPr="00182C30">
              <w:t>Report other incidents types via email:</w:t>
            </w:r>
          </w:p>
          <w:p w14:paraId="64650642" w14:textId="77777777" w:rsidR="00E303C1" w:rsidRPr="00BF76DE" w:rsidRDefault="005E5891" w:rsidP="00E303C1">
            <w:pPr>
              <w:pStyle w:val="Tablebody"/>
              <w:cnfStyle w:val="000000100000" w:firstRow="0" w:lastRow="0" w:firstColumn="0" w:lastColumn="0" w:oddVBand="0" w:evenVBand="0" w:oddHBand="1" w:evenHBand="0" w:firstRowFirstColumn="0" w:firstRowLastColumn="0" w:lastRowFirstColumn="0" w:lastRowLastColumn="0"/>
            </w:pPr>
            <w:hyperlink r:id="rId41" w:history="1">
              <w:r w:rsidR="00E303C1" w:rsidRPr="001729E1">
                <w:rPr>
                  <w:rStyle w:val="Hyperlink"/>
                </w:rPr>
                <w:t>scec@scec.gov.au</w:t>
              </w:r>
            </w:hyperlink>
          </w:p>
        </w:tc>
      </w:tr>
      <w:tr w:rsidR="00E303C1" w:rsidRPr="00BF76DE" w14:paraId="11EE7360" w14:textId="77777777" w:rsidTr="00E303C1">
        <w:trPr>
          <w:cantSplit/>
        </w:trPr>
        <w:tc>
          <w:tcPr>
            <w:cnfStyle w:val="001000000000" w:firstRow="0" w:lastRow="0" w:firstColumn="1" w:lastColumn="0" w:oddVBand="0" w:evenVBand="0" w:oddHBand="0" w:evenHBand="0" w:firstRowFirstColumn="0" w:firstRowLastColumn="0" w:lastRowFirstColumn="0" w:lastRowLastColumn="0"/>
            <w:tcW w:w="643" w:type="pct"/>
          </w:tcPr>
          <w:p w14:paraId="0773AB16" w14:textId="77777777" w:rsidR="00E303C1" w:rsidRDefault="00E303C1" w:rsidP="00E303C1">
            <w:pPr>
              <w:pStyle w:val="Tablebody"/>
              <w:rPr>
                <w:rStyle w:val="Strong"/>
                <w:b/>
                <w:bCs/>
              </w:rPr>
            </w:pPr>
            <w:r w:rsidRPr="00CB38BB">
              <w:rPr>
                <w:rStyle w:val="Strong"/>
                <w:b/>
                <w:bCs/>
              </w:rPr>
              <w:lastRenderedPageBreak/>
              <w:t>Unauthorised foreign entity access to classified Australian information or assets</w:t>
            </w:r>
          </w:p>
        </w:tc>
        <w:tc>
          <w:tcPr>
            <w:tcW w:w="3040" w:type="pct"/>
          </w:tcPr>
          <w:p w14:paraId="7B772894"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t xml:space="preserve">Report any occurrences of </w:t>
            </w:r>
            <w:r w:rsidRPr="00E154CE">
              <w:t>Australian classified information and assets</w:t>
            </w:r>
            <w:r>
              <w:t xml:space="preserve"> being shared with a foreign national or international entity </w:t>
            </w:r>
            <w:r w:rsidRPr="00E154CE">
              <w:t>without the protection of an</w:t>
            </w:r>
            <w:r>
              <w:t xml:space="preserve"> appropriate</w:t>
            </w:r>
            <w:r w:rsidRPr="00E154CE">
              <w:t xml:space="preserve"> agreement or arrangement.</w:t>
            </w:r>
          </w:p>
          <w:p w14:paraId="255CC1CF" w14:textId="77777777" w:rsidR="00E303C1"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02463D">
              <w:t>Refer to PSPF policy:</w:t>
            </w:r>
            <w:r w:rsidRPr="00BB3E39">
              <w:t xml:space="preserve"> </w:t>
            </w:r>
            <w:hyperlink r:id="rId42" w:history="1">
              <w:r>
                <w:rPr>
                  <w:rStyle w:val="Hyperlink"/>
                </w:rPr>
                <w:t>Security governance for international sharing</w:t>
              </w:r>
            </w:hyperlink>
            <w:r w:rsidRPr="009A3C2B">
              <w:rPr>
                <w:rStyle w:val="Hyperlink"/>
                <w:u w:val="none"/>
              </w:rPr>
              <w:t xml:space="preserve">. </w:t>
            </w:r>
            <w:r w:rsidRPr="009A3C2B">
              <w:t>I</w:t>
            </w:r>
            <w:r w:rsidRPr="008271B2">
              <w:t>nternational agreements or international arrangements may impose additional reporting and security violation handling requirements beyond those detailed in the PSPF.</w:t>
            </w:r>
          </w:p>
        </w:tc>
        <w:tc>
          <w:tcPr>
            <w:tcW w:w="1317" w:type="pct"/>
          </w:tcPr>
          <w:p w14:paraId="7283E867"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t>Entity CSO to determine the appropriate channel to externally report the incident.</w:t>
            </w:r>
          </w:p>
          <w:p w14:paraId="4977BF30" w14:textId="77777777" w:rsidR="00E303C1" w:rsidRPr="00BF76DE" w:rsidRDefault="00E303C1" w:rsidP="00E303C1">
            <w:pPr>
              <w:pStyle w:val="Tablebody"/>
              <w:cnfStyle w:val="000000000000" w:firstRow="0" w:lastRow="0" w:firstColumn="0" w:lastColumn="0" w:oddVBand="0" w:evenVBand="0" w:oddHBand="0" w:evenHBand="0" w:firstRowFirstColumn="0" w:firstRowLastColumn="0" w:lastRowFirstColumn="0" w:lastRowLastColumn="0"/>
            </w:pPr>
            <w:r>
              <w:t>CSO may also need to consider whether the incident requires reporting under an</w:t>
            </w:r>
            <w:r w:rsidRPr="00E154CE">
              <w:t>other categor</w:t>
            </w:r>
            <w:r>
              <w:t>y</w:t>
            </w:r>
            <w:r w:rsidRPr="00E154CE">
              <w:t xml:space="preserve"> in this table.</w:t>
            </w:r>
          </w:p>
        </w:tc>
      </w:tr>
      <w:tr w:rsidR="00E303C1" w:rsidRPr="0002463D" w14:paraId="361B87AF" w14:textId="77777777" w:rsidTr="00E303C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3" w:type="pct"/>
          </w:tcPr>
          <w:p w14:paraId="03CCE2AD" w14:textId="77777777" w:rsidR="00E303C1" w:rsidRDefault="00E303C1" w:rsidP="00E303C1">
            <w:pPr>
              <w:pStyle w:val="Tablebody"/>
              <w:rPr>
                <w:rStyle w:val="Strong"/>
              </w:rPr>
            </w:pPr>
            <w:r>
              <w:rPr>
                <w:rStyle w:val="Strong"/>
                <w:b/>
                <w:bCs/>
              </w:rPr>
              <w:t>Compromise of foreign entity information or assets</w:t>
            </w:r>
          </w:p>
        </w:tc>
        <w:tc>
          <w:tcPr>
            <w:tcW w:w="3040" w:type="pct"/>
          </w:tcPr>
          <w:p w14:paraId="6620AE2F" w14:textId="77777777"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t xml:space="preserve">Where a suspected security incident involves the compromise of information, or other resources, that originate from a foreign government or governments, entities must comply with the arrangements outlined in the agreement or arrangement under which the information was obtained. </w:t>
            </w:r>
          </w:p>
          <w:p w14:paraId="0EC728C7" w14:textId="77777777"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rsidRPr="00480521">
              <w:t xml:space="preserve">Where the foreign government information has been provided by another </w:t>
            </w:r>
            <w:r>
              <w:t>entity</w:t>
            </w:r>
            <w:r w:rsidRPr="00480521">
              <w:t>,</w:t>
            </w:r>
            <w:r>
              <w:t xml:space="preserve"> inform the</w:t>
            </w:r>
            <w:r w:rsidRPr="00480521">
              <w:t xml:space="preserve"> providing </w:t>
            </w:r>
            <w:r>
              <w:t xml:space="preserve">entity of the security incident as soon as possible. </w:t>
            </w:r>
            <w:r w:rsidRPr="00480521">
              <w:t xml:space="preserve"> </w:t>
            </w:r>
            <w:r>
              <w:t>The providing entity</w:t>
            </w:r>
            <w:r w:rsidRPr="00480521">
              <w:t xml:space="preserve"> may have obligations it needs to apply under </w:t>
            </w:r>
            <w:r>
              <w:t>an agreement or</w:t>
            </w:r>
            <w:r w:rsidRPr="00480521">
              <w:t xml:space="preserve"> arrangement.</w:t>
            </w:r>
          </w:p>
          <w:p w14:paraId="09741CC2" w14:textId="77777777" w:rsidR="00E303C1" w:rsidRPr="00CB38BB" w:rsidRDefault="00E303C1" w:rsidP="00E303C1">
            <w:pPr>
              <w:pStyle w:val="Tablebody"/>
              <w:cnfStyle w:val="000000100000" w:firstRow="0" w:lastRow="0" w:firstColumn="0" w:lastColumn="0" w:oddVBand="0" w:evenVBand="0" w:oddHBand="1" w:evenHBand="0" w:firstRowFirstColumn="0" w:firstRowLastColumn="0" w:lastRowFirstColumn="0" w:lastRowLastColumn="0"/>
            </w:pPr>
            <w:r w:rsidRPr="0002463D">
              <w:t>Refer to PSPF policy:</w:t>
            </w:r>
            <w:r w:rsidRPr="00BB3E39">
              <w:t xml:space="preserve"> </w:t>
            </w:r>
            <w:hyperlink r:id="rId43" w:history="1">
              <w:r>
                <w:rPr>
                  <w:rStyle w:val="Hyperlink"/>
                </w:rPr>
                <w:t>Security governance for international sharing</w:t>
              </w:r>
            </w:hyperlink>
            <w:r>
              <w:rPr>
                <w:rStyle w:val="Hyperlink"/>
              </w:rPr>
              <w:t>.</w:t>
            </w:r>
          </w:p>
        </w:tc>
        <w:tc>
          <w:tcPr>
            <w:tcW w:w="1317" w:type="pct"/>
          </w:tcPr>
          <w:p w14:paraId="467FF65F" w14:textId="77777777" w:rsidR="00E303C1" w:rsidRPr="0002463D"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 xml:space="preserve">Report the incident to the </w:t>
            </w:r>
            <w:r w:rsidRPr="00E154CE">
              <w:t>originating foreign go</w:t>
            </w:r>
            <w:r>
              <w:t>vernment (or entity that provided the information) as soon as practicable, in accordance with the overarching agreement or arrangement.</w:t>
            </w:r>
          </w:p>
        </w:tc>
      </w:tr>
      <w:tr w:rsidR="00E303C1" w:rsidRPr="00BF76DE" w14:paraId="6D20B454" w14:textId="77777777" w:rsidTr="00E303C1">
        <w:trPr>
          <w:cantSplit/>
        </w:trPr>
        <w:tc>
          <w:tcPr>
            <w:cnfStyle w:val="001000000000" w:firstRow="0" w:lastRow="0" w:firstColumn="1" w:lastColumn="0" w:oddVBand="0" w:evenVBand="0" w:oddHBand="0" w:evenHBand="0" w:firstRowFirstColumn="0" w:firstRowLastColumn="0" w:lastRowFirstColumn="0" w:lastRowLastColumn="0"/>
            <w:tcW w:w="643" w:type="pct"/>
          </w:tcPr>
          <w:p w14:paraId="65890B78" w14:textId="77777777" w:rsidR="00E303C1" w:rsidRPr="00C164BC" w:rsidRDefault="00E303C1" w:rsidP="00E303C1">
            <w:pPr>
              <w:pStyle w:val="Tablebody"/>
              <w:rPr>
                <w:rStyle w:val="Strong"/>
              </w:rPr>
            </w:pPr>
            <w:r w:rsidRPr="00D55AE1">
              <w:rPr>
                <w:rStyle w:val="Strong"/>
                <w:b/>
                <w:bCs/>
              </w:rPr>
              <w:t>Eligible data breaches</w:t>
            </w:r>
          </w:p>
        </w:tc>
        <w:tc>
          <w:tcPr>
            <w:tcW w:w="3040" w:type="pct"/>
          </w:tcPr>
          <w:p w14:paraId="5589E3DE"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t>Report eligible data breaches, in accordance with t</w:t>
            </w:r>
            <w:r w:rsidRPr="00267E70">
              <w:t xml:space="preserve">he </w:t>
            </w:r>
            <w:hyperlink r:id="rId44" w:history="1">
              <w:r>
                <w:rPr>
                  <w:rStyle w:val="Hyperlink"/>
                </w:rPr>
                <w:t xml:space="preserve">Notifiable Data Breaches </w:t>
              </w:r>
              <w:r w:rsidRPr="00267E70">
                <w:rPr>
                  <w:rStyle w:val="Hyperlink"/>
                </w:rPr>
                <w:t>scheme</w:t>
              </w:r>
            </w:hyperlink>
            <w:r w:rsidRPr="00267E70">
              <w:t xml:space="preserve"> under Part IIIC of the </w:t>
            </w:r>
            <w:r w:rsidRPr="00E35104">
              <w:rPr>
                <w:i/>
              </w:rPr>
              <w:t>Privacy Act 1988</w:t>
            </w:r>
            <w:r>
              <w:t xml:space="preserve">, to the OAIC. </w:t>
            </w:r>
            <w:r w:rsidRPr="00267E70">
              <w:t>The scheme only applies to data breaches involving personal information that are likely to result in serious harm to any individual affected. These are referred to as ‘eligible data breaches’.</w:t>
            </w:r>
          </w:p>
          <w:p w14:paraId="25F79D5B" w14:textId="77777777" w:rsidR="00E303C1"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267E70">
              <w:t>The Commissioner must be notified as soon as practicable through a statement about the eligible data breach</w:t>
            </w:r>
            <w:r>
              <w:t xml:space="preserve">. </w:t>
            </w:r>
            <w:r w:rsidRPr="00267E70">
              <w:t xml:space="preserve">When an entity is aware of reasonable grounds to believe an eligible data breach has occurred, </w:t>
            </w:r>
            <w:r>
              <w:t>it is also</w:t>
            </w:r>
            <w:r w:rsidRPr="00267E70">
              <w:t xml:space="preserve"> obligated to promptly notify</w:t>
            </w:r>
            <w:r>
              <w:t xml:space="preserve"> any</w:t>
            </w:r>
            <w:r w:rsidRPr="00267E70">
              <w:t xml:space="preserve"> individual at likely risk of serious harm. </w:t>
            </w:r>
          </w:p>
        </w:tc>
        <w:tc>
          <w:tcPr>
            <w:tcW w:w="1317" w:type="pct"/>
          </w:tcPr>
          <w:p w14:paraId="275C8081" w14:textId="77777777" w:rsidR="00E303C1" w:rsidRPr="00A408B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A408B1">
              <w:rPr>
                <w:b/>
              </w:rPr>
              <w:t xml:space="preserve">Australian Information Commissioner </w:t>
            </w:r>
          </w:p>
          <w:p w14:paraId="22BAA38A" w14:textId="77777777" w:rsidR="00E303C1" w:rsidRPr="00BF76DE"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54762F">
              <w:t>Form</w:t>
            </w:r>
            <w:r>
              <w:t xml:space="preserve"> to report</w:t>
            </w:r>
            <w:r w:rsidRPr="0054762F">
              <w:t>:</w:t>
            </w:r>
            <w:r>
              <w:t xml:space="preserve"> </w:t>
            </w:r>
            <w:hyperlink r:id="rId45" w:tgtFrame="_blank" w:history="1">
              <w:r>
                <w:rPr>
                  <w:rStyle w:val="Hyperlink"/>
                  <w:bCs w:val="0"/>
                </w:rPr>
                <w:t>https://www.oaic.gov.au/NDBform</w:t>
              </w:r>
            </w:hyperlink>
            <w:r w:rsidRPr="00267E70">
              <w:rPr>
                <w:rStyle w:val="Hyperlink"/>
                <w:bCs w:val="0"/>
              </w:rPr>
              <w:t xml:space="preserve"> </w:t>
            </w:r>
          </w:p>
        </w:tc>
      </w:tr>
      <w:tr w:rsidR="00E303C1" w:rsidRPr="00BF76DE" w14:paraId="6638F0D5" w14:textId="77777777" w:rsidTr="00E303C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3" w:type="pct"/>
          </w:tcPr>
          <w:p w14:paraId="09227DC4" w14:textId="77777777" w:rsidR="00E303C1" w:rsidRDefault="00E303C1" w:rsidP="00E303C1">
            <w:pPr>
              <w:pStyle w:val="Tablebody"/>
              <w:rPr>
                <w:rStyle w:val="Strong"/>
                <w:b/>
                <w:bCs/>
              </w:rPr>
            </w:pPr>
            <w:r>
              <w:rPr>
                <w:rStyle w:val="Strong"/>
                <w:b/>
                <w:bCs/>
              </w:rPr>
              <w:t>Potential criminal/serious incidents</w:t>
            </w:r>
          </w:p>
        </w:tc>
        <w:tc>
          <w:tcPr>
            <w:tcW w:w="3040" w:type="pct"/>
          </w:tcPr>
          <w:p w14:paraId="0B3F7012" w14:textId="77777777"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t>Report i</w:t>
            </w:r>
            <w:r w:rsidRPr="007830B3">
              <w:t>ncidents that may constitute a criminal offence</w:t>
            </w:r>
            <w:r>
              <w:t xml:space="preserve">. </w:t>
            </w:r>
          </w:p>
          <w:p w14:paraId="1BBB07EE" w14:textId="77777777" w:rsidR="00E303C1" w:rsidRPr="007830B3" w:rsidRDefault="00E303C1" w:rsidP="00E303C1">
            <w:pPr>
              <w:pStyle w:val="Tablebody"/>
              <w:cnfStyle w:val="000000100000" w:firstRow="0" w:lastRow="0" w:firstColumn="0" w:lastColumn="0" w:oddVBand="0" w:evenVBand="0" w:oddHBand="1" w:evenHBand="0" w:firstRowFirstColumn="0" w:firstRowLastColumn="0" w:lastRowFirstColumn="0" w:lastRowLastColumn="0"/>
            </w:pPr>
            <w:r>
              <w:t>S</w:t>
            </w:r>
            <w:r w:rsidRPr="007830B3">
              <w:t xml:space="preserve">ee the </w:t>
            </w:r>
            <w:hyperlink r:id="rId46" w:history="1">
              <w:r w:rsidRPr="007830B3">
                <w:rPr>
                  <w:rStyle w:val="Hyperlink"/>
                </w:rPr>
                <w:t>AFP website</w:t>
              </w:r>
            </w:hyperlink>
            <w:r w:rsidRPr="007830B3">
              <w:t xml:space="preserve"> for advice on the type of criminal incidents that are reported to the AFP (Commonwealth), or the local police (state or territory crimes), or if an incident is best handled within an entity. </w:t>
            </w:r>
          </w:p>
          <w:p w14:paraId="712C0170" w14:textId="77777777" w:rsidR="00E303C1" w:rsidRDefault="00E303C1" w:rsidP="00E303C1">
            <w:pPr>
              <w:pStyle w:val="Tablebody"/>
              <w:cnfStyle w:val="000000100000" w:firstRow="0" w:lastRow="0" w:firstColumn="0" w:lastColumn="0" w:oddVBand="0" w:evenVBand="0" w:oddHBand="1" w:evenHBand="0" w:firstRowFirstColumn="0" w:firstRowLastColumn="0" w:lastRowFirstColumn="0" w:lastRowLastColumn="0"/>
            </w:pPr>
          </w:p>
          <w:p w14:paraId="40400692" w14:textId="77777777" w:rsidR="00E303C1" w:rsidRPr="007830B3" w:rsidRDefault="00E303C1" w:rsidP="00E303C1">
            <w:pPr>
              <w:pStyle w:val="Tablebody"/>
              <w:cnfStyle w:val="000000100000" w:firstRow="0" w:lastRow="0" w:firstColumn="0" w:lastColumn="0" w:oddVBand="0" w:evenVBand="0" w:oddHBand="1" w:evenHBand="0" w:firstRowFirstColumn="0" w:firstRowLastColumn="0" w:lastRowFirstColumn="0" w:lastRowLastColumn="0"/>
            </w:pPr>
            <w:r w:rsidRPr="007830B3">
              <w:t>Examples of Commonwealth crimes (report to AFP):</w:t>
            </w:r>
          </w:p>
          <w:p w14:paraId="7348E3A1" w14:textId="77777777" w:rsidR="00E303C1" w:rsidRPr="007830B3" w:rsidRDefault="00E303C1" w:rsidP="00E303C1">
            <w:pPr>
              <w:pStyle w:val="Tablebodybullet1"/>
              <w:numPr>
                <w:ilvl w:val="0"/>
                <w:numId w:val="361"/>
              </w:numPr>
              <w:ind w:left="720"/>
              <w:cnfStyle w:val="000000100000" w:firstRow="0" w:lastRow="0" w:firstColumn="0" w:lastColumn="0" w:oddVBand="0" w:evenVBand="0" w:oddHBand="1" w:evenHBand="0" w:firstRowFirstColumn="0" w:firstRowLastColumn="0" w:lastRowFirstColumn="0" w:lastRowLastColumn="0"/>
            </w:pPr>
            <w:r w:rsidRPr="007830B3">
              <w:t>theft from the Commonwealth government</w:t>
            </w:r>
          </w:p>
          <w:p w14:paraId="4E519A76" w14:textId="77777777" w:rsidR="00E303C1" w:rsidRPr="007830B3" w:rsidRDefault="00E303C1" w:rsidP="00E303C1">
            <w:pPr>
              <w:pStyle w:val="Tablebodybullet1"/>
              <w:numPr>
                <w:ilvl w:val="0"/>
                <w:numId w:val="361"/>
              </w:numPr>
              <w:ind w:left="720"/>
              <w:cnfStyle w:val="000000100000" w:firstRow="0" w:lastRow="0" w:firstColumn="0" w:lastColumn="0" w:oddVBand="0" w:evenVBand="0" w:oddHBand="1" w:evenHBand="0" w:firstRowFirstColumn="0" w:firstRowLastColumn="0" w:lastRowFirstColumn="0" w:lastRowLastColumn="0"/>
            </w:pPr>
            <w:r w:rsidRPr="007830B3">
              <w:t>assault on a Commonwealth official</w:t>
            </w:r>
          </w:p>
          <w:p w14:paraId="2B9F8E30" w14:textId="77777777" w:rsidR="00E303C1" w:rsidRPr="007830B3" w:rsidRDefault="00E303C1" w:rsidP="00E303C1">
            <w:pPr>
              <w:pStyle w:val="Tablebodybullet1"/>
              <w:numPr>
                <w:ilvl w:val="0"/>
                <w:numId w:val="361"/>
              </w:numPr>
              <w:spacing w:after="120"/>
              <w:ind w:left="720"/>
              <w:cnfStyle w:val="000000100000" w:firstRow="0" w:lastRow="0" w:firstColumn="0" w:lastColumn="0" w:oddVBand="0" w:evenVBand="0" w:oddHBand="1" w:evenHBand="0" w:firstRowFirstColumn="0" w:firstRowLastColumn="0" w:lastRowFirstColumn="0" w:lastRowLastColumn="0"/>
            </w:pPr>
            <w:r w:rsidRPr="007830B3">
              <w:t>threats against a Commonwealth official.</w:t>
            </w:r>
          </w:p>
          <w:p w14:paraId="231EA1CE" w14:textId="77777777" w:rsidR="00E303C1" w:rsidRPr="007830B3" w:rsidRDefault="00E303C1" w:rsidP="00E303C1">
            <w:pPr>
              <w:pStyle w:val="Tablebody"/>
              <w:cnfStyle w:val="000000100000" w:firstRow="0" w:lastRow="0" w:firstColumn="0" w:lastColumn="0" w:oddVBand="0" w:evenVBand="0" w:oddHBand="1" w:evenHBand="0" w:firstRowFirstColumn="0" w:firstRowLastColumn="0" w:lastRowFirstColumn="0" w:lastRowLastColumn="0"/>
            </w:pPr>
            <w:r w:rsidRPr="007830B3">
              <w:t>Examples of state and territory crimes (report to local police)</w:t>
            </w:r>
          </w:p>
          <w:p w14:paraId="6932118F" w14:textId="77777777" w:rsidR="00E303C1" w:rsidRPr="007830B3" w:rsidRDefault="00E303C1" w:rsidP="00E303C1">
            <w:pPr>
              <w:pStyle w:val="Tablebodybullet1"/>
              <w:numPr>
                <w:ilvl w:val="0"/>
                <w:numId w:val="362"/>
              </w:numPr>
              <w:ind w:left="720"/>
              <w:cnfStyle w:val="000000100000" w:firstRow="0" w:lastRow="0" w:firstColumn="0" w:lastColumn="0" w:oddVBand="0" w:evenVBand="0" w:oddHBand="1" w:evenHBand="0" w:firstRowFirstColumn="0" w:firstRowLastColumn="0" w:lastRowFirstColumn="0" w:lastRowLastColumn="0"/>
            </w:pPr>
            <w:r w:rsidRPr="007830B3">
              <w:t>cybercrime – including online fraud, such as eBay and internet scams</w:t>
            </w:r>
          </w:p>
          <w:p w14:paraId="40D87DDB" w14:textId="77777777" w:rsidR="00E303C1" w:rsidRPr="007830B3" w:rsidRDefault="00E303C1" w:rsidP="00E303C1">
            <w:pPr>
              <w:pStyle w:val="Tablebodybullet1"/>
              <w:numPr>
                <w:ilvl w:val="0"/>
                <w:numId w:val="362"/>
              </w:numPr>
              <w:ind w:left="720"/>
              <w:cnfStyle w:val="000000100000" w:firstRow="0" w:lastRow="0" w:firstColumn="0" w:lastColumn="0" w:oddVBand="0" w:evenVBand="0" w:oddHBand="1" w:evenHBand="0" w:firstRowFirstColumn="0" w:firstRowLastColumn="0" w:lastRowFirstColumn="0" w:lastRowLastColumn="0"/>
            </w:pPr>
            <w:r w:rsidRPr="007830B3">
              <w:t>stalking – including online stalking</w:t>
            </w:r>
          </w:p>
          <w:p w14:paraId="4C610B68" w14:textId="77777777" w:rsidR="00E303C1" w:rsidRDefault="00E303C1" w:rsidP="00E303C1">
            <w:pPr>
              <w:pStyle w:val="Tablebodybullet1"/>
              <w:numPr>
                <w:ilvl w:val="0"/>
                <w:numId w:val="362"/>
              </w:numPr>
              <w:ind w:left="720"/>
              <w:cnfStyle w:val="000000100000" w:firstRow="0" w:lastRow="0" w:firstColumn="0" w:lastColumn="0" w:oddVBand="0" w:evenVBand="0" w:oddHBand="1" w:evenHBand="0" w:firstRowFirstColumn="0" w:firstRowLastColumn="0" w:lastRowFirstColumn="0" w:lastRowLastColumn="0"/>
            </w:pPr>
            <w:r w:rsidRPr="007830B3">
              <w:t>threats – including threats by phone, email, social networking sites, forums etc.</w:t>
            </w:r>
          </w:p>
        </w:tc>
        <w:tc>
          <w:tcPr>
            <w:tcW w:w="1317" w:type="pct"/>
          </w:tcPr>
          <w:p w14:paraId="41FF6E3F" w14:textId="77777777" w:rsidR="00E303C1"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rsidRPr="00593AC2">
              <w:rPr>
                <w:b/>
              </w:rPr>
              <w:t>AFP</w:t>
            </w:r>
            <w:r w:rsidRPr="0069557D">
              <w:t xml:space="preserve"> for Commonwealth crimes</w:t>
            </w:r>
          </w:p>
          <w:p w14:paraId="7F353C14" w14:textId="77777777" w:rsidR="00E303C1" w:rsidRPr="0069557D" w:rsidRDefault="00E303C1" w:rsidP="00E303C1">
            <w:pPr>
              <w:pStyle w:val="Tablebody"/>
              <w:spacing w:after="60"/>
              <w:cnfStyle w:val="000000100000" w:firstRow="0" w:lastRow="0" w:firstColumn="0" w:lastColumn="0" w:oddVBand="0" w:evenVBand="0" w:oddHBand="1" w:evenHBand="0" w:firstRowFirstColumn="0" w:firstRowLastColumn="0" w:lastRowFirstColumn="0" w:lastRowLastColumn="0"/>
            </w:pPr>
            <w:r w:rsidRPr="0069557D">
              <w:t xml:space="preserve">Internet: </w:t>
            </w:r>
            <w:hyperlink r:id="rId47" w:history="1">
              <w:r w:rsidRPr="0069557D">
                <w:rPr>
                  <w:rStyle w:val="Hyperlink"/>
                </w:rPr>
                <w:t>https://www.afp.gov.au</w:t>
              </w:r>
            </w:hyperlink>
          </w:p>
          <w:p w14:paraId="384EB943" w14:textId="77777777" w:rsidR="00E303C1" w:rsidRPr="0069557D"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rsidRPr="0069557D">
              <w:t>Phone: 02 6131 3000</w:t>
            </w:r>
          </w:p>
          <w:p w14:paraId="3F260BB1" w14:textId="77777777" w:rsidR="00E303C1" w:rsidRPr="0069557D"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rsidRPr="00593AC2">
              <w:rPr>
                <w:b/>
              </w:rPr>
              <w:t>Local police</w:t>
            </w:r>
            <w:r w:rsidRPr="0069557D">
              <w:t xml:space="preserve"> for state or territory crimes </w:t>
            </w:r>
          </w:p>
          <w:p w14:paraId="319B62AA" w14:textId="77777777" w:rsidR="00E303C1" w:rsidRPr="0069557D" w:rsidRDefault="00E303C1" w:rsidP="00E303C1">
            <w:pPr>
              <w:pStyle w:val="Tablebody"/>
              <w:spacing w:after="120"/>
              <w:cnfStyle w:val="000000100000" w:firstRow="0" w:lastRow="0" w:firstColumn="0" w:lastColumn="0" w:oddVBand="0" w:evenVBand="0" w:oddHBand="1" w:evenHBand="0" w:firstRowFirstColumn="0" w:firstRowLastColumn="0" w:lastRowFirstColumn="0" w:lastRowLastColumn="0"/>
            </w:pPr>
            <w:r w:rsidRPr="0069557D">
              <w:t>Phone: 13 14 44</w:t>
            </w:r>
          </w:p>
          <w:p w14:paraId="3124D3AC" w14:textId="77777777" w:rsidR="00E303C1" w:rsidRPr="0069557D" w:rsidRDefault="00E303C1" w:rsidP="00E303C1">
            <w:pPr>
              <w:pStyle w:val="Tablebody"/>
              <w:cnfStyle w:val="000000100000" w:firstRow="0" w:lastRow="0" w:firstColumn="0" w:lastColumn="0" w:oddVBand="0" w:evenVBand="0" w:oddHBand="1" w:evenHBand="0" w:firstRowFirstColumn="0" w:firstRowLastColumn="0" w:lastRowFirstColumn="0" w:lastRowLastColumn="0"/>
            </w:pPr>
            <w:r w:rsidRPr="00593AC2">
              <w:rPr>
                <w:b/>
              </w:rPr>
              <w:t>Crime Stoppers</w:t>
            </w:r>
            <w:r w:rsidRPr="0069557D">
              <w:t xml:space="preserve"> to anonymously provide information about a crime </w:t>
            </w:r>
          </w:p>
          <w:p w14:paraId="6CD94500" w14:textId="77777777" w:rsidR="00E303C1" w:rsidRPr="00BF76DE" w:rsidRDefault="00E303C1" w:rsidP="00E303C1">
            <w:pPr>
              <w:pStyle w:val="Tablebody"/>
              <w:cnfStyle w:val="000000100000" w:firstRow="0" w:lastRow="0" w:firstColumn="0" w:lastColumn="0" w:oddVBand="0" w:evenVBand="0" w:oddHBand="1" w:evenHBand="0" w:firstRowFirstColumn="0" w:firstRowLastColumn="0" w:lastRowFirstColumn="0" w:lastRowLastColumn="0"/>
            </w:pPr>
            <w:r w:rsidRPr="0069557D">
              <w:t>Phone: 1800 333 000</w:t>
            </w:r>
          </w:p>
        </w:tc>
      </w:tr>
      <w:tr w:rsidR="00E303C1" w:rsidRPr="00BF76DE" w14:paraId="69800F09" w14:textId="77777777" w:rsidTr="00E303C1">
        <w:trPr>
          <w:cantSplit/>
        </w:trPr>
        <w:tc>
          <w:tcPr>
            <w:cnfStyle w:val="001000000000" w:firstRow="0" w:lastRow="0" w:firstColumn="1" w:lastColumn="0" w:oddVBand="0" w:evenVBand="0" w:oddHBand="0" w:evenHBand="0" w:firstRowFirstColumn="0" w:firstRowLastColumn="0" w:lastRowFirstColumn="0" w:lastRowLastColumn="0"/>
            <w:tcW w:w="643" w:type="pct"/>
          </w:tcPr>
          <w:p w14:paraId="317C0182" w14:textId="77777777" w:rsidR="00E303C1" w:rsidRDefault="00E303C1" w:rsidP="00E303C1">
            <w:pPr>
              <w:pStyle w:val="Tablebody"/>
              <w:rPr>
                <w:rStyle w:val="Strong"/>
                <w:b/>
                <w:bCs/>
              </w:rPr>
            </w:pPr>
            <w:r>
              <w:rPr>
                <w:rStyle w:val="Strong"/>
                <w:b/>
                <w:bCs/>
              </w:rPr>
              <w:lastRenderedPageBreak/>
              <w:t>Critical incidents involving public safety</w:t>
            </w:r>
          </w:p>
        </w:tc>
        <w:tc>
          <w:tcPr>
            <w:tcW w:w="3040" w:type="pct"/>
          </w:tcPr>
          <w:p w14:paraId="7D52A1CD" w14:textId="77777777" w:rsidR="00E303C1" w:rsidRPr="00341E49"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341E49">
              <w:rPr>
                <w:b/>
              </w:rPr>
              <w:t>For critical incidents requiring immediate response, in particular where lives are at risk, call emergency services on triple zero (000).</w:t>
            </w:r>
          </w:p>
          <w:p w14:paraId="661643E9" w14:textId="77777777" w:rsidR="00E303C1" w:rsidRPr="00585FD6" w:rsidRDefault="00E303C1" w:rsidP="00E303C1">
            <w:pPr>
              <w:pStyle w:val="Tablebody"/>
              <w:cnfStyle w:val="000000000000" w:firstRow="0" w:lastRow="0" w:firstColumn="0" w:lastColumn="0" w:oddVBand="0" w:evenVBand="0" w:oddHBand="0" w:evenHBand="0" w:firstRowFirstColumn="0" w:firstRowLastColumn="0" w:lastRowFirstColumn="0" w:lastRowLastColumn="0"/>
            </w:pPr>
            <w:r>
              <w:t>Report any c</w:t>
            </w:r>
            <w:r w:rsidRPr="00585FD6">
              <w:t>ritical incidents</w:t>
            </w:r>
            <w:r>
              <w:t xml:space="preserve"> that</w:t>
            </w:r>
            <w:r w:rsidRPr="00585FD6">
              <w:t xml:space="preserve"> may affect public safety and require a coordinated response in support of the Australian Government and/or state and territory governments relating to:</w:t>
            </w:r>
          </w:p>
          <w:p w14:paraId="7F382705"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assault, including armed or military style assault</w:t>
            </w:r>
          </w:p>
          <w:p w14:paraId="283DE1CE"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arson, including suspected arson</w:t>
            </w:r>
          </w:p>
          <w:p w14:paraId="690C6065"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assassination, including suspected assassination</w:t>
            </w:r>
          </w:p>
          <w:p w14:paraId="1ADAE440"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bombing, including suspected use of explosive ordnance or improvised explosive devices</w:t>
            </w:r>
          </w:p>
          <w:p w14:paraId="5A7331C2"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chemical, biological or radiological attack, including suspected attack</w:t>
            </w:r>
            <w:r>
              <w:t>s</w:t>
            </w:r>
          </w:p>
          <w:p w14:paraId="1048B666"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 xml:space="preserve">attack on the National Information Infrastructure or critical infrastructure </w:t>
            </w:r>
          </w:p>
          <w:p w14:paraId="508A0F24"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violent demonstration involving serious disruption of public order</w:t>
            </w:r>
          </w:p>
          <w:p w14:paraId="5B73B8BC"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hijacking, including suspected hijacking</w:t>
            </w:r>
          </w:p>
          <w:p w14:paraId="0182EA47"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hostage situation, including suspected hostage situation</w:t>
            </w:r>
          </w:p>
          <w:p w14:paraId="16626170"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kidnapping, including suspected kidnapping</w:t>
            </w:r>
          </w:p>
          <w:p w14:paraId="5740CFA4" w14:textId="77777777" w:rsidR="00E303C1" w:rsidRPr="00585FD6"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mail bomb, including suspected mail bomb</w:t>
            </w:r>
          </w:p>
          <w:p w14:paraId="6C6AB6A2" w14:textId="77777777" w:rsidR="00E303C1" w:rsidRDefault="00E303C1" w:rsidP="00E303C1">
            <w:pPr>
              <w:pStyle w:val="Tablebodybullet1"/>
              <w:numPr>
                <w:ilvl w:val="0"/>
                <w:numId w:val="363"/>
              </w:numPr>
              <w:ind w:left="720"/>
              <w:cnfStyle w:val="000000000000" w:firstRow="0" w:lastRow="0" w:firstColumn="0" w:lastColumn="0" w:oddVBand="0" w:evenVBand="0" w:oddHBand="0" w:evenHBand="0" w:firstRowFirstColumn="0" w:firstRowLastColumn="0" w:lastRowFirstColumn="0" w:lastRowLastColumn="0"/>
            </w:pPr>
            <w:r w:rsidRPr="00585FD6">
              <w:t>white powder incident, including real or significant hoax incidents.</w:t>
            </w:r>
          </w:p>
        </w:tc>
        <w:tc>
          <w:tcPr>
            <w:tcW w:w="1317" w:type="pct"/>
          </w:tcPr>
          <w:p w14:paraId="54ED4429" w14:textId="77777777" w:rsidR="00E303C1" w:rsidRPr="00593AC2"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rPr>
                <w:b/>
              </w:rPr>
            </w:pPr>
            <w:r w:rsidRPr="00593AC2">
              <w:rPr>
                <w:b/>
              </w:rPr>
              <w:t>Australian Government Crisis Coordination Centre</w:t>
            </w:r>
          </w:p>
          <w:p w14:paraId="2D5CB489" w14:textId="77777777" w:rsidR="00E303C1" w:rsidRDefault="00E303C1" w:rsidP="00E303C1">
            <w:pPr>
              <w:pStyle w:val="Tablebody"/>
              <w:spacing w:after="60"/>
              <w:cnfStyle w:val="000000000000" w:firstRow="0" w:lastRow="0" w:firstColumn="0" w:lastColumn="0" w:oddVBand="0" w:evenVBand="0" w:oddHBand="0" w:evenHBand="0" w:firstRowFirstColumn="0" w:firstRowLastColumn="0" w:lastRowFirstColumn="0" w:lastRowLastColumn="0"/>
            </w:pPr>
            <w:r w:rsidRPr="00585FD6">
              <w:t xml:space="preserve">Email: </w:t>
            </w:r>
            <w:hyperlink r:id="rId48" w:history="1">
              <w:r w:rsidRPr="00585FD6">
                <w:rPr>
                  <w:rStyle w:val="Hyperlink"/>
                </w:rPr>
                <w:t>hotline@nationalsecurity.gov.au</w:t>
              </w:r>
            </w:hyperlink>
          </w:p>
          <w:p w14:paraId="5886A4DD" w14:textId="77777777" w:rsidR="00E303C1" w:rsidRDefault="00E303C1" w:rsidP="00E303C1">
            <w:pPr>
              <w:pStyle w:val="Tablebody"/>
              <w:spacing w:after="60"/>
              <w:cnfStyle w:val="000000000000" w:firstRow="0" w:lastRow="0" w:firstColumn="0" w:lastColumn="0" w:oddVBand="0" w:evenVBand="0" w:oddHBand="0" w:evenHBand="0" w:firstRowFirstColumn="0" w:firstRowLastColumn="0" w:lastRowFirstColumn="0" w:lastRowLastColumn="0"/>
            </w:pPr>
            <w:r>
              <w:t>Internet</w:t>
            </w:r>
            <w:r w:rsidRPr="00585FD6">
              <w:t xml:space="preserve">: </w:t>
            </w:r>
            <w:hyperlink r:id="rId49" w:history="1">
              <w:r w:rsidRPr="00585FD6">
                <w:rPr>
                  <w:rStyle w:val="Hyperlink"/>
                </w:rPr>
                <w:t>National Security Hotline</w:t>
              </w:r>
            </w:hyperlink>
          </w:p>
          <w:p w14:paraId="406F9BDC" w14:textId="77777777" w:rsidR="00E303C1" w:rsidRDefault="00E303C1" w:rsidP="00E303C1">
            <w:pPr>
              <w:pStyle w:val="Tablebody"/>
              <w:spacing w:after="120"/>
              <w:cnfStyle w:val="000000000000" w:firstRow="0" w:lastRow="0" w:firstColumn="0" w:lastColumn="0" w:oddVBand="0" w:evenVBand="0" w:oddHBand="0" w:evenHBand="0" w:firstRowFirstColumn="0" w:firstRowLastColumn="0" w:lastRowFirstColumn="0" w:lastRowLastColumn="0"/>
            </w:pPr>
            <w:r w:rsidRPr="00585FD6">
              <w:t>Phone: 1800 123 400</w:t>
            </w:r>
          </w:p>
          <w:p w14:paraId="14BB1E24" w14:textId="77777777" w:rsidR="00E303C1" w:rsidRPr="00BF76DE" w:rsidRDefault="00E303C1" w:rsidP="00E303C1">
            <w:pPr>
              <w:pStyle w:val="Tablebody"/>
              <w:cnfStyle w:val="000000000000" w:firstRow="0" w:lastRow="0" w:firstColumn="0" w:lastColumn="0" w:oddVBand="0" w:evenVBand="0" w:oddHBand="0" w:evenHBand="0" w:firstRowFirstColumn="0" w:firstRowLastColumn="0" w:lastRowFirstColumn="0" w:lastRowLastColumn="0"/>
            </w:pPr>
            <w:r w:rsidRPr="00585FD6">
              <w:t xml:space="preserve">The </w:t>
            </w:r>
            <w:r w:rsidRPr="00FD31A6">
              <w:t>Crisis Coordination Centre</w:t>
            </w:r>
            <w:r w:rsidRPr="00585FD6">
              <w:t xml:space="preserve"> will advise the AFP, ASIO, local police and/or other entities as appropriate.</w:t>
            </w:r>
          </w:p>
        </w:tc>
      </w:tr>
    </w:tbl>
    <w:p w14:paraId="759F683D" w14:textId="3DB4F262" w:rsidR="0019550C" w:rsidRDefault="0019550C" w:rsidP="00BC32FC">
      <w:pPr>
        <w:pStyle w:val="Listbullet1"/>
        <w:numPr>
          <w:ilvl w:val="0"/>
          <w:numId w:val="0"/>
        </w:numPr>
        <w:ind w:left="340"/>
      </w:pPr>
    </w:p>
    <w:p w14:paraId="2A5161F0" w14:textId="77777777" w:rsidR="0019550C" w:rsidRPr="0019550C" w:rsidRDefault="0019550C" w:rsidP="0019550C"/>
    <w:p w14:paraId="63868B6F" w14:textId="77777777" w:rsidR="0019550C" w:rsidRPr="0019550C" w:rsidRDefault="0019550C" w:rsidP="0019550C"/>
    <w:p w14:paraId="08613329" w14:textId="77777777" w:rsidR="0019550C" w:rsidRPr="0019550C" w:rsidRDefault="0019550C" w:rsidP="0019550C"/>
    <w:p w14:paraId="20017C70" w14:textId="77777777" w:rsidR="0019550C" w:rsidRPr="0019550C" w:rsidRDefault="0019550C" w:rsidP="0019550C"/>
    <w:p w14:paraId="14D30ED1" w14:textId="77777777" w:rsidR="0019550C" w:rsidRPr="0019550C" w:rsidRDefault="0019550C" w:rsidP="0019550C"/>
    <w:p w14:paraId="237626F7" w14:textId="77777777" w:rsidR="0019550C" w:rsidRPr="0019550C" w:rsidRDefault="0019550C" w:rsidP="0019550C"/>
    <w:p w14:paraId="4DE2DD17" w14:textId="77777777" w:rsidR="0019550C" w:rsidRPr="0019550C" w:rsidRDefault="0019550C" w:rsidP="0019550C"/>
    <w:p w14:paraId="651A139B" w14:textId="77777777" w:rsidR="0019550C" w:rsidRPr="0019550C" w:rsidRDefault="0019550C" w:rsidP="0019550C"/>
    <w:p w14:paraId="24BC0367" w14:textId="77777777" w:rsidR="0019550C" w:rsidRPr="0019550C" w:rsidRDefault="0019550C" w:rsidP="0019550C"/>
    <w:p w14:paraId="61C36A4C" w14:textId="5BDB5BE9" w:rsidR="0019550C" w:rsidRDefault="0019550C" w:rsidP="0019550C"/>
    <w:p w14:paraId="0961DD27" w14:textId="0A6DDD0A" w:rsidR="0019550C" w:rsidRDefault="0019550C" w:rsidP="0019550C"/>
    <w:p w14:paraId="33C58121" w14:textId="77777777" w:rsidR="00C42142" w:rsidRPr="0019550C" w:rsidRDefault="00C42142" w:rsidP="0019550C">
      <w:pPr>
        <w:sectPr w:rsidR="00C42142" w:rsidRPr="0019550C" w:rsidSect="00C42142">
          <w:headerReference w:type="default" r:id="rId50"/>
          <w:footerReference w:type="default" r:id="rId51"/>
          <w:headerReference w:type="first" r:id="rId52"/>
          <w:pgSz w:w="16838" w:h="11906" w:orient="landscape" w:code="9"/>
          <w:pgMar w:top="720" w:right="412" w:bottom="720" w:left="720" w:header="284" w:footer="284" w:gutter="0"/>
          <w:cols w:space="708"/>
          <w:docGrid w:linePitch="360"/>
        </w:sectPr>
      </w:pPr>
    </w:p>
    <w:p w14:paraId="48A41426" w14:textId="77777777" w:rsidR="001F1CCB" w:rsidRPr="00AD18EF" w:rsidRDefault="001F1CCB" w:rsidP="001F1CCB">
      <w:pPr>
        <w:pStyle w:val="Listbullet1"/>
        <w:rPr>
          <w:lang w:val="en"/>
        </w:rPr>
      </w:pPr>
      <w:r>
        <w:rPr>
          <w:lang w:val="en"/>
        </w:rPr>
        <w:lastRenderedPageBreak/>
        <w:t>To</w:t>
      </w:r>
      <w:r w:rsidRPr="00F36CA7">
        <w:rPr>
          <w:lang w:val="en"/>
        </w:rPr>
        <w:t xml:space="preserve"> avoid inadvertently compromising an </w:t>
      </w:r>
      <w:r>
        <w:rPr>
          <w:lang w:val="en"/>
        </w:rPr>
        <w:t xml:space="preserve">open security </w:t>
      </w:r>
      <w:r w:rsidRPr="00F36CA7">
        <w:rPr>
          <w:lang w:val="en"/>
        </w:rPr>
        <w:t xml:space="preserve">investigation entities are encouraged to contact </w:t>
      </w:r>
      <w:r>
        <w:rPr>
          <w:lang w:val="en"/>
        </w:rPr>
        <w:t>the relevant lead security authority or affected entity as</w:t>
      </w:r>
      <w:r w:rsidRPr="00F36CA7">
        <w:rPr>
          <w:lang w:val="en"/>
        </w:rPr>
        <w:t xml:space="preserve"> early as possible</w:t>
      </w:r>
      <w:r>
        <w:rPr>
          <w:lang w:val="en"/>
        </w:rPr>
        <w:t xml:space="preserve"> about the incident.</w:t>
      </w:r>
    </w:p>
    <w:p w14:paraId="59A5C9A6" w14:textId="15292DA2" w:rsidR="001F1CCB" w:rsidRPr="000C7534" w:rsidRDefault="001F1CCB" w:rsidP="001F1CCB">
      <w:pPr>
        <w:pStyle w:val="Listbullet1"/>
      </w:pPr>
      <w:r w:rsidRPr="000C7534">
        <w:t xml:space="preserve">For further information on CSO’s responsibilities in making decisions on investigating, responding to and reporting on security incidents, see PSPF policy: </w:t>
      </w:r>
      <w:hyperlink r:id="rId53" w:history="1">
        <w:r w:rsidRPr="000C7534">
          <w:rPr>
            <w:rStyle w:val="Hyperlink"/>
            <w:lang w:val="en"/>
          </w:rPr>
          <w:t>Management structures and responsibilities</w:t>
        </w:r>
      </w:hyperlink>
      <w:r w:rsidRPr="000C7534">
        <w:rPr>
          <w:lang w:val="en"/>
        </w:rPr>
        <w:t>.</w:t>
      </w:r>
      <w:r>
        <w:rPr>
          <w:lang w:val="en" w:eastAsia="en-AU"/>
        </w:rPr>
        <w:t xml:space="preserve"> </w:t>
      </w:r>
    </w:p>
    <w:p w14:paraId="26370D2C" w14:textId="77777777" w:rsidR="00FF18D4" w:rsidRDefault="00FF18D4" w:rsidP="00295994">
      <w:pPr>
        <w:pStyle w:val="Heading3"/>
      </w:pPr>
      <w:r>
        <w:t>Reporting to the Australian Signals Directorate on cyber security matters</w:t>
      </w:r>
    </w:p>
    <w:p w14:paraId="290107C2" w14:textId="77EBFE9E" w:rsidR="00FF18D4" w:rsidRDefault="00FF18D4" w:rsidP="009B4F82">
      <w:pPr>
        <w:pStyle w:val="Listbullet1"/>
      </w:pPr>
      <w:r w:rsidRPr="00AB6319">
        <w:t xml:space="preserve">The core requirement mandates entities must </w:t>
      </w:r>
      <w:r w:rsidRPr="00A3129A">
        <w:t>report</w:t>
      </w:r>
      <w:r>
        <w:t xml:space="preserve"> on cyber security matters to </w:t>
      </w:r>
      <w:r w:rsidR="006311CC">
        <w:t xml:space="preserve">the </w:t>
      </w:r>
      <w:r w:rsidR="00AE7601">
        <w:t>Australian Signals Directorate</w:t>
      </w:r>
      <w:r>
        <w:t xml:space="preserve"> each financial year. To meet this requirement, entities </w:t>
      </w:r>
      <w:r w:rsidR="00AE7601">
        <w:t xml:space="preserve">are required to </w:t>
      </w:r>
      <w:r>
        <w:t xml:space="preserve">complete the </w:t>
      </w:r>
      <w:r w:rsidRPr="001B1B3A">
        <w:t xml:space="preserve">annual </w:t>
      </w:r>
      <w:r w:rsidR="00172B0E" w:rsidRPr="005044AC">
        <w:rPr>
          <w:lang w:val="en"/>
        </w:rPr>
        <w:t xml:space="preserve">ACSC Cyber Security </w:t>
      </w:r>
      <w:r w:rsidRPr="001B1B3A">
        <w:t>survey</w:t>
      </w:r>
      <w:r w:rsidR="002E2CCD">
        <w:t>,</w:t>
      </w:r>
      <w:r>
        <w:t xml:space="preserve"> distributed by </w:t>
      </w:r>
      <w:r w:rsidR="00AE7601">
        <w:t xml:space="preserve">the </w:t>
      </w:r>
      <w:r w:rsidR="00AE7601" w:rsidRPr="00AE7601">
        <w:t>Australian Signals Directorate</w:t>
      </w:r>
      <w:r>
        <w:t xml:space="preserve"> </w:t>
      </w:r>
      <w:r w:rsidRPr="001B1B3A">
        <w:t xml:space="preserve">to all </w:t>
      </w:r>
      <w:r>
        <w:t>g</w:t>
      </w:r>
      <w:r w:rsidRPr="001B1B3A">
        <w:t>overnment entities</w:t>
      </w:r>
      <w:r w:rsidR="002E2CCD">
        <w:t>,</w:t>
      </w:r>
      <w:r w:rsidRPr="001B1B3A">
        <w:t xml:space="preserve"> to </w:t>
      </w:r>
      <w:r w:rsidR="008412D4">
        <w:t>assess</w:t>
      </w:r>
      <w:r w:rsidRPr="001B1B3A">
        <w:t xml:space="preserve"> their cyber</w:t>
      </w:r>
      <w:r>
        <w:t xml:space="preserve"> </w:t>
      </w:r>
      <w:r w:rsidRPr="001B1B3A">
        <w:t>security posture</w:t>
      </w:r>
      <w:r>
        <w:t xml:space="preserve">. </w:t>
      </w:r>
    </w:p>
    <w:p w14:paraId="27936EDA" w14:textId="6B91E678" w:rsidR="00FF18D4" w:rsidRDefault="00FF18D4" w:rsidP="009B4F82">
      <w:pPr>
        <w:pStyle w:val="Listbullet1"/>
      </w:pPr>
      <w:r>
        <w:t xml:space="preserve">The </w:t>
      </w:r>
      <w:r w:rsidRPr="00B61A11">
        <w:t xml:space="preserve">PSPF </w:t>
      </w:r>
      <w:r w:rsidR="002E2CCD">
        <w:t>assessment</w:t>
      </w:r>
      <w:r w:rsidRPr="00B61A11">
        <w:t xml:space="preserve"> report </w:t>
      </w:r>
      <w:r w:rsidR="002E2CCD">
        <w:t xml:space="preserve">summary module </w:t>
      </w:r>
      <w:r>
        <w:t>requests</w:t>
      </w:r>
      <w:r>
        <w:rPr>
          <w:b/>
        </w:rPr>
        <w:t xml:space="preserve"> </w:t>
      </w:r>
      <w:r>
        <w:t xml:space="preserve">entities confirm submission of the annual </w:t>
      </w:r>
      <w:r w:rsidR="00AE7601">
        <w:t xml:space="preserve">cyber security </w:t>
      </w:r>
      <w:r>
        <w:t xml:space="preserve">survey to </w:t>
      </w:r>
      <w:r w:rsidR="00AE7601">
        <w:t>the Australian Signals Directorate</w:t>
      </w:r>
      <w:r w:rsidR="00AE7601">
        <w:rPr>
          <w:b/>
        </w:rPr>
        <w:t xml:space="preserve">. </w:t>
      </w:r>
      <w:r w:rsidR="00AE7601">
        <w:t xml:space="preserve">Where an entity has not completed the survey they are required to provide </w:t>
      </w:r>
      <w:r w:rsidR="001777C9">
        <w:t>commentary</w:t>
      </w:r>
      <w:r w:rsidR="001777C9" w:rsidRPr="000C7534">
        <w:t>.</w:t>
      </w:r>
    </w:p>
    <w:p w14:paraId="6D43468C" w14:textId="20D3A39E" w:rsidR="008546A9" w:rsidRDefault="008546A9" w:rsidP="008546A9">
      <w:pPr>
        <w:pStyle w:val="Heading3"/>
      </w:pPr>
      <w:r>
        <w:t>Use of PSPF reporting data</w:t>
      </w:r>
    </w:p>
    <w:p w14:paraId="1217B83F" w14:textId="77777777" w:rsidR="008546A9" w:rsidRPr="00BB650C" w:rsidRDefault="008546A9" w:rsidP="009B4F82">
      <w:pPr>
        <w:pStyle w:val="Listbullet1"/>
      </w:pPr>
      <w:r w:rsidRPr="00BB650C">
        <w:t xml:space="preserve">The Attorney-General’s Department consolidates </w:t>
      </w:r>
      <w:r>
        <w:t xml:space="preserve">all reporting </w:t>
      </w:r>
      <w:r w:rsidRPr="00BB650C">
        <w:t>entity</w:t>
      </w:r>
      <w:r>
        <w:t>’s</w:t>
      </w:r>
      <w:r w:rsidRPr="00BB650C">
        <w:t xml:space="preserve"> data into an aggregated annual security report for the Attorney-General and provides the report</w:t>
      </w:r>
      <w:r>
        <w:t xml:space="preserve"> to reporting entities via the PSPF reporting portal</w:t>
      </w:r>
      <w:r w:rsidRPr="00BB650C">
        <w:t>.</w:t>
      </w:r>
    </w:p>
    <w:p w14:paraId="2723D7CD" w14:textId="1EC45DDF" w:rsidR="008546A9" w:rsidRDefault="008546A9" w:rsidP="009B4F82">
      <w:pPr>
        <w:pStyle w:val="Listbullet1"/>
      </w:pPr>
      <w:r>
        <w:t>At the conclusion of the annual PSPF reporting period the Attorney-General’s Department will provide</w:t>
      </w:r>
      <w:r w:rsidR="00C2709A">
        <w:t xml:space="preserve"> </w:t>
      </w:r>
      <w:r>
        <w:t>access to reporting data to the:</w:t>
      </w:r>
    </w:p>
    <w:p w14:paraId="251AA30C" w14:textId="6E51F45F" w:rsidR="008546A9" w:rsidRDefault="008546A9" w:rsidP="00C56172">
      <w:pPr>
        <w:pStyle w:val="Listbullet1"/>
        <w:numPr>
          <w:ilvl w:val="1"/>
          <w:numId w:val="347"/>
        </w:numPr>
      </w:pPr>
      <w:r w:rsidRPr="00A02C1D">
        <w:t>Australian Signals Directorate</w:t>
      </w:r>
    </w:p>
    <w:p w14:paraId="09EDD975" w14:textId="5918E1D6" w:rsidR="008546A9" w:rsidRDefault="008546A9" w:rsidP="00C56172">
      <w:pPr>
        <w:pStyle w:val="Listbullet1"/>
        <w:numPr>
          <w:ilvl w:val="1"/>
          <w:numId w:val="347"/>
        </w:numPr>
      </w:pPr>
      <w:r>
        <w:t>Australian Security Intelligence Organisation</w:t>
      </w:r>
    </w:p>
    <w:p w14:paraId="04BC05AB" w14:textId="77777777" w:rsidR="008546A9" w:rsidRPr="00F84521" w:rsidRDefault="008546A9" w:rsidP="00C56172">
      <w:pPr>
        <w:pStyle w:val="Listbullet1"/>
        <w:numPr>
          <w:ilvl w:val="1"/>
          <w:numId w:val="347"/>
        </w:numPr>
      </w:pPr>
      <w:r>
        <w:t xml:space="preserve">Australian National Audit Office—in line with its responsibilities under the </w:t>
      </w:r>
      <w:hyperlink r:id="rId54" w:history="1">
        <w:r w:rsidRPr="00DC2EEA">
          <w:rPr>
            <w:rStyle w:val="Hyperlink"/>
            <w:i/>
          </w:rPr>
          <w:t>Auditor-General Act 1997</w:t>
        </w:r>
      </w:hyperlink>
      <w:r>
        <w:t xml:space="preserve">. </w:t>
      </w:r>
    </w:p>
    <w:p w14:paraId="2EFB85AC" w14:textId="77777777" w:rsidR="00B95357" w:rsidRDefault="00E127AD" w:rsidP="00B95357">
      <w:pPr>
        <w:pStyle w:val="Heading2"/>
      </w:pPr>
      <w:r>
        <w:t>Find out more</w:t>
      </w:r>
    </w:p>
    <w:p w14:paraId="0243E377" w14:textId="77777777" w:rsidR="0087572E" w:rsidRPr="0087572E" w:rsidRDefault="0087572E" w:rsidP="009B4F82">
      <w:pPr>
        <w:pStyle w:val="Listbullet1"/>
      </w:pPr>
      <w:r w:rsidRPr="0087572E">
        <w:t>Additional information that may assist with reporting on security:</w:t>
      </w:r>
    </w:p>
    <w:p w14:paraId="017A06C1" w14:textId="77777777" w:rsidR="0087572E" w:rsidRPr="00243CEB" w:rsidRDefault="005E5891" w:rsidP="000C7534">
      <w:pPr>
        <w:pStyle w:val="Listbullet1"/>
        <w:numPr>
          <w:ilvl w:val="1"/>
          <w:numId w:val="347"/>
        </w:numPr>
      </w:pPr>
      <w:hyperlink r:id="rId55" w:history="1">
        <w:r w:rsidR="0087572E" w:rsidRPr="002A6B4E">
          <w:rPr>
            <w:rStyle w:val="Hyperlink"/>
          </w:rPr>
          <w:t>ASIO T4 protective security guidance material</w:t>
        </w:r>
      </w:hyperlink>
      <w:r w:rsidR="0087572E">
        <w:t xml:space="preserve"> (available for Australian Government entities on </w:t>
      </w:r>
      <w:hyperlink r:id="rId56" w:history="1">
        <w:proofErr w:type="spellStart"/>
        <w:r w:rsidR="0087572E" w:rsidRPr="002A6B4E">
          <w:rPr>
            <w:rStyle w:val="Hyperlink"/>
          </w:rPr>
          <w:t>Gov</w:t>
        </w:r>
        <w:r w:rsidR="009B603E" w:rsidRPr="002A6B4E">
          <w:rPr>
            <w:rStyle w:val="Hyperlink"/>
          </w:rPr>
          <w:t>d</w:t>
        </w:r>
        <w:r w:rsidR="0087572E" w:rsidRPr="002A6B4E">
          <w:rPr>
            <w:rStyle w:val="Hyperlink"/>
          </w:rPr>
          <w:t>ex</w:t>
        </w:r>
        <w:proofErr w:type="spellEnd"/>
      </w:hyperlink>
      <w:r w:rsidR="0087572E">
        <w:t>)</w:t>
      </w:r>
    </w:p>
    <w:p w14:paraId="4161C846" w14:textId="77777777" w:rsidR="0087572E" w:rsidRPr="00F06F90" w:rsidRDefault="005E5891" w:rsidP="000C7534">
      <w:pPr>
        <w:pStyle w:val="Listbullet1"/>
        <w:numPr>
          <w:ilvl w:val="1"/>
          <w:numId w:val="347"/>
        </w:numPr>
      </w:pPr>
      <w:hyperlink r:id="rId57" w:history="1">
        <w:r w:rsidR="002808C3">
          <w:rPr>
            <w:rStyle w:val="Hyperlink"/>
            <w:i/>
            <w:szCs w:val="20"/>
          </w:rPr>
          <w:t>Australian Standard AS/NZS ISO 31000: Risk Management – Principles and guidelines</w:t>
        </w:r>
      </w:hyperlink>
      <w:r w:rsidR="0087572E" w:rsidRPr="00F06F90">
        <w:t xml:space="preserve"> </w:t>
      </w:r>
    </w:p>
    <w:p w14:paraId="5F4CEBB4" w14:textId="77777777" w:rsidR="0087572E" w:rsidRPr="00F06F90" w:rsidRDefault="005E5891" w:rsidP="000C7534">
      <w:pPr>
        <w:pStyle w:val="Listbullet1"/>
        <w:numPr>
          <w:ilvl w:val="1"/>
          <w:numId w:val="347"/>
        </w:numPr>
      </w:pPr>
      <w:hyperlink r:id="rId58" w:history="1">
        <w:r w:rsidR="002808C3">
          <w:rPr>
            <w:rStyle w:val="Hyperlink"/>
            <w:i/>
            <w:szCs w:val="20"/>
          </w:rPr>
          <w:t>Australian Standards HB 167: Security risk management</w:t>
        </w:r>
      </w:hyperlink>
    </w:p>
    <w:p w14:paraId="24FB5406" w14:textId="77777777" w:rsidR="0087572E" w:rsidRPr="00A05E45" w:rsidRDefault="005E5891" w:rsidP="000C7534">
      <w:pPr>
        <w:pStyle w:val="Listbullet1"/>
        <w:numPr>
          <w:ilvl w:val="1"/>
          <w:numId w:val="347"/>
        </w:numPr>
      </w:pPr>
      <w:hyperlink r:id="rId59" w:history="1">
        <w:r w:rsidR="0087572E" w:rsidRPr="00A05E45">
          <w:rPr>
            <w:rStyle w:val="Hyperlink"/>
            <w:szCs w:val="20"/>
          </w:rPr>
          <w:t>Commonwealth Risk Management Policy</w:t>
        </w:r>
      </w:hyperlink>
    </w:p>
    <w:p w14:paraId="58D338C7" w14:textId="77777777" w:rsidR="0087572E" w:rsidRPr="002F25CD" w:rsidRDefault="005E5891" w:rsidP="000C7534">
      <w:pPr>
        <w:pStyle w:val="Listbullet1"/>
        <w:numPr>
          <w:ilvl w:val="1"/>
          <w:numId w:val="347"/>
        </w:numPr>
        <w:rPr>
          <w:rStyle w:val="Hyperlink"/>
          <w:color w:val="auto"/>
          <w:szCs w:val="20"/>
        </w:rPr>
      </w:pPr>
      <w:hyperlink r:id="rId60" w:history="1">
        <w:r w:rsidR="0087572E" w:rsidRPr="00765A68">
          <w:rPr>
            <w:rStyle w:val="Hyperlink"/>
            <w:rFonts w:cstheme="minorHAnsi"/>
            <w:szCs w:val="20"/>
          </w:rPr>
          <w:t xml:space="preserve">Australian Government </w:t>
        </w:r>
        <w:r w:rsidR="0087572E" w:rsidRPr="001D1C39">
          <w:rPr>
            <w:rStyle w:val="Hyperlink"/>
            <w:rFonts w:cstheme="minorHAnsi"/>
            <w:i/>
            <w:szCs w:val="20"/>
          </w:rPr>
          <w:t>Information Security Manual</w:t>
        </w:r>
      </w:hyperlink>
    </w:p>
    <w:p w14:paraId="3A3618E3" w14:textId="77777777" w:rsidR="0087572E" w:rsidRDefault="005E5891" w:rsidP="000C7534">
      <w:pPr>
        <w:pStyle w:val="Listbullet1"/>
        <w:numPr>
          <w:ilvl w:val="1"/>
          <w:numId w:val="347"/>
        </w:numPr>
      </w:pPr>
      <w:hyperlink r:id="rId61" w:history="1">
        <w:r w:rsidR="0087572E" w:rsidRPr="00205D30">
          <w:rPr>
            <w:rStyle w:val="Hyperlink"/>
            <w:rFonts w:cstheme="minorHAnsi"/>
            <w:szCs w:val="20"/>
          </w:rPr>
          <w:t xml:space="preserve">National Archives of Australia </w:t>
        </w:r>
        <w:r w:rsidR="0087572E" w:rsidRPr="00205D30">
          <w:rPr>
            <w:rStyle w:val="Hyperlink"/>
            <w:rFonts w:cstheme="minorHAnsi"/>
            <w:i/>
            <w:szCs w:val="20"/>
          </w:rPr>
          <w:t>Information Management Standard</w:t>
        </w:r>
      </w:hyperlink>
    </w:p>
    <w:p w14:paraId="48659A33" w14:textId="77777777" w:rsidR="0087572E" w:rsidRPr="004F6079" w:rsidRDefault="005E5891" w:rsidP="000C7534">
      <w:pPr>
        <w:pStyle w:val="Listbullet1"/>
        <w:numPr>
          <w:ilvl w:val="1"/>
          <w:numId w:val="347"/>
        </w:numPr>
        <w:rPr>
          <w:rStyle w:val="Hyperlink"/>
          <w:color w:val="auto"/>
          <w:szCs w:val="20"/>
        </w:rPr>
      </w:pPr>
      <w:hyperlink r:id="rId62" w:history="1">
        <w:r w:rsidR="0087572E" w:rsidRPr="00205D30">
          <w:rPr>
            <w:rStyle w:val="Hyperlink"/>
            <w:rFonts w:cstheme="minorHAnsi"/>
            <w:szCs w:val="20"/>
          </w:rPr>
          <w:t xml:space="preserve">National Archives of Australia </w:t>
        </w:r>
        <w:r w:rsidR="0087572E" w:rsidRPr="00205D30">
          <w:rPr>
            <w:rStyle w:val="Hyperlink"/>
            <w:rFonts w:cstheme="minorHAnsi"/>
            <w:i/>
            <w:szCs w:val="20"/>
          </w:rPr>
          <w:t>Digital Continuity 2020 policy</w:t>
        </w:r>
      </w:hyperlink>
    </w:p>
    <w:p w14:paraId="7CD97948" w14:textId="77777777" w:rsidR="0087572E" w:rsidRPr="00DB0548" w:rsidRDefault="005E5891" w:rsidP="000C7534">
      <w:pPr>
        <w:pStyle w:val="Listbullet1"/>
        <w:numPr>
          <w:ilvl w:val="1"/>
          <w:numId w:val="347"/>
        </w:numPr>
        <w:rPr>
          <w:rStyle w:val="Hyperlink"/>
          <w:color w:val="auto"/>
          <w:szCs w:val="20"/>
        </w:rPr>
      </w:pPr>
      <w:hyperlink r:id="rId63" w:history="1">
        <w:r w:rsidR="0087572E" w:rsidRPr="004F6079">
          <w:rPr>
            <w:rStyle w:val="Hyperlink"/>
            <w:rFonts w:cstheme="minorHAnsi"/>
            <w:szCs w:val="20"/>
          </w:rPr>
          <w:t>Essential Eight Maturity Model</w:t>
        </w:r>
      </w:hyperlink>
    </w:p>
    <w:p w14:paraId="3E0EA86E" w14:textId="77777777" w:rsidR="0087572E" w:rsidRPr="00001AB5" w:rsidRDefault="005E5891" w:rsidP="000C7534">
      <w:pPr>
        <w:pStyle w:val="Listbullet1"/>
        <w:numPr>
          <w:ilvl w:val="1"/>
          <w:numId w:val="347"/>
        </w:numPr>
        <w:rPr>
          <w:rStyle w:val="Hyperlink"/>
          <w:color w:val="auto"/>
          <w:szCs w:val="20"/>
        </w:rPr>
      </w:pPr>
      <w:hyperlink r:id="rId64" w:history="1">
        <w:r w:rsidR="0087572E" w:rsidRPr="00205D30">
          <w:rPr>
            <w:rStyle w:val="Hyperlink"/>
            <w:rFonts w:cstheme="minorHAnsi"/>
            <w:szCs w:val="20"/>
          </w:rPr>
          <w:t xml:space="preserve">Office of the Australian Information Commissioner </w:t>
        </w:r>
        <w:r w:rsidR="0087572E" w:rsidRPr="00205D30">
          <w:rPr>
            <w:rStyle w:val="Hyperlink"/>
            <w:rFonts w:cstheme="minorHAnsi"/>
            <w:i/>
            <w:szCs w:val="20"/>
          </w:rPr>
          <w:t>Guide to Securing Personal Information</w:t>
        </w:r>
      </w:hyperlink>
    </w:p>
    <w:p w14:paraId="536065BE" w14:textId="77777777" w:rsidR="0087572E" w:rsidRPr="005C3B2D" w:rsidRDefault="005E5891" w:rsidP="000C7534">
      <w:pPr>
        <w:pStyle w:val="Listbullet1"/>
        <w:numPr>
          <w:ilvl w:val="1"/>
          <w:numId w:val="347"/>
        </w:numPr>
        <w:rPr>
          <w:rStyle w:val="Hyperlink"/>
          <w:color w:val="auto"/>
          <w:szCs w:val="20"/>
        </w:rPr>
      </w:pPr>
      <w:hyperlink r:id="rId65" w:history="1">
        <w:r w:rsidR="0087572E" w:rsidRPr="005C3B2D">
          <w:rPr>
            <w:rStyle w:val="Hyperlink"/>
            <w:rFonts w:cstheme="minorHAnsi"/>
            <w:szCs w:val="20"/>
          </w:rPr>
          <w:t xml:space="preserve">Office of the Australian Information Commissioner Data breach preparation and response – </w:t>
        </w:r>
        <w:r w:rsidR="0087572E" w:rsidRPr="005C3B2D">
          <w:rPr>
            <w:rStyle w:val="Hyperlink"/>
            <w:rFonts w:cstheme="minorHAnsi"/>
            <w:i/>
            <w:szCs w:val="20"/>
          </w:rPr>
          <w:t>A guide to managing data breaches in accordance with the Privacy Act 1988 (</w:t>
        </w:r>
        <w:proofErr w:type="spellStart"/>
        <w:r w:rsidR="0087572E" w:rsidRPr="005C3B2D">
          <w:rPr>
            <w:rStyle w:val="Hyperlink"/>
            <w:rFonts w:cstheme="minorHAnsi"/>
            <w:i/>
            <w:szCs w:val="20"/>
          </w:rPr>
          <w:t>Cth</w:t>
        </w:r>
        <w:proofErr w:type="spellEnd"/>
        <w:r w:rsidR="0087572E" w:rsidRPr="005C3B2D">
          <w:rPr>
            <w:rStyle w:val="Hyperlink"/>
            <w:rFonts w:cstheme="minorHAnsi"/>
            <w:i/>
            <w:szCs w:val="20"/>
          </w:rPr>
          <w:t>)</w:t>
        </w:r>
      </w:hyperlink>
    </w:p>
    <w:p w14:paraId="342C0570" w14:textId="77777777" w:rsidR="0087572E" w:rsidRPr="005C3B2D" w:rsidRDefault="005E5891" w:rsidP="00CA7A03">
      <w:pPr>
        <w:pStyle w:val="Listbullet1"/>
        <w:numPr>
          <w:ilvl w:val="1"/>
          <w:numId w:val="347"/>
        </w:numPr>
        <w:spacing w:after="60"/>
        <w:rPr>
          <w:rStyle w:val="Hyperlink"/>
          <w:color w:val="auto"/>
          <w:szCs w:val="20"/>
        </w:rPr>
      </w:pPr>
      <w:hyperlink r:id="rId66" w:history="1">
        <w:r w:rsidR="0087572E" w:rsidRPr="005C3B2D">
          <w:rPr>
            <w:rStyle w:val="Hyperlink"/>
            <w:rFonts w:cstheme="minorHAnsi"/>
            <w:szCs w:val="20"/>
          </w:rPr>
          <w:t xml:space="preserve">Office of the Australian Information Commissioner </w:t>
        </w:r>
        <w:r w:rsidR="0087572E" w:rsidRPr="005C3B2D">
          <w:rPr>
            <w:rStyle w:val="Hyperlink"/>
            <w:rFonts w:cstheme="minorHAnsi"/>
            <w:i/>
            <w:szCs w:val="20"/>
          </w:rPr>
          <w:t>Privacy (Australian Government Agencies-</w:t>
        </w:r>
        <w:r w:rsidR="000737A2" w:rsidRPr="005C3B2D">
          <w:rPr>
            <w:rStyle w:val="Hyperlink"/>
            <w:rFonts w:cstheme="minorHAnsi"/>
            <w:i/>
            <w:szCs w:val="20"/>
          </w:rPr>
          <w:t>Governance</w:t>
        </w:r>
        <w:r w:rsidR="0087572E" w:rsidRPr="005C3B2D">
          <w:rPr>
            <w:rStyle w:val="Hyperlink"/>
            <w:rFonts w:cstheme="minorHAnsi"/>
            <w:i/>
            <w:szCs w:val="20"/>
          </w:rPr>
          <w:t>) APP Code 2017</w:t>
        </w:r>
      </w:hyperlink>
    </w:p>
    <w:p w14:paraId="17D9643E" w14:textId="77777777" w:rsidR="00F62A59" w:rsidRDefault="00F62A59" w:rsidP="00CA7A03">
      <w:pPr>
        <w:pStyle w:val="Heading3"/>
        <w:spacing w:before="180"/>
        <w:ind w:hanging="578"/>
      </w:pPr>
      <w:r>
        <w:t>Change log</w:t>
      </w:r>
    </w:p>
    <w:p w14:paraId="09E76E1A" w14:textId="7AECD6BB" w:rsidR="00F62A59" w:rsidRPr="00116E26" w:rsidRDefault="00F62A59" w:rsidP="00F62A59">
      <w:pPr>
        <w:pStyle w:val="Caption"/>
      </w:pPr>
      <w:r w:rsidRPr="00FB5CFE">
        <w:t xml:space="preserve">Table </w:t>
      </w:r>
      <w:r w:rsidR="00E27F29">
        <w:rPr>
          <w:noProof/>
        </w:rPr>
        <w:fldChar w:fldCharType="begin"/>
      </w:r>
      <w:r w:rsidR="00E27F29">
        <w:rPr>
          <w:noProof/>
        </w:rPr>
        <w:instrText xml:space="preserve"> SEQ Table \* ARABIC </w:instrText>
      </w:r>
      <w:r w:rsidR="00E27F29">
        <w:rPr>
          <w:noProof/>
        </w:rPr>
        <w:fldChar w:fldCharType="separate"/>
      </w:r>
      <w:r w:rsidR="001039E5">
        <w:rPr>
          <w:noProof/>
        </w:rPr>
        <w:t>4</w:t>
      </w:r>
      <w:r w:rsidR="00E27F29">
        <w:rPr>
          <w:noProof/>
        </w:rPr>
        <w:fldChar w:fldCharType="end"/>
      </w:r>
      <w:r>
        <w:t xml:space="preserve"> Amendments in this policy</w:t>
      </w:r>
    </w:p>
    <w:tbl>
      <w:tblPr>
        <w:tblStyle w:val="LightShading-Accent4"/>
        <w:tblW w:w="0" w:type="auto"/>
        <w:tblLook w:val="04A0" w:firstRow="1" w:lastRow="0" w:firstColumn="1" w:lastColumn="0" w:noHBand="0" w:noVBand="1"/>
        <w:tblCaption w:val="Amendments in this policy"/>
        <w:tblDescription w:val="v2018.0&#10;Amendments not applicable. This is the first issue of this policy."/>
      </w:tblPr>
      <w:tblGrid>
        <w:gridCol w:w="1368"/>
        <w:gridCol w:w="1529"/>
        <w:gridCol w:w="1410"/>
        <w:gridCol w:w="6159"/>
      </w:tblGrid>
      <w:tr w:rsidR="00F62A59" w14:paraId="3286E0EC" w14:textId="77777777" w:rsidTr="002D3D9D">
        <w:trPr>
          <w:cnfStyle w:val="100000000000" w:firstRow="1" w:lastRow="0" w:firstColumn="0" w:lastColumn="0" w:oddVBand="0" w:evenVBand="0" w:oddHBand="0" w:evenHBand="0" w:firstRowFirstColumn="0" w:firstRowLastColumn="0" w:lastRowFirstColumn="0" w:lastRowLastColumn="0"/>
          <w:trHeight w:val="154"/>
        </w:trPr>
        <w:tc>
          <w:tcPr>
            <w:cnfStyle w:val="001000000000" w:firstRow="0" w:lastRow="0" w:firstColumn="1" w:lastColumn="0" w:oddVBand="0" w:evenVBand="0" w:oddHBand="0" w:evenHBand="0" w:firstRowFirstColumn="0" w:firstRowLastColumn="0" w:lastRowFirstColumn="0" w:lastRowLastColumn="0"/>
            <w:tcW w:w="1368" w:type="dxa"/>
          </w:tcPr>
          <w:p w14:paraId="0E778B2E" w14:textId="77777777" w:rsidR="00F62A59" w:rsidRPr="00C166C3" w:rsidRDefault="00F62A59" w:rsidP="00B61A11">
            <w:pPr>
              <w:rPr>
                <w:rStyle w:val="Strong"/>
                <w:b/>
              </w:rPr>
            </w:pPr>
            <w:r>
              <w:rPr>
                <w:rStyle w:val="Strong"/>
                <w:b/>
              </w:rPr>
              <w:t>Version</w:t>
            </w:r>
          </w:p>
        </w:tc>
        <w:tc>
          <w:tcPr>
            <w:tcW w:w="1529" w:type="dxa"/>
          </w:tcPr>
          <w:p w14:paraId="1B230BE0" w14:textId="77777777" w:rsidR="00F62A59" w:rsidRPr="00C166C3" w:rsidRDefault="00F62A59" w:rsidP="00B61A11">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Date</w:t>
            </w:r>
          </w:p>
        </w:tc>
        <w:tc>
          <w:tcPr>
            <w:tcW w:w="1410" w:type="dxa"/>
          </w:tcPr>
          <w:p w14:paraId="2A8B51A4" w14:textId="77777777" w:rsidR="00F62A59" w:rsidRPr="00C166C3" w:rsidRDefault="00F62A59" w:rsidP="00B61A11">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Section</w:t>
            </w:r>
          </w:p>
        </w:tc>
        <w:tc>
          <w:tcPr>
            <w:tcW w:w="6159" w:type="dxa"/>
          </w:tcPr>
          <w:p w14:paraId="3DC7BC12" w14:textId="77777777" w:rsidR="00F62A59" w:rsidRPr="00F62A59" w:rsidRDefault="00F62A59" w:rsidP="00B61A11">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Amendment</w:t>
            </w:r>
          </w:p>
        </w:tc>
      </w:tr>
      <w:tr w:rsidR="00227A31" w14:paraId="09D7C669" w14:textId="77777777" w:rsidTr="002D3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8" w:type="dxa"/>
          </w:tcPr>
          <w:p w14:paraId="7B6F842A" w14:textId="77777777" w:rsidR="00227A31" w:rsidRPr="000C7534" w:rsidRDefault="00F5763E" w:rsidP="00F62A59">
            <w:pPr>
              <w:pStyle w:val="Tablebody"/>
            </w:pPr>
            <w:r w:rsidRPr="000C7534">
              <w:t>v</w:t>
            </w:r>
            <w:r w:rsidR="00D679F9" w:rsidRPr="000C7534">
              <w:t>2018.1</w:t>
            </w:r>
            <w:r w:rsidR="00227A31" w:rsidRPr="000C7534">
              <w:t xml:space="preserve"> </w:t>
            </w:r>
          </w:p>
        </w:tc>
        <w:tc>
          <w:tcPr>
            <w:tcW w:w="1529" w:type="dxa"/>
          </w:tcPr>
          <w:p w14:paraId="002E3593" w14:textId="77777777" w:rsidR="00227A31" w:rsidRPr="0068552B" w:rsidRDefault="00D679F9" w:rsidP="00B61A11">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0" w:type="dxa"/>
          </w:tcPr>
          <w:p w14:paraId="07C9F4B0" w14:textId="77777777" w:rsidR="00227A31" w:rsidRPr="0068552B" w:rsidRDefault="00227A31" w:rsidP="00B61A11">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159" w:type="dxa"/>
          </w:tcPr>
          <w:p w14:paraId="69BCC4D3" w14:textId="77777777" w:rsidR="00227A31" w:rsidRPr="0068552B" w:rsidRDefault="00227A31" w:rsidP="004C3B94">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2D3D9D" w14:paraId="2B2F2929" w14:textId="77777777" w:rsidTr="002D3D9D">
        <w:tc>
          <w:tcPr>
            <w:cnfStyle w:val="001000000000" w:firstRow="0" w:lastRow="0" w:firstColumn="1" w:lastColumn="0" w:oddVBand="0" w:evenVBand="0" w:oddHBand="0" w:evenHBand="0" w:firstRowFirstColumn="0" w:firstRowLastColumn="0" w:lastRowFirstColumn="0" w:lastRowLastColumn="0"/>
            <w:tcW w:w="1368" w:type="dxa"/>
          </w:tcPr>
          <w:p w14:paraId="487E6A6F" w14:textId="1203CCC5" w:rsidR="002D3D9D" w:rsidRPr="000C7534" w:rsidRDefault="002D3D9D" w:rsidP="002D3D9D">
            <w:pPr>
              <w:pStyle w:val="Tablebody"/>
            </w:pPr>
            <w:r>
              <w:t>V2018.2</w:t>
            </w:r>
          </w:p>
        </w:tc>
        <w:tc>
          <w:tcPr>
            <w:tcW w:w="1529" w:type="dxa"/>
          </w:tcPr>
          <w:p w14:paraId="34C5F9F8" w14:textId="77777777" w:rsidR="002D3D9D" w:rsidRPr="000C7534" w:rsidRDefault="002D3D9D" w:rsidP="001245C3">
            <w:pPr>
              <w:pStyle w:val="Tablebody"/>
              <w:cnfStyle w:val="000000000000" w:firstRow="0" w:lastRow="0" w:firstColumn="0" w:lastColumn="0" w:oddVBand="0" w:evenVBand="0" w:oddHBand="0" w:evenHBand="0" w:firstRowFirstColumn="0" w:firstRowLastColumn="0" w:lastRowFirstColumn="0" w:lastRowLastColumn="0"/>
            </w:pPr>
            <w:r>
              <w:t>Apr 2020</w:t>
            </w:r>
          </w:p>
        </w:tc>
        <w:tc>
          <w:tcPr>
            <w:tcW w:w="1410" w:type="dxa"/>
          </w:tcPr>
          <w:p w14:paraId="2A136A2C" w14:textId="77777777" w:rsidR="002D3D9D" w:rsidRPr="000C7534" w:rsidRDefault="002D3D9D" w:rsidP="001245C3">
            <w:pPr>
              <w:pStyle w:val="Tablebody"/>
              <w:cnfStyle w:val="000000000000" w:firstRow="0" w:lastRow="0" w:firstColumn="0" w:lastColumn="0" w:oddVBand="0" w:evenVBand="0" w:oddHBand="0" w:evenHBand="0" w:firstRowFirstColumn="0" w:firstRowLastColumn="0" w:lastRowFirstColumn="0" w:lastRowLastColumn="0"/>
            </w:pPr>
            <w:r>
              <w:t>Throughout</w:t>
            </w:r>
          </w:p>
        </w:tc>
        <w:tc>
          <w:tcPr>
            <w:tcW w:w="6159" w:type="dxa"/>
          </w:tcPr>
          <w:p w14:paraId="45DCF3F9" w14:textId="77777777" w:rsidR="002D3D9D" w:rsidRDefault="002D3D9D" w:rsidP="001245C3">
            <w:pPr>
              <w:pStyle w:val="Tablebody"/>
              <w:cnfStyle w:val="000000000000" w:firstRow="0" w:lastRow="0" w:firstColumn="0" w:lastColumn="0" w:oddVBand="0" w:evenVBand="0" w:oddHBand="0" w:evenHBand="0" w:firstRowFirstColumn="0" w:firstRowLastColumn="0" w:lastRowFirstColumn="0" w:lastRowLastColumn="0"/>
            </w:pPr>
            <w:r>
              <w:t>Updated core requirement</w:t>
            </w:r>
          </w:p>
          <w:p w14:paraId="48887711" w14:textId="77777777" w:rsidR="002D3D9D" w:rsidRDefault="002D3D9D" w:rsidP="001245C3">
            <w:pPr>
              <w:pStyle w:val="Tablebody"/>
              <w:cnfStyle w:val="000000000000" w:firstRow="0" w:lastRow="0" w:firstColumn="0" w:lastColumn="0" w:oddVBand="0" w:evenVBand="0" w:oddHBand="0" w:evenHBand="0" w:firstRowFirstColumn="0" w:firstRowLastColumn="0" w:lastRowFirstColumn="0" w:lastRowLastColumn="0"/>
            </w:pPr>
            <w:r>
              <w:t>Added three supporting requirements</w:t>
            </w:r>
          </w:p>
          <w:p w14:paraId="364C9853" w14:textId="77777777" w:rsidR="002D3D9D" w:rsidRDefault="002D3D9D" w:rsidP="001245C3">
            <w:pPr>
              <w:pStyle w:val="Tablebody"/>
              <w:cnfStyle w:val="000000000000" w:firstRow="0" w:lastRow="0" w:firstColumn="0" w:lastColumn="0" w:oddVBand="0" w:evenVBand="0" w:oddHBand="0" w:evenHBand="0" w:firstRowFirstColumn="0" w:firstRowLastColumn="0" w:lastRowFirstColumn="0" w:lastRowLastColumn="0"/>
            </w:pPr>
            <w:r>
              <w:lastRenderedPageBreak/>
              <w:t>Updated guidance to reference the PSPF online reporting portal with details on the information requested and the steps required to complete the annual PSPF assessment report</w:t>
            </w:r>
          </w:p>
          <w:p w14:paraId="337C7721" w14:textId="77777777" w:rsidR="002D3D9D" w:rsidRDefault="002D3D9D" w:rsidP="001245C3">
            <w:pPr>
              <w:pStyle w:val="Tablebody"/>
              <w:cnfStyle w:val="000000000000" w:firstRow="0" w:lastRow="0" w:firstColumn="0" w:lastColumn="0" w:oddVBand="0" w:evenVBand="0" w:oddHBand="0" w:evenHBand="0" w:firstRowFirstColumn="0" w:firstRowLastColumn="0" w:lastRowFirstColumn="0" w:lastRowLastColumn="0"/>
            </w:pPr>
            <w:r>
              <w:t>Added guidance on Use of the PSPF reporting data</w:t>
            </w:r>
          </w:p>
          <w:p w14:paraId="48F2F1B3" w14:textId="77777777" w:rsidR="002D3D9D" w:rsidRDefault="002D3D9D" w:rsidP="001245C3">
            <w:pPr>
              <w:pStyle w:val="Tablebody"/>
              <w:cnfStyle w:val="000000000000" w:firstRow="0" w:lastRow="0" w:firstColumn="0" w:lastColumn="0" w:oddVBand="0" w:evenVBand="0" w:oddHBand="0" w:evenHBand="0" w:firstRowFirstColumn="0" w:firstRowLastColumn="0" w:lastRowFirstColumn="0" w:lastRowLastColumn="0"/>
            </w:pPr>
            <w:r>
              <w:t>Minor changes to Annex A PSPF Maturity Self-Assessment Model in response to policy changes (Policies 5, 8, 9, 10, 11, 16)</w:t>
            </w:r>
          </w:p>
        </w:tc>
      </w:tr>
    </w:tbl>
    <w:p w14:paraId="0B02F0C6" w14:textId="046BCEA4" w:rsidR="006C4952" w:rsidRDefault="006C4952" w:rsidP="00FE19D2">
      <w:pPr>
        <w:pStyle w:val="Listbullet1"/>
        <w:ind w:left="9129"/>
        <w:sectPr w:rsidR="006C4952" w:rsidSect="000C7534">
          <w:footerReference w:type="default" r:id="rId67"/>
          <w:headerReference w:type="first" r:id="rId68"/>
          <w:pgSz w:w="11906" w:h="16838" w:code="9"/>
          <w:pgMar w:top="709" w:right="720" w:bottom="720" w:left="720" w:header="284" w:footer="284" w:gutter="0"/>
          <w:cols w:space="708"/>
          <w:docGrid w:linePitch="360"/>
        </w:sectPr>
      </w:pPr>
    </w:p>
    <w:p w14:paraId="0ADB9926" w14:textId="7EB7194C" w:rsidR="006C4952" w:rsidRDefault="0036554D" w:rsidP="00EB0847">
      <w:pPr>
        <w:pStyle w:val="Annexheading"/>
        <w:numPr>
          <w:ilvl w:val="0"/>
          <w:numId w:val="6"/>
        </w:numPr>
      </w:pPr>
      <w:bookmarkStart w:id="7" w:name="_Ref513635379"/>
      <w:r>
        <w:lastRenderedPageBreak/>
        <w:t xml:space="preserve">PSPF </w:t>
      </w:r>
      <w:r w:rsidR="005C3B2D">
        <w:t>M</w:t>
      </w:r>
      <w:r>
        <w:t xml:space="preserve">aturity </w:t>
      </w:r>
      <w:r w:rsidR="005C3B2D">
        <w:t>S</w:t>
      </w:r>
      <w:r>
        <w:t>elf-</w:t>
      </w:r>
      <w:r w:rsidR="005C3B2D">
        <w:t>A</w:t>
      </w:r>
      <w:r>
        <w:t xml:space="preserve">ssessment </w:t>
      </w:r>
      <w:r w:rsidR="005C3B2D">
        <w:t>M</w:t>
      </w:r>
      <w:r>
        <w:t>odel</w:t>
      </w:r>
      <w:bookmarkEnd w:id="7"/>
    </w:p>
    <w:p w14:paraId="258F09A5" w14:textId="77777777" w:rsidR="0075565E" w:rsidRPr="00BD4661" w:rsidRDefault="0075565E" w:rsidP="000C7534">
      <w:pPr>
        <w:pStyle w:val="Heading3"/>
        <w:numPr>
          <w:ilvl w:val="0"/>
          <w:numId w:val="0"/>
        </w:numPr>
      </w:pPr>
      <w:r w:rsidRPr="00BD4661">
        <w:t xml:space="preserve">Security </w:t>
      </w:r>
      <w:r>
        <w:t>g</w:t>
      </w:r>
      <w:r w:rsidRPr="00BD4661">
        <w:t>overnance</w:t>
      </w:r>
    </w:p>
    <w:p w14:paraId="7B71B350" w14:textId="77777777" w:rsidR="0075565E" w:rsidRDefault="0075565E" w:rsidP="000C7534">
      <w:r w:rsidRPr="00AD18EF">
        <w:rPr>
          <w:b/>
        </w:rPr>
        <w:t xml:space="preserve">Outcome: </w:t>
      </w:r>
      <w:r w:rsidRPr="00BD4661">
        <w:t>Each entity manages security risks and supports a positive security culture in an appropriately mature manner ensuring clear lines of accountability, sound planning, investigation and response, assurance and review processes and proportionate reporting.</w:t>
      </w:r>
    </w:p>
    <w:p w14:paraId="53F902FD" w14:textId="77777777" w:rsidR="0036554D" w:rsidRDefault="0036554D" w:rsidP="00EB0847">
      <w:pPr>
        <w:pStyle w:val="Caption"/>
        <w:numPr>
          <w:ilvl w:val="0"/>
          <w:numId w:val="23"/>
        </w:numPr>
      </w:pPr>
      <w:r>
        <w:lastRenderedPageBreak/>
        <w:t xml:space="preserve">Table </w:t>
      </w:r>
      <w:r w:rsidR="00E27F29">
        <w:rPr>
          <w:noProof/>
        </w:rPr>
        <w:fldChar w:fldCharType="begin"/>
      </w:r>
      <w:r w:rsidR="00E27F29">
        <w:rPr>
          <w:noProof/>
        </w:rPr>
        <w:instrText xml:space="preserve"> SEQ Annex_Table \* ARABIC </w:instrText>
      </w:r>
      <w:r w:rsidR="00E27F29">
        <w:rPr>
          <w:noProof/>
        </w:rPr>
        <w:fldChar w:fldCharType="separate"/>
      </w:r>
      <w:r w:rsidR="001039E5">
        <w:rPr>
          <w:noProof/>
        </w:rPr>
        <w:t>1</w:t>
      </w:r>
      <w:r w:rsidR="00E27F29">
        <w:rPr>
          <w:noProof/>
        </w:rPr>
        <w:fldChar w:fldCharType="end"/>
      </w:r>
      <w:r w:rsidRPr="005F4A34">
        <w:t xml:space="preserve"> </w:t>
      </w:r>
      <w:r>
        <w:t xml:space="preserve">PSPF </w:t>
      </w:r>
      <w:r w:rsidR="005C3B2D">
        <w:t>M</w:t>
      </w:r>
      <w:r>
        <w:t xml:space="preserve">aturity </w:t>
      </w:r>
      <w:r w:rsidR="005C3B2D">
        <w:t>S</w:t>
      </w:r>
      <w:r>
        <w:t>elf-</w:t>
      </w:r>
      <w:r w:rsidR="005C3B2D">
        <w:t>A</w:t>
      </w:r>
      <w:r>
        <w:t xml:space="preserve">ssessment </w:t>
      </w:r>
      <w:r w:rsidR="005C3B2D">
        <w:t>M</w:t>
      </w:r>
      <w:r>
        <w:t>odel</w:t>
      </w:r>
      <w:r w:rsidR="0075565E">
        <w:t xml:space="preserve"> – Security governance</w:t>
      </w:r>
    </w:p>
    <w:tbl>
      <w:tblPr>
        <w:tblStyle w:val="LightShading-Accent4"/>
        <w:tblW w:w="0" w:type="auto"/>
        <w:tblLook w:val="04A0" w:firstRow="1" w:lastRow="0" w:firstColumn="1" w:lastColumn="0" w:noHBand="0" w:noVBand="1"/>
        <w:tblCaption w:val="PSPF maturity self-assessment model - Security governance"/>
        <w:tblDescription w:val="This table supports self-assessment of maturity for each of the PSPF's core requirements relating to security governance.&#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the role of accountable authority, each maturity level is described as follows.&#10;Ad hoc: The accountable authority is partially aware of protective security requirements across the entity. Partial understanding, assessment and management of security risks to the entity’s people, information and assets. Security is dealt with in an ad hoc manner.&#10;Developing: The accountable authority substantially applies protective security requirements across the entity. Security risks and risk tolerances are identified and are substantially managed, monitored or reassessed on a regular basis. Security risk decisions and shared risks that affect other entities are substantially managed and communicated to affected entities.  &#10;Managing: The accountable authority consistently applies protective security policy across the entity, determines the entity’s tolerance for security risks, promotes sound risk management processes and ensures appropriate governance arrangements are in place to protect the entity’s people, information and assets. In medium to large entities, the management committee oversees and reviews risk profile and ensures underpinning procedures are consistent and adaptable to changes in the risk environment. Security risk decisions and shared risks that affect other entities are understood and communicated in a timely manner. &#10;Embedded: The accountable authority has an integrated, continuous-improvement approach to security management across the entity. Security risk management is a significant priority for the entity and is identified and aligned to business objectives. The entity identifies and operates within agreed and defendable risk tolerances that actively inform business decisions. Formal risk management processes and initiatives to connect security risk management and operations are in place. The entity promotes inter-entity collaboration to improve management of security risk decisions and shared risks that affect other entities. Where appropriate, the entity provides best-practice advice to other entities in its area of expertise.&#10;&#10;For the core requirement on management structures and responsibilities, each maturity level is described as follows.&#10;&#10;Ad hoc: Security management structures and responsibilities are partially in place. Responsibility for designated security roles, protective security planning and management of security practices are ad hoc. Incident reporting is by exception with partial staff awareness of obligations. Incident response processes are informal and not centrally managed. Security is partially prioritised by leadership with partial employee and contractor awareness. &#10;Developing: The CSO is appointed and key security responsibilities are substantially assigned. Security risk and incident reporting is occurring across the entity and response processes are centrally managed in the majority of cases. The importance of security and developing a strong security culture is substantially recognised by the leadership. The majority of personnel attend periodic security awareness and skills development training. &#10;Managing: The CSO is empowered to investigate, respond to and report on security incidents. Clearly defined security roles and responsibilities exist with skilled personnel appointed by the CSO and empowered to make security decisions for their entity. A governance oversight function is established (where appropriate to entity size). Entity’s cycle of action, evaluation and learning is evident in response to security incidents. Personnel are knowledgeable of security incident reporting obligations with reporting processes published and accessible. Security is integral to the entity’s business and informs decision-making. Leadership is actively engaged and visibly prioritises good security practices with a strong security culture evident within the entity. Personnel’s attendance and understanding of regular education programs that inform and assist their understanding of security-related processes and obligations is monitored. &#10;Embedded: Role of the CSO is highly visible and central to delivering on strategic business priorities and objectives. A security governance oversight function is operational. Security is fully integrated into entity operations, actively managed, monitored and drives improvements. Security procedures and practices are robust and of proven effectiveness. The CSO ensures personnel resources are deployed to support the maintenance of effective protective security; appointing skilled personnel according to business needs. Comprehensive approach to managing security incidents including investigating to determine root causes and inform security improvements and education programs.&#10;All personnel are trained annually on security policy and procedures and take responsibility for implementation within their area of responsibility. Security culture is underpinned by continuous improvement and accountability.&#10;&#10;For the core requirement of security planning, each maturity level is described as follows.&#10;Security planning is ad hoc. The security plan is partially developed and implemented but may not be current or comprehensive.  &#10;Developing: A security plan is endorsed, captures entity’s goals and strategic objectives, key threats, risks, vulnerabilities and details of security risk tolerances and risk mitigation strategies. The plan is consistently applied across the entity in the majority of instances. &#10;Managing: A security plan is endorsed by accountable authority and captures entity’s goals and strategic objectives, key threats, risks, vulnerabilities and details of security risk tolerances and risk mitigation strategies. The plan is regularly reviewed and informs entity’s decision-making. The plan is used to determine the security objectives and clearly supports the broader business goals. The security plan is communicated and accessible across the entity. &#10;Embedded: The security plan is comprehensive in identifying goals, strategic objectives, key threats, risks, vulnerabilities, risk tolerances and risk mitigations. The security plan influences executive management decision-making and planning. The entity continuously adapts the security plan in response to emerging or changing risks and threat levels.&#10;&#10;For the core requirement of security maturity monitoring, each maturity level is described as follows.&#10;Ad hoc: The entity partially monitors security maturity performance of its security capability and risk culture against the goals and strategic objectives identified in the entity security plan. &#10;Developing: Security capability and risk culture is addressed in the security plan. The performance and progress against the security plan’s goals and strategic objectives is substantially monitored regularly.&#10;Managing: Consistent and defined approach to monitoring the entity’s security performance, which is tailored to the entity’s risk environment. The entity has clearly defined security goals and objectives in the security plan. Performance is tracked and measured to assess security capability and risk culture maturity. &#10;Embedded: The entity proactively engages in ongoing monitoring and improvement of security capability and culture through long-term planning to predict and prepare for security challenges. Performance data is captured analysed and informs change.&#10;&#10;For the core requirement of reporting on security, each maturity level is described as follows.&#10;Ad hoc: The entity has partially met external reporting obligations to its portfolio minister, AGD and other affected entities. Reporting on the entity’s achievement of security outcomes, implementation of core requirements, maturity of security capability, key risks to people, information and personnel and mitigation strategies is partial and ad hoc.&#10;Developing: The entity substantially meets external reporting obligations to the portfolio minister, AGD and other affected entities. The entity’s achievement of security outcomes, implementation of core requirements, maturity of security capability, key risks to people, information and personnel and mitigation strategies is substantially captured in the annual security report. &#10;Managing: The entity meets all external reporting obligations within required timeframes to the portfolio minister, AGD and other affected entities through comprehensive reporting on achievement of security outcomes, implementation of core requirements, maturity of security capability, key risks to people, information and personnel and mitigation strategies. Key findings and trends are shared within the entity.&#10;Embedded: The entity excels in meeting reporting obligations and uses annual reporting to drive improvements, strengthen security culture and inform future planning.&#10;&#10;For the core requirement on security governance for contracted goods and service providers, each maturity level is described as follows.&#10;Ad hoc: Protective security provisions are partially included in goods and service provider contracts. The entity partially monitors service providers’ adherence to contract provisions. &#10;Developing: Appropriate security obligation clauses are included in the majority of provider contracts. The entity substantially applies processes to monitor service provider adherence to contract provisions.&#10;Managing: Provider contracts contain explicit provisions to ensure implementation of relevant protective security requirements. The entity uses processes to monitor service providers’ adherence to contract provisions and security obligations. &#10;Embedded: The entity actively monitors and audits service provider capability to fully implement contractual protective security requirements. Where appropriate, the entity supports contractors to achieve security outcomes. &#10;&#10;For the core requirement on security governance for international sharing, each maturity level is described as follows.&#10;Ad hoc: The entity has access to foreign government information and assets and partially understands and implements handling and protection requirements agreed in international agreements and arrangements to which Australia is a party. &#10;Developing: The entity has access to foreign government information and assets. There is substantial awareness, through training and accessibility of applicable agreements, of the level of handling protection requirements agreed in international agreements and arrangements to which Australia is a party.  &#10;Managing: The entity has access to foreign government information and assets and consistently applies handling protection requirements agreed in international agreements and arrangements to which Australia is a party. Alternatively, the entity is confident it does not access any information or assets that would be governed by international agreements or arrangements to which Australia is a party. &#10;Embedded: Where an entity has access to foreign government information and assets, it actively implements and monitors handling requirements agreed in international agreements and arrangements to which Australia is a party – and these are consistently applied.&#10;The entity proactively contributes to, and identifies, opportunities to evolve multilateral, bilateral agreements and arrangements to which Australia is a party on sharing and protection of information and assets."/>
      </w:tblPr>
      <w:tblGrid>
        <w:gridCol w:w="1532"/>
        <w:gridCol w:w="837"/>
        <w:gridCol w:w="2613"/>
        <w:gridCol w:w="1199"/>
        <w:gridCol w:w="2257"/>
        <w:gridCol w:w="1082"/>
        <w:gridCol w:w="2371"/>
        <w:gridCol w:w="1150"/>
        <w:gridCol w:w="2311"/>
      </w:tblGrid>
      <w:tr w:rsidR="007C53A8" w14:paraId="61AEF1DF" w14:textId="77777777" w:rsidTr="002B0C02">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2" w:type="dxa"/>
          </w:tcPr>
          <w:p w14:paraId="12F498BA" w14:textId="77777777" w:rsidR="007C53A8" w:rsidRPr="0036554D" w:rsidRDefault="007C53A8" w:rsidP="0036554D">
            <w:pPr>
              <w:rPr>
                <w:rStyle w:val="Strong"/>
              </w:rPr>
            </w:pPr>
          </w:p>
        </w:tc>
        <w:tc>
          <w:tcPr>
            <w:tcW w:w="837" w:type="dxa"/>
          </w:tcPr>
          <w:p w14:paraId="4C93D1DD"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13" w:type="dxa"/>
          </w:tcPr>
          <w:p w14:paraId="5DE6F143"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243DC2F6" wp14:editId="706D22E4">
                      <wp:extent cx="216024" cy="216024"/>
                      <wp:effectExtent l="0" t="0" r="12700" b="12700"/>
                      <wp:docPr id="234"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35" name="Pie 235"/>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6" name="Oval 236"/>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E3E27D1"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">
                      <v:shape id="Pie 235"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sty8cA&#10;AADcAAAADwAAAGRycy9kb3ducmV2LnhtbESPQWvCQBSE74X+h+UVequbKopE1xAEQStWjB709si+&#10;Jmmzb2N2jem/7xYKPQ4z8w0zT3pTi45aV1lW8DqIQBDnVldcKDgdVy9TEM4ja6wtk4JvcpAsHh/m&#10;GGt75wN1mS9EgLCLUUHpfRNL6fKSDLqBbYiD92Fbgz7ItpC6xXuAm1oOo2giDVYcFkpsaFlS/pXd&#10;jILddpO+d6fiIs+Twybbj65H+fmm1PNTn85AeOr9f/ivvdYKhqMx/J4JR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rLcvHAAAA3AAAAA8AAAAAAAAAAAAAAAAAmAIAAGRy&#10;cy9kb3ducmV2LnhtbFBLBQYAAAAABAAEAPUAAACM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236"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tEMUA&#10;AADcAAAADwAAAGRycy9kb3ducmV2LnhtbESPT2sCMRTE74V+h/AEbzXrFkRWo4hLW0+Cf2jx9kie&#10;u4ublyVJdf32plDwOMzMb5j5sretuJIPjWMF41EGglg703Cl4Hj4eJuCCBHZYOuYFNwpwHLx+jLH&#10;wrgb7+i6j5VIEA4FKqhj7Aopg67JYhi5jjh5Z+ctxiR9JY3HW4LbVuZZNpEWG04LNXa0rklf9r9W&#10;werzdNpu+/Xhx39p+s7PZal3pVLDQb+agYjUx2f4v70xCvL3CfydS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Gi0QxQAAANwAAAAPAAAAAAAAAAAAAAAAAJgCAABkcnMv&#10;ZG93bnJldi54bWxQSwUGAAAAAAQABAD1AAAAigMAAAAA&#10;" filled="f" strokecolor="#8064a2" strokeweight=".5pt"/>
                      <w10:anchorlock/>
                    </v:group>
                  </w:pict>
                </mc:Fallback>
              </mc:AlternateContent>
            </w:r>
          </w:p>
        </w:tc>
        <w:tc>
          <w:tcPr>
            <w:tcW w:w="1199" w:type="dxa"/>
          </w:tcPr>
          <w:p w14:paraId="7FC27958"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257" w:type="dxa"/>
          </w:tcPr>
          <w:p w14:paraId="62B61549"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25E088A1" wp14:editId="31E64F72">
                      <wp:extent cx="216024" cy="216024"/>
                      <wp:effectExtent l="0" t="0" r="12700" b="12700"/>
                      <wp:docPr id="237"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38" name="Pie 238"/>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 name="Oval 239"/>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9A79E10"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">
                      <v:shape id="Pie 238"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CVcQA&#10;AADcAAAADwAAAGRycy9kb3ducmV2LnhtbERPTWvCQBC9F/oflin0VjdVCJK6CVIo1IqK0UN7G7Jj&#10;EpudTbNrEv+9exB6fLzvRTaaRvTUudqygtdJBIK4sLrmUsHx8PEyB+E8ssbGMim4koMsfXxYYKLt&#10;wHvqc1+KEMIuQQWV920ipSsqMugmtiUO3Ml2Bn2AXSl1h0MIN42cRlEsDdYcGips6b2i4je/GAWb&#10;9Wq57Y/lj/yO96t8N/s7yPOXUs9P4/INhKfR/4vv7k+tYDoLa8OZcARk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glXEAAAA3AAAAA8AAAAAAAAAAAAAAAAAmAIAAGRycy9k&#10;b3ducmV2LnhtbFBLBQYAAAAABAAEAPUAAACJAw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239"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5YsUA&#10;AADcAAAADwAAAGRycy9kb3ducmV2LnhtbESPT2sCMRTE74LfIbxCb5rtFkpdjSIutj0J/kHx9kie&#10;u4ublyVJdfvtm0LB4zAzv2Fmi9624kY+NI4VvIwzEMTamYYrBYf9evQOIkRkg61jUvBDARbz4WCG&#10;hXF33tJtFyuRIBwKVFDH2BVSBl2TxTB2HXHyLs5bjEn6ShqP9wS3rcyz7E1abDgt1NjRqiZ93X1b&#10;BcuP83mz6Vf7k//UdMwvZam3pVLPT/1yCiJSHx/h//aXUZC/TuD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hblixQAAANwAAAAPAAAAAAAAAAAAAAAAAJgCAABkcnMv&#10;ZG93bnJldi54bWxQSwUGAAAAAAQABAD1AAAAigMAAAAA&#10;" filled="f" strokecolor="#8064a2" strokeweight=".5pt"/>
                      <w10:anchorlock/>
                    </v:group>
                  </w:pict>
                </mc:Fallback>
              </mc:AlternateContent>
            </w:r>
          </w:p>
        </w:tc>
        <w:tc>
          <w:tcPr>
            <w:tcW w:w="1082" w:type="dxa"/>
          </w:tcPr>
          <w:p w14:paraId="7E5B7625"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371" w:type="dxa"/>
          </w:tcPr>
          <w:p w14:paraId="15D06779"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6B82A2C6" wp14:editId="0DAB8862">
                      <wp:extent cx="216024" cy="216024"/>
                      <wp:effectExtent l="0" t="0" r="12700" b="12700"/>
                      <wp:docPr id="4"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445F50F5"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" fillcolor="#8064a2" strokecolor="#8064a2" strokeweight=".5pt">
                      <w10:anchorlock/>
                    </v:oval>
                  </w:pict>
                </mc:Fallback>
              </mc:AlternateContent>
            </w:r>
          </w:p>
        </w:tc>
        <w:tc>
          <w:tcPr>
            <w:tcW w:w="1150" w:type="dxa"/>
          </w:tcPr>
          <w:p w14:paraId="771E5483" w14:textId="77777777" w:rsidR="007C53A8"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11" w:type="dxa"/>
          </w:tcPr>
          <w:p w14:paraId="619D1156" w14:textId="77777777" w:rsidR="007C53A8" w:rsidRPr="00C166C3" w:rsidRDefault="007C53A8" w:rsidP="00496F4B">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089BD439" wp14:editId="5D294029">
                      <wp:extent cx="339400" cy="339400"/>
                      <wp:effectExtent l="0" t="0" r="3810" b="3810"/>
                      <wp:docPr id="10"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12" name="Oval 12"/>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Oval 13"/>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8473D04"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">
                      <v:oval id="Oval 12"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bdor8A&#10;AADbAAAADwAAAGRycy9kb3ducmV2LnhtbERPzYrCMBC+C/sOYRa8abo9iHaNIrIuC4Jg7QOMzWxT&#10;bCaliba+vREEb/Px/c5yPdhG3KjztWMFX9MEBHHpdM2VguK0m8xB+ICssXFMCu7kYb36GC0x067n&#10;I93yUIkYwj5DBSaENpPSl4Ys+qlriSP37zqLIcKukrrDPobbRqZJMpMWa44NBlvaGiov+dUqOFTS&#10;LM779uc3rU/MeVH0lyFRavw5bL5BBBrCW/xy/+k4P4XnL/EAu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xt2ivwAAANsAAAAPAAAAAAAAAAAAAAAAAJgCAABkcnMvZG93bnJl&#10;di54bWxQSwUGAAAAAAQABAD1AAAAhAMAAAAA&#10;" fillcolor="#4bacc6" stroked="f" strokeweight="3pt">
                        <v:stroke dashstyle="1 1"/>
                      </v:oval>
                      <v:oval id="Oval 13"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8OlcAA&#10;AADbAAAADwAAAGRycy9kb3ducmV2LnhtbERPzWrCQBC+C77DMgUvUjdaKxJdRYTQ9KZpH2DIjklo&#10;djZkR41v3y0UvM3H9zvb/eBadaM+NJ4NzGcJKOLS24YrA99f2esaVBBki61nMvCgAPvdeLTF1Po7&#10;n+lWSKViCIcUDdQiXap1KGtyGGa+I47cxfcOJcK+0rbHewx3rV4kyUo7bDg21NjRsabyp7g6A3a1&#10;vOSuzT4km9ojHU7v+Uk+jZm8DIcNKKFBnuJ/d27j/Df4+yUeo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g8OlcAAAADbAAAADwAAAAAAAAAAAAAAAACYAgAAZHJzL2Rvd25y&#10;ZXYueG1sUEsFBgAAAAAEAAQA9QAAAIUDAAAAAA==&#10;" fillcolor="#8064a2" stroked="f" strokeweight="3pt">
                        <v:stroke dashstyle="1 1"/>
                      </v:oval>
                      <w10:anchorlock/>
                    </v:group>
                  </w:pict>
                </mc:Fallback>
              </mc:AlternateContent>
            </w:r>
          </w:p>
        </w:tc>
      </w:tr>
      <w:tr w:rsidR="007C53A8" w14:paraId="2D70045D" w14:textId="77777777" w:rsidTr="002B0C02">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2" w:type="dxa"/>
          </w:tcPr>
          <w:p w14:paraId="0F81EBDB" w14:textId="77777777" w:rsidR="007C53A8" w:rsidRPr="0036554D" w:rsidRDefault="007C53A8" w:rsidP="0036554D">
            <w:pPr>
              <w:keepNext/>
              <w:rPr>
                <w:rStyle w:val="Strong"/>
              </w:rPr>
            </w:pPr>
            <w:r w:rsidRPr="0036554D">
              <w:rPr>
                <w:rStyle w:val="Strong"/>
                <w:b/>
                <w:bCs w:val="0"/>
              </w:rPr>
              <w:t>Description</w:t>
            </w:r>
          </w:p>
        </w:tc>
        <w:tc>
          <w:tcPr>
            <w:tcW w:w="3450" w:type="dxa"/>
            <w:gridSpan w:val="2"/>
            <w:shd w:val="clear" w:color="auto" w:fill="auto"/>
          </w:tcPr>
          <w:p w14:paraId="0641DCFF" w14:textId="77777777" w:rsidR="007C53A8" w:rsidRPr="00377B83" w:rsidRDefault="007C53A8" w:rsidP="00496F4B">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456" w:type="dxa"/>
            <w:gridSpan w:val="2"/>
            <w:shd w:val="clear" w:color="auto" w:fill="auto"/>
          </w:tcPr>
          <w:p w14:paraId="27C7CB1A" w14:textId="77777777" w:rsidR="007C53A8" w:rsidRPr="00377B83" w:rsidRDefault="007C53A8" w:rsidP="00496F4B">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453" w:type="dxa"/>
            <w:gridSpan w:val="2"/>
            <w:shd w:val="clear" w:color="auto" w:fill="auto"/>
          </w:tcPr>
          <w:p w14:paraId="36C75B38" w14:textId="77777777" w:rsidR="007C53A8" w:rsidRPr="0063688B" w:rsidRDefault="007C53A8" w:rsidP="003E673A">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461" w:type="dxa"/>
            <w:gridSpan w:val="2"/>
            <w:shd w:val="clear" w:color="auto" w:fill="auto"/>
          </w:tcPr>
          <w:p w14:paraId="190344B8" w14:textId="77777777" w:rsidR="007C53A8" w:rsidRPr="0063688B" w:rsidRDefault="007C53A8" w:rsidP="003E673A">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009B603E" w:rsidRPr="0063688B">
              <w:rPr>
                <w:b w:val="0"/>
              </w:rPr>
              <w:t>A</w:t>
            </w:r>
            <w:r w:rsidR="009B603E" w:rsidRPr="0063688B">
              <w:rPr>
                <w:b w:val="0"/>
                <w:bCs/>
              </w:rPr>
              <w:t>ll PSPF core and supporting requirements are implemented, effectively integrated and exceeding security outcomes</w:t>
            </w:r>
            <w:r w:rsidR="009B603E">
              <w:rPr>
                <w:b w:val="0"/>
                <w:bCs/>
              </w:rPr>
              <w:t>.</w:t>
            </w:r>
            <w:r w:rsidR="009B603E" w:rsidRPr="0063688B">
              <w:rPr>
                <w:b w:val="0"/>
                <w:bCs/>
              </w:rPr>
              <w:t xml:space="preserve"> </w:t>
            </w:r>
            <w:r w:rsidR="009B603E">
              <w:rPr>
                <w:b w:val="0"/>
                <w:bCs/>
              </w:rPr>
              <w:t xml:space="preserve">Entity’s implementation of </w:t>
            </w:r>
            <w:r w:rsidR="009B603E" w:rsidRPr="0063688B">
              <w:rPr>
                <w:b w:val="0"/>
                <w:bCs/>
              </w:rPr>
              <w:t xml:space="preserve">better-practice guidance </w:t>
            </w:r>
            <w:r w:rsidR="009B603E">
              <w:rPr>
                <w:b w:val="0"/>
                <w:bCs/>
              </w:rPr>
              <w:t xml:space="preserve">drives </w:t>
            </w:r>
            <w:r w:rsidR="009B603E" w:rsidRPr="0063688B">
              <w:rPr>
                <w:b w:val="0"/>
                <w:bCs/>
              </w:rPr>
              <w:t>achieving high performance.</w:t>
            </w:r>
          </w:p>
        </w:tc>
      </w:tr>
      <w:tr w:rsidR="007D36E9" w14:paraId="689BAEF3" w14:textId="77777777" w:rsidTr="002B0C0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2" w:type="dxa"/>
          </w:tcPr>
          <w:p w14:paraId="3D641C22" w14:textId="06CC7BFB" w:rsidR="002D3D9D" w:rsidRDefault="007D36E9" w:rsidP="0036554D">
            <w:pPr>
              <w:pStyle w:val="Tablebody"/>
              <w:rPr>
                <w:rStyle w:val="Strong"/>
                <w:bCs/>
              </w:rPr>
            </w:pPr>
            <w:r w:rsidRPr="00110149">
              <w:rPr>
                <w:rStyle w:val="Strong"/>
                <w:b/>
              </w:rPr>
              <w:t>Role of accountable authority</w:t>
            </w:r>
          </w:p>
          <w:p w14:paraId="29784ED9" w14:textId="77777777" w:rsidR="002D3D9D" w:rsidRPr="002D3D9D" w:rsidRDefault="002D3D9D" w:rsidP="002D3D9D"/>
          <w:p w14:paraId="461D44A3" w14:textId="77777777" w:rsidR="002D3D9D" w:rsidRPr="002D3D9D" w:rsidRDefault="002D3D9D" w:rsidP="002D3D9D"/>
          <w:p w14:paraId="6216137E" w14:textId="77777777" w:rsidR="002D3D9D" w:rsidRPr="002D3D9D" w:rsidRDefault="002D3D9D" w:rsidP="002D3D9D"/>
          <w:p w14:paraId="29E59A65" w14:textId="77777777" w:rsidR="002D3D9D" w:rsidRPr="002D3D9D" w:rsidRDefault="002D3D9D" w:rsidP="002D3D9D"/>
          <w:p w14:paraId="687AF6C9" w14:textId="77777777" w:rsidR="002D3D9D" w:rsidRPr="002D3D9D" w:rsidRDefault="002D3D9D" w:rsidP="002D3D9D"/>
          <w:p w14:paraId="36EAEEC4" w14:textId="77777777" w:rsidR="002D3D9D" w:rsidRPr="002D3D9D" w:rsidRDefault="002D3D9D" w:rsidP="002D3D9D"/>
          <w:p w14:paraId="5C5CF4D4" w14:textId="77777777" w:rsidR="002D3D9D" w:rsidRPr="002D3D9D" w:rsidRDefault="002D3D9D" w:rsidP="002D3D9D"/>
          <w:p w14:paraId="4B021CB6" w14:textId="77777777" w:rsidR="002D3D9D" w:rsidRPr="002D3D9D" w:rsidRDefault="002D3D9D" w:rsidP="002D3D9D"/>
          <w:p w14:paraId="47EEA26E" w14:textId="77777777" w:rsidR="002D3D9D" w:rsidRPr="002D3D9D" w:rsidRDefault="002D3D9D" w:rsidP="002D3D9D"/>
          <w:p w14:paraId="55B359C8" w14:textId="77777777" w:rsidR="002D3D9D" w:rsidRPr="002D3D9D" w:rsidRDefault="002D3D9D" w:rsidP="002D3D9D"/>
          <w:p w14:paraId="6F7F77E0" w14:textId="77777777" w:rsidR="002D3D9D" w:rsidRPr="002D3D9D" w:rsidRDefault="002D3D9D" w:rsidP="002D3D9D"/>
          <w:p w14:paraId="4F2D8D6E" w14:textId="77777777" w:rsidR="002D3D9D" w:rsidRPr="002D3D9D" w:rsidRDefault="002D3D9D" w:rsidP="002D3D9D"/>
          <w:p w14:paraId="51F4561D" w14:textId="77777777" w:rsidR="002D3D9D" w:rsidRPr="002D3D9D" w:rsidRDefault="002D3D9D" w:rsidP="002D3D9D"/>
          <w:p w14:paraId="6DBD09D9" w14:textId="2197A727" w:rsidR="007D36E9" w:rsidRPr="002D3D9D" w:rsidRDefault="007D36E9" w:rsidP="002D3D9D"/>
        </w:tc>
        <w:tc>
          <w:tcPr>
            <w:tcW w:w="3450" w:type="dxa"/>
            <w:gridSpan w:val="2"/>
          </w:tcPr>
          <w:p w14:paraId="44980E9B" w14:textId="77777777" w:rsidR="007D36E9" w:rsidRPr="007D36E9" w:rsidRDefault="007D36E9" w:rsidP="007D36E9">
            <w:pPr>
              <w:pStyle w:val="Tablebody"/>
              <w:cnfStyle w:val="000000100000" w:firstRow="0" w:lastRow="0" w:firstColumn="0" w:lastColumn="0" w:oddVBand="0" w:evenVBand="0" w:oddHBand="1" w:evenHBand="0" w:firstRowFirstColumn="0" w:firstRowLastColumn="0" w:lastRowFirstColumn="0" w:lastRowLastColumn="0"/>
            </w:pPr>
            <w:r w:rsidRPr="007D36E9">
              <w:t>The accountable authority is partially aware of protective security requirements across the entity. Partial understanding, assessment and management of security risks to the entity’s people, information and assets. Security is dealt with in an ad hoc manner.</w:t>
            </w:r>
          </w:p>
        </w:tc>
        <w:tc>
          <w:tcPr>
            <w:tcW w:w="3456" w:type="dxa"/>
            <w:gridSpan w:val="2"/>
          </w:tcPr>
          <w:p w14:paraId="18752A60" w14:textId="77777777" w:rsidR="007D36E9" w:rsidRPr="007D36E9" w:rsidRDefault="007D36E9" w:rsidP="007D36E9">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accountable authority substantially applies protective security requirements across the entity. Security risks and risk tolerances are identified and are substantially managed, monitored or reassessed on a regular basis. Security risk decisions and shared risks that affect other entities are substantially managed and communicated to affected entities. </w:t>
            </w:r>
          </w:p>
        </w:tc>
        <w:tc>
          <w:tcPr>
            <w:tcW w:w="3453" w:type="dxa"/>
            <w:gridSpan w:val="2"/>
          </w:tcPr>
          <w:p w14:paraId="61E76516" w14:textId="77777777" w:rsidR="007D36E9" w:rsidRDefault="00377B83" w:rsidP="0036554D">
            <w:pPr>
              <w:pStyle w:val="Tablebody"/>
              <w:cnfStyle w:val="000000100000" w:firstRow="0" w:lastRow="0" w:firstColumn="0" w:lastColumn="0" w:oddVBand="0" w:evenVBand="0" w:oddHBand="1" w:evenHBand="0" w:firstRowFirstColumn="0" w:firstRowLastColumn="0" w:lastRowFirstColumn="0" w:lastRowLastColumn="0"/>
            </w:pPr>
            <w:r w:rsidRPr="00377B83">
              <w:t>The accountable authority consistently applies protective security policy across the entity, determines the entity’s tolerance for security risks, promotes sound risk management processes and ensures appropriate governance arrangements are in place to protect the entity’s people, information and assets. In medium to large entities, the management committee oversees and reviews risk profile and ensures underpinning procedures are consistent and adaptable to changes in the risk environment. Security risk decisions and shared risks that affect other entities are understood and communicated in a timely manner.</w:t>
            </w:r>
          </w:p>
        </w:tc>
        <w:tc>
          <w:tcPr>
            <w:tcW w:w="3461" w:type="dxa"/>
            <w:gridSpan w:val="2"/>
          </w:tcPr>
          <w:p w14:paraId="051DF063" w14:textId="77777777" w:rsidR="007D36E9" w:rsidRDefault="00377B83" w:rsidP="0036554D">
            <w:pPr>
              <w:pStyle w:val="Tablebody"/>
              <w:cnfStyle w:val="000000100000" w:firstRow="0" w:lastRow="0" w:firstColumn="0" w:lastColumn="0" w:oddVBand="0" w:evenVBand="0" w:oddHBand="1" w:evenHBand="0" w:firstRowFirstColumn="0" w:firstRowLastColumn="0" w:lastRowFirstColumn="0" w:lastRowLastColumn="0"/>
            </w:pPr>
            <w:r w:rsidRPr="00377B83">
              <w:t>The accountable authority has an integrated, continuous-improvement approach to security management across the entity. Security risk management is a significant priority for the entity and is identified and aligned to business objectives. The entity identifies and operates within agreed and defendable risk tolerances that actively inform business decisions. Formal risk management processes and initiatives to connect security risk management and operations are in place. The entity promotes inter-entity collaboration to improve management of security risk decisions and shared risks that affect other entities. Where appropriate, the entity provides best-practice advice to other entities in its area of expertise.</w:t>
            </w:r>
          </w:p>
        </w:tc>
      </w:tr>
      <w:tr w:rsidR="007D36E9" w14:paraId="70ED10CB" w14:textId="77777777" w:rsidTr="002B0C02">
        <w:trPr>
          <w:cantSplit/>
        </w:trPr>
        <w:tc>
          <w:tcPr>
            <w:cnfStyle w:val="001000000000" w:firstRow="0" w:lastRow="0" w:firstColumn="1" w:lastColumn="0" w:oddVBand="0" w:evenVBand="0" w:oddHBand="0" w:evenHBand="0" w:firstRowFirstColumn="0" w:firstRowLastColumn="0" w:lastRowFirstColumn="0" w:lastRowLastColumn="0"/>
            <w:tcW w:w="1532" w:type="dxa"/>
            <w:shd w:val="clear" w:color="auto" w:fill="E5DFEC" w:themeFill="accent4" w:themeFillTint="33"/>
          </w:tcPr>
          <w:p w14:paraId="379387D4" w14:textId="77777777" w:rsidR="007D36E9" w:rsidRPr="00110149" w:rsidRDefault="007D36E9" w:rsidP="00110149">
            <w:pPr>
              <w:spacing w:before="60" w:after="60"/>
              <w:rPr>
                <w:rStyle w:val="Strong"/>
                <w:b/>
              </w:rPr>
            </w:pPr>
            <w:r w:rsidRPr="00110149">
              <w:rPr>
                <w:rStyle w:val="Strong"/>
                <w:b/>
              </w:rPr>
              <w:lastRenderedPageBreak/>
              <w:t>Management structures and responsibilities</w:t>
            </w:r>
          </w:p>
        </w:tc>
        <w:tc>
          <w:tcPr>
            <w:tcW w:w="3450" w:type="dxa"/>
            <w:gridSpan w:val="2"/>
            <w:shd w:val="clear" w:color="auto" w:fill="E5DFEC" w:themeFill="accent4" w:themeFillTint="33"/>
          </w:tcPr>
          <w:p w14:paraId="31CEAAE8" w14:textId="77777777" w:rsidR="007D36E9" w:rsidRPr="007D36E9" w:rsidRDefault="007D36E9" w:rsidP="00377B83">
            <w:pPr>
              <w:pStyle w:val="Tablebody"/>
              <w:cnfStyle w:val="000000000000" w:firstRow="0" w:lastRow="0" w:firstColumn="0" w:lastColumn="0" w:oddVBand="0" w:evenVBand="0" w:oddHBand="0" w:evenHBand="0" w:firstRowFirstColumn="0" w:firstRowLastColumn="0" w:lastRowFirstColumn="0" w:lastRowLastColumn="0"/>
            </w:pPr>
            <w:r w:rsidRPr="007D36E9">
              <w:t>Security management structures and responsibilities are partially in place. Responsibility for designated security roles, protective security planning and management of security practices are ad hoc. Incident reporting is by exception with partial staff awareness of obligations. Incident response processes are informal and not centrally managed. Security is partially prioritised by leadership with partial employee and contractor awareness.</w:t>
            </w:r>
          </w:p>
        </w:tc>
        <w:tc>
          <w:tcPr>
            <w:tcW w:w="3456" w:type="dxa"/>
            <w:gridSpan w:val="2"/>
            <w:shd w:val="clear" w:color="auto" w:fill="E5DFEC" w:themeFill="accent4" w:themeFillTint="33"/>
          </w:tcPr>
          <w:p w14:paraId="607F466B" w14:textId="77777777" w:rsidR="007D36E9" w:rsidRPr="007D36E9" w:rsidRDefault="007D36E9" w:rsidP="00377B83">
            <w:pPr>
              <w:pStyle w:val="Tablebody"/>
              <w:cnfStyle w:val="000000000000" w:firstRow="0" w:lastRow="0" w:firstColumn="0" w:lastColumn="0" w:oddVBand="0" w:evenVBand="0" w:oddHBand="0" w:evenHBand="0" w:firstRowFirstColumn="0" w:firstRowLastColumn="0" w:lastRowFirstColumn="0" w:lastRowLastColumn="0"/>
            </w:pPr>
            <w:r w:rsidRPr="007D36E9">
              <w:t>The CSO is appointed and key security responsibilities are substantially assigned. Security risk and incident reporting is occurring across the entity and response processes are centrally managed in the majority of cases.</w:t>
            </w:r>
            <w:r w:rsidRPr="007D36E9" w:rsidDel="000F31CD">
              <w:t xml:space="preserve"> </w:t>
            </w:r>
            <w:r w:rsidRPr="007D36E9">
              <w:t>The importance of security and developing a strong security culture is substantially recognised by the leadership. The majority of personnel attend periodic security awareness and skills development training.</w:t>
            </w:r>
          </w:p>
        </w:tc>
        <w:tc>
          <w:tcPr>
            <w:tcW w:w="3453" w:type="dxa"/>
            <w:gridSpan w:val="2"/>
            <w:shd w:val="clear" w:color="auto" w:fill="E5DFEC" w:themeFill="accent4" w:themeFillTint="33"/>
          </w:tcPr>
          <w:p w14:paraId="0DBD634C" w14:textId="77777777" w:rsid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The CSO is empowered to investigate, respond to and report on security incidents. Clearly defined security roles and responsibilities exist with skilled personnel appointed by the CSO and empowered to make security decisions for their entity. A governance oversight function is established (where appropriate to entity size). Entity’s cycle of action, evaluation and learning is evident in response to security incidents. Personnel are knowledgeable of security incident reporting obligations with reporting processes published and accessible. Security is integral to the entity’s business and informs decision-making. Leadership is actively engaged and visibly prioritises good security practices with a strong security culture evident within the entity. Personnel’s attendance and understanding of regular education programs that inform and assist their understanding of security-related processes and obligations is monitored.</w:t>
            </w:r>
          </w:p>
        </w:tc>
        <w:tc>
          <w:tcPr>
            <w:tcW w:w="3461" w:type="dxa"/>
            <w:gridSpan w:val="2"/>
            <w:shd w:val="clear" w:color="auto" w:fill="E5DFEC" w:themeFill="accent4" w:themeFillTint="33"/>
          </w:tcPr>
          <w:p w14:paraId="359707B8" w14:textId="77777777" w:rsid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Role of the CSO is highly visible and central to delivering on strategic business priorities and objectives. A security governance oversight function is operational. Security is fully integrated into entity operations, actively managed, monitored and drives improvements. Security procedures and practices are robust and of proven effectiveness. The CSO ensures personnel resources are deployed to support the maintenance of effective protective security; appointing skilled personnel according to business needs. Comprehensive approach to managing security incidents including investigating to determine root causes and inform security improvements and education programs.</w:t>
            </w:r>
          </w:p>
          <w:p w14:paraId="7E0FDEA7" w14:textId="77777777" w:rsidR="00F23887" w:rsidRPr="00377B83" w:rsidRDefault="00F23887" w:rsidP="00377B83">
            <w:pPr>
              <w:pStyle w:val="Tablebody"/>
              <w:cnfStyle w:val="000000000000" w:firstRow="0" w:lastRow="0" w:firstColumn="0" w:lastColumn="0" w:oddVBand="0" w:evenVBand="0" w:oddHBand="0" w:evenHBand="0" w:firstRowFirstColumn="0" w:firstRowLastColumn="0" w:lastRowFirstColumn="0" w:lastRowLastColumn="0"/>
            </w:pPr>
          </w:p>
          <w:p w14:paraId="41DDB171" w14:textId="77777777" w:rsid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All personnel are trained annually on security policy and procedures and take responsibility for implementation within their area of responsibility. Security culture is underpinned by continuous improvement and accountability.</w:t>
            </w:r>
          </w:p>
        </w:tc>
      </w:tr>
      <w:tr w:rsidR="00377B83" w14:paraId="3FF60FBF" w14:textId="77777777" w:rsidTr="002B0C0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2" w:type="dxa"/>
          </w:tcPr>
          <w:p w14:paraId="51AA264B" w14:textId="77777777" w:rsidR="00377B83" w:rsidRPr="00110149" w:rsidRDefault="00377B83" w:rsidP="00110149">
            <w:pPr>
              <w:spacing w:before="60" w:after="60"/>
              <w:rPr>
                <w:rStyle w:val="Strong"/>
                <w:b/>
              </w:rPr>
            </w:pPr>
            <w:r w:rsidRPr="00110149">
              <w:rPr>
                <w:rStyle w:val="Strong"/>
                <w:b/>
              </w:rPr>
              <w:lastRenderedPageBreak/>
              <w:t>Security planning</w:t>
            </w:r>
          </w:p>
        </w:tc>
        <w:tc>
          <w:tcPr>
            <w:tcW w:w="3450" w:type="dxa"/>
            <w:gridSpan w:val="2"/>
          </w:tcPr>
          <w:p w14:paraId="078BF07A"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 xml:space="preserve">Security planning is ad hoc. The security plan is partially developed and implemented but may not be current or comprehensive. </w:t>
            </w:r>
          </w:p>
        </w:tc>
        <w:tc>
          <w:tcPr>
            <w:tcW w:w="3456" w:type="dxa"/>
            <w:gridSpan w:val="2"/>
          </w:tcPr>
          <w:p w14:paraId="1E953B02"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A security plan is endorsed, captures entity’s goals and strategic objectives, key threats, risks, vulnerabilities and details of security risk tolerances and risk mitigation strategies. The plan is consistently applied across the entity in the majority of instances.</w:t>
            </w:r>
          </w:p>
        </w:tc>
        <w:tc>
          <w:tcPr>
            <w:tcW w:w="3453" w:type="dxa"/>
            <w:gridSpan w:val="2"/>
          </w:tcPr>
          <w:p w14:paraId="5E058887"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A security plan is endorsed by accountable authority and captures entity’s goals and strategic objectives, key threats, risks, vulnerabilities and details of security risk tolerances and risk mitigation strategies. The plan is regularly reviewed and informs entity’s decision-making. The plan is used to determine the security objectives and clearly supports the broader business goals. The security plan is communicated and accessible across the entity.</w:t>
            </w:r>
          </w:p>
        </w:tc>
        <w:tc>
          <w:tcPr>
            <w:tcW w:w="3461" w:type="dxa"/>
            <w:gridSpan w:val="2"/>
          </w:tcPr>
          <w:p w14:paraId="155383DA"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security plan is comprehensive in identifying goals, strategic objectives, key threats, risks, vulnerabilities, risk tolerances and risk mitigations. The security plan influences executive management decision-making and planning. The entity continuously adapts the security plan in response to emerging or changing risks and threat levels.</w:t>
            </w:r>
          </w:p>
        </w:tc>
      </w:tr>
      <w:tr w:rsidR="00377B83" w14:paraId="4504FBF2" w14:textId="77777777" w:rsidTr="002B0C02">
        <w:trPr>
          <w:cantSplit/>
        </w:trPr>
        <w:tc>
          <w:tcPr>
            <w:cnfStyle w:val="001000000000" w:firstRow="0" w:lastRow="0" w:firstColumn="1" w:lastColumn="0" w:oddVBand="0" w:evenVBand="0" w:oddHBand="0" w:evenHBand="0" w:firstRowFirstColumn="0" w:firstRowLastColumn="0" w:lastRowFirstColumn="0" w:lastRowLastColumn="0"/>
            <w:tcW w:w="1532" w:type="dxa"/>
          </w:tcPr>
          <w:p w14:paraId="5DC6EC26" w14:textId="77777777" w:rsidR="00377B83" w:rsidRPr="00110149" w:rsidRDefault="00377B83" w:rsidP="00110149">
            <w:pPr>
              <w:spacing w:before="60" w:after="60"/>
              <w:rPr>
                <w:rStyle w:val="Strong"/>
                <w:b/>
              </w:rPr>
            </w:pPr>
            <w:r w:rsidRPr="00110149">
              <w:rPr>
                <w:rStyle w:val="Strong"/>
                <w:b/>
              </w:rPr>
              <w:t>Security maturity monitoring</w:t>
            </w:r>
          </w:p>
        </w:tc>
        <w:tc>
          <w:tcPr>
            <w:tcW w:w="3450" w:type="dxa"/>
            <w:gridSpan w:val="2"/>
          </w:tcPr>
          <w:p w14:paraId="335E5EDF"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The entity partially monitors security maturity performance of its security capability and risk culture against the goals and strategic objectives identified in the entity security plan.</w:t>
            </w:r>
          </w:p>
        </w:tc>
        <w:tc>
          <w:tcPr>
            <w:tcW w:w="3456" w:type="dxa"/>
            <w:gridSpan w:val="2"/>
          </w:tcPr>
          <w:p w14:paraId="466A6E86"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Security capability and risk culture is addressed in the security plan. The performance and progress against the security plan’s goals and strategic objectives is substantially monitored regularly.</w:t>
            </w:r>
          </w:p>
        </w:tc>
        <w:tc>
          <w:tcPr>
            <w:tcW w:w="3453" w:type="dxa"/>
            <w:gridSpan w:val="2"/>
          </w:tcPr>
          <w:p w14:paraId="7C1ED887"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Consistent and defined approach to monitoring the entity’s security performance, which is tailored to the entity’s risk environment. The entity has clearly defined security goals and objectives in the security plan. Performance is tracked and measured to assess security capability and risk culture maturity.</w:t>
            </w:r>
          </w:p>
        </w:tc>
        <w:tc>
          <w:tcPr>
            <w:tcW w:w="3461" w:type="dxa"/>
            <w:gridSpan w:val="2"/>
          </w:tcPr>
          <w:p w14:paraId="4665A8AE"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The entity proactively engages in ongoing monitoring and improvement of security capability and culture through long-term planning to predict and prepare for security challenges. Performance data is captured analysed and informs change.</w:t>
            </w:r>
          </w:p>
        </w:tc>
      </w:tr>
      <w:tr w:rsidR="00377B83" w14:paraId="5AEBE4ED" w14:textId="77777777" w:rsidTr="002B0C0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2" w:type="dxa"/>
          </w:tcPr>
          <w:p w14:paraId="6B42397F" w14:textId="77777777" w:rsidR="00377B83" w:rsidRPr="00110149" w:rsidRDefault="00377B83" w:rsidP="00110149">
            <w:pPr>
              <w:spacing w:before="60" w:after="60"/>
              <w:rPr>
                <w:rStyle w:val="Strong"/>
                <w:b/>
              </w:rPr>
            </w:pPr>
            <w:r w:rsidRPr="00110149">
              <w:rPr>
                <w:rStyle w:val="Strong"/>
                <w:b/>
              </w:rPr>
              <w:lastRenderedPageBreak/>
              <w:t>Reporting on security</w:t>
            </w:r>
          </w:p>
        </w:tc>
        <w:tc>
          <w:tcPr>
            <w:tcW w:w="3450" w:type="dxa"/>
            <w:gridSpan w:val="2"/>
          </w:tcPr>
          <w:p w14:paraId="66A49B05" w14:textId="0A064EEF" w:rsidR="00377B83" w:rsidRPr="007D36E9" w:rsidRDefault="00377B83" w:rsidP="00437071">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entity has partially met external </w:t>
            </w:r>
            <w:r w:rsidRPr="004D59E8">
              <w:rPr>
                <w:color w:val="auto"/>
              </w:rPr>
              <w:t>reporting obligations to its portfolio minister, AGD</w:t>
            </w:r>
            <w:r w:rsidR="00437071" w:rsidRPr="004D59E8">
              <w:rPr>
                <w:color w:val="auto"/>
              </w:rPr>
              <w:t>,</w:t>
            </w:r>
            <w:r w:rsidRPr="004D59E8">
              <w:rPr>
                <w:color w:val="auto"/>
              </w:rPr>
              <w:t xml:space="preserve"> other affected entities</w:t>
            </w:r>
            <w:r w:rsidR="00437071" w:rsidRPr="004D59E8">
              <w:rPr>
                <w:color w:val="auto"/>
              </w:rPr>
              <w:t xml:space="preserve"> and ASD on cyber security matters</w:t>
            </w:r>
            <w:r w:rsidRPr="004D59E8">
              <w:rPr>
                <w:color w:val="auto"/>
              </w:rPr>
              <w:t>. Reporting on the entity’s achievement of security outcomes, implementation of core requirements, maturity of security capability, key risks to people, information and personnel and mitigation strategies</w:t>
            </w:r>
            <w:r w:rsidR="00437071" w:rsidRPr="004D59E8">
              <w:rPr>
                <w:color w:val="auto"/>
              </w:rPr>
              <w:t xml:space="preserve"> to manage identified risks </w:t>
            </w:r>
            <w:r w:rsidRPr="004D59E8">
              <w:rPr>
                <w:color w:val="auto"/>
              </w:rPr>
              <w:t>is partial and ad hoc.</w:t>
            </w:r>
          </w:p>
        </w:tc>
        <w:tc>
          <w:tcPr>
            <w:tcW w:w="3456" w:type="dxa"/>
            <w:gridSpan w:val="2"/>
          </w:tcPr>
          <w:p w14:paraId="53DBFF95" w14:textId="2F0EEAC9" w:rsidR="00377B83" w:rsidRPr="007D36E9" w:rsidRDefault="00377B83" w:rsidP="00437071">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entity substantially meets external reporting obligations to the portfolio </w:t>
            </w:r>
            <w:r w:rsidRPr="004D59E8">
              <w:rPr>
                <w:color w:val="auto"/>
              </w:rPr>
              <w:t>minister, AGD</w:t>
            </w:r>
            <w:r w:rsidR="00437071" w:rsidRPr="004D59E8">
              <w:rPr>
                <w:color w:val="auto"/>
              </w:rPr>
              <w:t>,</w:t>
            </w:r>
            <w:r w:rsidRPr="004D59E8">
              <w:rPr>
                <w:color w:val="auto"/>
              </w:rPr>
              <w:t xml:space="preserve"> other affected entities</w:t>
            </w:r>
            <w:r w:rsidR="00437071" w:rsidRPr="004D59E8">
              <w:rPr>
                <w:color w:val="auto"/>
              </w:rPr>
              <w:t xml:space="preserve"> and ASD on cyber security matters</w:t>
            </w:r>
            <w:r w:rsidRPr="004D59E8">
              <w:rPr>
                <w:color w:val="auto"/>
              </w:rPr>
              <w:t xml:space="preserve">. The entity’s achievement of security outcomes, implementation of core requirements, maturity of security capability, key risks to people, information and personnel and mitigation strategies </w:t>
            </w:r>
            <w:r w:rsidR="004743DC" w:rsidRPr="004D59E8">
              <w:rPr>
                <w:color w:val="auto"/>
              </w:rPr>
              <w:t xml:space="preserve">to manage identified risks </w:t>
            </w:r>
            <w:r w:rsidRPr="004D59E8">
              <w:rPr>
                <w:color w:val="auto"/>
              </w:rPr>
              <w:t xml:space="preserve">is substantially captured </w:t>
            </w:r>
            <w:r w:rsidRPr="007D36E9">
              <w:t>in the annual security report.</w:t>
            </w:r>
          </w:p>
        </w:tc>
        <w:tc>
          <w:tcPr>
            <w:tcW w:w="3453" w:type="dxa"/>
            <w:gridSpan w:val="2"/>
          </w:tcPr>
          <w:p w14:paraId="39E8DF21" w14:textId="2F335416" w:rsidR="00377B83" w:rsidRPr="00377B83" w:rsidRDefault="00377B83" w:rsidP="004743DC">
            <w:pPr>
              <w:pStyle w:val="Tablebody"/>
              <w:cnfStyle w:val="000000100000" w:firstRow="0" w:lastRow="0" w:firstColumn="0" w:lastColumn="0" w:oddVBand="0" w:evenVBand="0" w:oddHBand="1" w:evenHBand="0" w:firstRowFirstColumn="0" w:firstRowLastColumn="0" w:lastRowFirstColumn="0" w:lastRowLastColumn="0"/>
            </w:pPr>
            <w:r w:rsidRPr="00377B83">
              <w:t>The entity meets all external reporting obligations within required timeframes to the portfolio minister, AGD</w:t>
            </w:r>
            <w:r w:rsidR="004743DC">
              <w:t>,</w:t>
            </w:r>
            <w:r w:rsidRPr="00377B83">
              <w:t xml:space="preserve"> other affected </w:t>
            </w:r>
            <w:r w:rsidRPr="004D59E8">
              <w:rPr>
                <w:color w:val="auto"/>
              </w:rPr>
              <w:t xml:space="preserve">entities </w:t>
            </w:r>
            <w:r w:rsidR="004743DC" w:rsidRPr="004D59E8">
              <w:rPr>
                <w:color w:val="auto"/>
              </w:rPr>
              <w:t xml:space="preserve">and </w:t>
            </w:r>
            <w:r w:rsidR="004743DC" w:rsidRPr="004D59E8">
              <w:rPr>
                <w:color w:val="auto"/>
              </w:rPr>
              <w:br/>
              <w:t>ASD on cyber security matters</w:t>
            </w:r>
            <w:r w:rsidR="00795D95" w:rsidRPr="004D59E8">
              <w:rPr>
                <w:color w:val="auto"/>
              </w:rPr>
              <w:t>. The entity meets these obligations</w:t>
            </w:r>
            <w:r w:rsidR="004743DC" w:rsidRPr="004D59E8">
              <w:rPr>
                <w:color w:val="auto"/>
              </w:rPr>
              <w:t xml:space="preserve"> </w:t>
            </w:r>
            <w:r w:rsidRPr="004D59E8">
              <w:rPr>
                <w:color w:val="auto"/>
              </w:rPr>
              <w:t>through comprehensive reporting on achievement of security outcomes</w:t>
            </w:r>
            <w:r w:rsidRPr="00377B83">
              <w:t>, implementation of core requirements, maturity of security capability, key risks to people, information and personnel and mitigation strategies. Key findings and trends are shared within the entity.</w:t>
            </w:r>
          </w:p>
        </w:tc>
        <w:tc>
          <w:tcPr>
            <w:tcW w:w="3461" w:type="dxa"/>
            <w:gridSpan w:val="2"/>
          </w:tcPr>
          <w:p w14:paraId="35C4D353"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entity excels in meeting reporting obligations and uses annual reporting to drive improvements, strengthen security culture and inform future planning.</w:t>
            </w:r>
          </w:p>
        </w:tc>
      </w:tr>
      <w:tr w:rsidR="00377B83" w14:paraId="7495182E" w14:textId="77777777" w:rsidTr="002B0C02">
        <w:trPr>
          <w:cantSplit/>
        </w:trPr>
        <w:tc>
          <w:tcPr>
            <w:cnfStyle w:val="001000000000" w:firstRow="0" w:lastRow="0" w:firstColumn="1" w:lastColumn="0" w:oddVBand="0" w:evenVBand="0" w:oddHBand="0" w:evenHBand="0" w:firstRowFirstColumn="0" w:firstRowLastColumn="0" w:lastRowFirstColumn="0" w:lastRowLastColumn="0"/>
            <w:tcW w:w="1532" w:type="dxa"/>
          </w:tcPr>
          <w:p w14:paraId="26BA46C5" w14:textId="77777777" w:rsidR="00377B83" w:rsidRPr="00110149" w:rsidRDefault="00377B83" w:rsidP="00110149">
            <w:pPr>
              <w:spacing w:before="60" w:after="60"/>
              <w:rPr>
                <w:rStyle w:val="Strong"/>
                <w:b/>
              </w:rPr>
            </w:pPr>
            <w:r>
              <w:rPr>
                <w:rStyle w:val="Strong"/>
                <w:b/>
              </w:rPr>
              <w:t>Security governance for c</w:t>
            </w:r>
            <w:r w:rsidRPr="00110149">
              <w:rPr>
                <w:rStyle w:val="Strong"/>
                <w:b/>
              </w:rPr>
              <w:t xml:space="preserve">ontracted </w:t>
            </w:r>
            <w:r>
              <w:rPr>
                <w:rStyle w:val="Strong"/>
                <w:b/>
              </w:rPr>
              <w:t xml:space="preserve">goods and </w:t>
            </w:r>
            <w:r w:rsidRPr="00110149">
              <w:rPr>
                <w:rStyle w:val="Strong"/>
                <w:b/>
              </w:rPr>
              <w:t>service providers</w:t>
            </w:r>
          </w:p>
        </w:tc>
        <w:tc>
          <w:tcPr>
            <w:tcW w:w="3450" w:type="dxa"/>
            <w:gridSpan w:val="2"/>
          </w:tcPr>
          <w:p w14:paraId="5339B1E8" w14:textId="77777777" w:rsidR="00377B83" w:rsidRP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7D36E9">
              <w:t>Protective security provisions are partially included in goods and service provider contracts. The entity partially monitors service providers’ adherence to contract provisions.</w:t>
            </w:r>
          </w:p>
        </w:tc>
        <w:tc>
          <w:tcPr>
            <w:tcW w:w="3456" w:type="dxa"/>
            <w:gridSpan w:val="2"/>
          </w:tcPr>
          <w:p w14:paraId="676AEFEA" w14:textId="77777777" w:rsidR="00377B83" w:rsidRPr="007D36E9"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7D36E9">
              <w:t>Appropriate security obligation clauses are included in the majority of provider contracts. The entity substantially applies processes to monitor service provider adherence to contract provisions.</w:t>
            </w:r>
          </w:p>
        </w:tc>
        <w:tc>
          <w:tcPr>
            <w:tcW w:w="3453" w:type="dxa"/>
            <w:gridSpan w:val="2"/>
          </w:tcPr>
          <w:p w14:paraId="0C82CDA9"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Provider contracts contain explicit provisions to ensure implementation of relevant protective security requirements. The entity uses processes to monitor service providers’ adherence to contract provisions and security obligations.</w:t>
            </w:r>
          </w:p>
        </w:tc>
        <w:tc>
          <w:tcPr>
            <w:tcW w:w="3461" w:type="dxa"/>
            <w:gridSpan w:val="2"/>
          </w:tcPr>
          <w:p w14:paraId="11188438" w14:textId="77777777" w:rsidR="00377B83" w:rsidRPr="00377B83" w:rsidRDefault="00377B83" w:rsidP="00377B83">
            <w:pPr>
              <w:pStyle w:val="Tablebody"/>
              <w:cnfStyle w:val="000000000000" w:firstRow="0" w:lastRow="0" w:firstColumn="0" w:lastColumn="0" w:oddVBand="0" w:evenVBand="0" w:oddHBand="0" w:evenHBand="0" w:firstRowFirstColumn="0" w:firstRowLastColumn="0" w:lastRowFirstColumn="0" w:lastRowLastColumn="0"/>
            </w:pPr>
            <w:r w:rsidRPr="00377B83">
              <w:t xml:space="preserve">The entity actively monitors and audits service provider capability to fully implement contractual protective security requirements. Where appropriate, the entity supports contractors to achieve security outcomes. </w:t>
            </w:r>
          </w:p>
        </w:tc>
      </w:tr>
      <w:tr w:rsidR="00377B83" w14:paraId="3AB74071" w14:textId="77777777" w:rsidTr="002B0C02">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2" w:type="dxa"/>
          </w:tcPr>
          <w:p w14:paraId="16CD93A0" w14:textId="77777777" w:rsidR="00377B83" w:rsidRPr="00110149" w:rsidRDefault="00377B83" w:rsidP="00110149">
            <w:pPr>
              <w:spacing w:before="60" w:after="60"/>
              <w:rPr>
                <w:rStyle w:val="Strong"/>
                <w:b/>
              </w:rPr>
            </w:pPr>
            <w:r>
              <w:rPr>
                <w:rStyle w:val="Strong"/>
                <w:b/>
              </w:rPr>
              <w:lastRenderedPageBreak/>
              <w:t>Security governance for i</w:t>
            </w:r>
            <w:r w:rsidRPr="00110149">
              <w:rPr>
                <w:rStyle w:val="Strong"/>
                <w:b/>
              </w:rPr>
              <w:t>nternational sharing</w:t>
            </w:r>
          </w:p>
        </w:tc>
        <w:tc>
          <w:tcPr>
            <w:tcW w:w="3450" w:type="dxa"/>
            <w:gridSpan w:val="2"/>
          </w:tcPr>
          <w:p w14:paraId="67A51ECA" w14:textId="77777777" w:rsidR="00377B83" w:rsidRPr="007D36E9"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7D36E9">
              <w:t>The entity has access to foreign government information and assets and partially understands and implements handling and protection requirements agreed in international agreements and arrangements to which Australia is a party.</w:t>
            </w:r>
          </w:p>
        </w:tc>
        <w:tc>
          <w:tcPr>
            <w:tcW w:w="3456" w:type="dxa"/>
            <w:gridSpan w:val="2"/>
          </w:tcPr>
          <w:p w14:paraId="449B1807" w14:textId="77777777" w:rsidR="00377B83" w:rsidRPr="007D36E9"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7D36E9">
              <w:t xml:space="preserve">The entity has access to foreign government information and assets. There is substantial awareness, through training and accessibility of applicable agreements, of the level of handling protection requirements agreed in international agreements and arrangements to which Australia is a party. </w:t>
            </w:r>
          </w:p>
        </w:tc>
        <w:tc>
          <w:tcPr>
            <w:tcW w:w="3453" w:type="dxa"/>
            <w:gridSpan w:val="2"/>
          </w:tcPr>
          <w:p w14:paraId="0CF5ACEC"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entity has access to foreign government information and assets and consistently applies handling protection requirements agreed in international agreements and arrangements to which Australia is a party. Alternatively, the entity is confident it does not access any information or assets that would be governed by international agreements or arrangements to which Australia is a party.</w:t>
            </w:r>
          </w:p>
        </w:tc>
        <w:tc>
          <w:tcPr>
            <w:tcW w:w="3461" w:type="dxa"/>
            <w:gridSpan w:val="2"/>
          </w:tcPr>
          <w:p w14:paraId="47F78E2F" w14:textId="77777777" w:rsid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Where an entity has access to foreign government information and assets, it actively implements and monitors handling requirements agreed in international agreements and arrangements to which Australia is a party – and these are consistently applied.</w:t>
            </w:r>
          </w:p>
          <w:p w14:paraId="7F16809B" w14:textId="77777777" w:rsidR="00F23887" w:rsidRPr="00377B83" w:rsidRDefault="00F23887" w:rsidP="00377B83">
            <w:pPr>
              <w:pStyle w:val="Tablebody"/>
              <w:cnfStyle w:val="000000100000" w:firstRow="0" w:lastRow="0" w:firstColumn="0" w:lastColumn="0" w:oddVBand="0" w:evenVBand="0" w:oddHBand="1" w:evenHBand="0" w:firstRowFirstColumn="0" w:firstRowLastColumn="0" w:lastRowFirstColumn="0" w:lastRowLastColumn="0"/>
            </w:pPr>
          </w:p>
          <w:p w14:paraId="1D50AADA" w14:textId="77777777" w:rsidR="00377B83" w:rsidRPr="00377B83" w:rsidRDefault="00377B83" w:rsidP="00377B83">
            <w:pPr>
              <w:pStyle w:val="Tablebody"/>
              <w:cnfStyle w:val="000000100000" w:firstRow="0" w:lastRow="0" w:firstColumn="0" w:lastColumn="0" w:oddVBand="0" w:evenVBand="0" w:oddHBand="1" w:evenHBand="0" w:firstRowFirstColumn="0" w:firstRowLastColumn="0" w:lastRowFirstColumn="0" w:lastRowLastColumn="0"/>
            </w:pPr>
            <w:r w:rsidRPr="00377B83">
              <w:t>The entity proactively contributes to, and identifies, opportunities to evolve multilateral, bilateral agreements and arrangements to which Australia is a party on sharing and protection of information and assets.</w:t>
            </w:r>
          </w:p>
        </w:tc>
      </w:tr>
    </w:tbl>
    <w:p w14:paraId="23B9E9D4" w14:textId="77777777" w:rsidR="009F2390" w:rsidRDefault="009F2390" w:rsidP="003A74DA"/>
    <w:p w14:paraId="39A3F5FB" w14:textId="77777777" w:rsidR="009F2390" w:rsidRDefault="009F2390" w:rsidP="003A74DA">
      <w:r>
        <w:br w:type="page"/>
      </w:r>
    </w:p>
    <w:p w14:paraId="23300153" w14:textId="2E4C213D" w:rsidR="0075565E" w:rsidRPr="00BD4661" w:rsidRDefault="0075565E" w:rsidP="00FE19D2">
      <w:pPr>
        <w:pStyle w:val="Heading3"/>
        <w:numPr>
          <w:ilvl w:val="0"/>
          <w:numId w:val="0"/>
        </w:numPr>
        <w:ind w:left="576"/>
      </w:pPr>
      <w:r w:rsidRPr="00BD4661">
        <w:lastRenderedPageBreak/>
        <w:t>Information security</w:t>
      </w:r>
    </w:p>
    <w:p w14:paraId="03AF9191" w14:textId="77777777" w:rsidR="0075565E" w:rsidRPr="00BD4661" w:rsidRDefault="0075565E" w:rsidP="00FE19D2">
      <w:r w:rsidRPr="00FC4202">
        <w:rPr>
          <w:b/>
        </w:rPr>
        <w:t xml:space="preserve">Outcome: </w:t>
      </w:r>
      <w:r w:rsidRPr="00BD4661">
        <w:t>Each entity maintains the confidentiality, integrity and availability of all official information.</w:t>
      </w:r>
    </w:p>
    <w:p w14:paraId="017014F0" w14:textId="77777777" w:rsidR="0075565E" w:rsidRDefault="0075565E" w:rsidP="0075565E">
      <w:pPr>
        <w:pStyle w:val="Caption"/>
        <w:numPr>
          <w:ilvl w:val="0"/>
          <w:numId w:val="28"/>
        </w:numPr>
      </w:pPr>
      <w:r>
        <w:t xml:space="preserve">Table </w:t>
      </w:r>
      <w:r w:rsidR="00E27F29">
        <w:rPr>
          <w:noProof/>
        </w:rPr>
        <w:fldChar w:fldCharType="begin"/>
      </w:r>
      <w:r w:rsidR="00E27F29">
        <w:rPr>
          <w:noProof/>
        </w:rPr>
        <w:instrText xml:space="preserve"> SEQ Annex_Table \* ARABIC </w:instrText>
      </w:r>
      <w:r w:rsidR="00E27F29">
        <w:rPr>
          <w:noProof/>
        </w:rPr>
        <w:fldChar w:fldCharType="separate"/>
      </w:r>
      <w:r w:rsidR="001039E5">
        <w:rPr>
          <w:noProof/>
        </w:rPr>
        <w:t>2</w:t>
      </w:r>
      <w:r w:rsidR="00E27F29">
        <w:rPr>
          <w:noProof/>
        </w:rPr>
        <w:fldChar w:fldCharType="end"/>
      </w:r>
      <w:r w:rsidRPr="005F4A34">
        <w:t xml:space="preserve"> </w:t>
      </w:r>
      <w:r>
        <w:t xml:space="preserve">PSPF </w:t>
      </w:r>
      <w:r w:rsidR="00D41536">
        <w:t>Maturity Self-Assessment Model</w:t>
      </w:r>
      <w:r>
        <w:t xml:space="preserve"> – information security</w:t>
      </w:r>
    </w:p>
    <w:tbl>
      <w:tblPr>
        <w:tblStyle w:val="LightShading-Accent4"/>
        <w:tblW w:w="0" w:type="auto"/>
        <w:tblLook w:val="04A0" w:firstRow="1" w:lastRow="0" w:firstColumn="1" w:lastColumn="0" w:noHBand="0" w:noVBand="1"/>
        <w:tblCaption w:val="PSPF maturity self assessment model - Information security"/>
        <w:tblDescription w:val="This table supports self-assessment of maturity for each of the PSPF's core requirements relating to information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sensitive and classified information, each maturity level is described as follows.&#10;Ad hoc: The entity has a partial understanding of its information asset holdings. Procedures and operational controls to protect official government information assets proportional to their value, importance and sensitivity are ad hoc.  &#10;Developing: The entity knows the value of its information asset holdings and has established operational controls to ensure official government information is managed in accordance with minimum protections identified in the PSPF policy: Sensitive and classified information. The entity monitors and controls classified information holdings in the context of its risk environment. &#10;Managing: The entity knows the value of its information asset holdings and operational controls are in place to ensure official government information asset holdings are consistently handled in accordance with minimum protections identified in the PSPF policy: Sensitive and classified information, proportional to their value, importance and sensitivity. &#10;Embedded: The entity culture actively supports the consistent and appropriate handling of official government information asset holdings in accordance with minimum protections identified in the PSPF policy: Sensitive and classified information. In a heightened risk environment, the entity closely monitors and controls classified information asset holdings.&#10;&#10;For the core requirement on access to information, each maturity level is described as follows.&#10;As hoc: Information access controls and security procedures are partially in place. Standards on information sharing, access to sensitive and security classified information and controlling access to supporting ICT systems and data holdings are partially applied.  &#10;Developing: Processes are substantially in place to enable appropriate sharing of information with relevant stakeholders who have a need-to-know and are appropriately security cleared. Access controls are substantially implemented to limit unauthorised access to supporting ICT systems and data holdings in accordance with the information access controls standards.  &#10;Managing: Information holdings are accessed and shared with appropriately security cleared personnel who have a need-to-know. Access controls support the integrity of ICT systems and data holdings. Embedded: The entity proactively refines and reinforces information management processes and access controls to ensure protection of information and currency of systems to protect against emerging threats and issues. Information is shared with appropriately security cleared personnel who have a need-to-know. Systems are in place to detect, monitor and respond to irregular access to information or systems in real-time.&#10;&#10;For the core requirement on safeguarding from cyber threats, each maturity level is described as follows.&#10;Ad hoc: Partial implementation of Top 4 strategies to mitigate targeted cyber intrusions. Reactive approach to emerging cyber intrusions and threats. &#10;Developing: The entity has implemented the majority of the Top 4 strategies to mitigate targeted cyber intrusions and has developed a substantial understanding of emerging cyber intrusions and threats. &#10;Managing: All Top 4 strategies to mitigate targeted cyber intrusions have been fully implemented with ongoing monitoring of performance. The entity’s procedures and systems are sufficient to mitigate known cyber intrusions and emerging threats.  &#10;Embedded: The entity has fully implemented the Essential Eight, and other activities relevant to the entity’s risk environment, to protect against harm from identified cyber threats. Processes are regularly tested to ensure real-time response to potential cyber intrusions and emerging threats.&#10;&#10;For the core requirement on robust ICT systems, each maturity level is described as follows.&#10;Ad hoc: Partial security measures are in place for ICT system development. Management of ICT systems certification and accreditation is ad hoc and partially implemented in accordance with relevant Information Security Manual technical standards when operationalised.&#10;Developing: Security measures are substantially in place for ICT system development. Certification and accreditation of ICT systems is in accordance with ISM technical standards in the majority of cases managed when operationalised.  &#10;Managing: Security measures are applied during all stages of ICT system development. ICT systems are certified and accredited in accordance with ISM technical standards when operationalised. &#10;Embedded: ICT security measures, including ICT systems certification and accreditation are in accordance with the ISM technical standards. The entity excels in proactively exploring opportunities to further improve ICT security protections in response to ICT security threats. &#10;&#10;&#10;&#10;"/>
      </w:tblPr>
      <w:tblGrid>
        <w:gridCol w:w="1527"/>
        <w:gridCol w:w="837"/>
        <w:gridCol w:w="2615"/>
        <w:gridCol w:w="1199"/>
        <w:gridCol w:w="2258"/>
        <w:gridCol w:w="1082"/>
        <w:gridCol w:w="2372"/>
        <w:gridCol w:w="1150"/>
        <w:gridCol w:w="2312"/>
      </w:tblGrid>
      <w:tr w:rsidR="0075565E" w14:paraId="7DE08D2E" w14:textId="77777777" w:rsidTr="00F23887">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43DFE393" w14:textId="77777777" w:rsidR="0075565E" w:rsidRPr="0036554D" w:rsidRDefault="0075565E" w:rsidP="00F23887">
            <w:pPr>
              <w:keepNext/>
              <w:rPr>
                <w:rStyle w:val="Strong"/>
              </w:rPr>
            </w:pPr>
          </w:p>
        </w:tc>
        <w:tc>
          <w:tcPr>
            <w:tcW w:w="841" w:type="dxa"/>
          </w:tcPr>
          <w:p w14:paraId="7F2A5491" w14:textId="77777777" w:rsidR="0075565E"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67" w:type="dxa"/>
          </w:tcPr>
          <w:p w14:paraId="15FB4600" w14:textId="77777777" w:rsidR="0075565E" w:rsidRPr="00C166C3"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128F3A3E" wp14:editId="1BBA0BBB">
                      <wp:extent cx="216024" cy="216024"/>
                      <wp:effectExtent l="0" t="0" r="12700" b="12700"/>
                      <wp:docPr id="226"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27" name="Pie 227"/>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8" name="Oval 228"/>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990E016"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">
                      <v:shape id="Pie 227"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A+scA&#10;AADcAAAADwAAAGRycy9kb3ducmV2LnhtbESPQWvCQBSE74X+h+UVvNVNU9ASXUUKglpUTDzo7ZF9&#10;Jmmzb9PsNsZ/3y0IPQ4z8w0znfemFh21rrKs4GUYgSDOra64UHDMls9vIJxH1lhbJgU3cjCfPT5M&#10;MdH2ygfqUl+IAGGXoILS+yaR0uUlGXRD2xAH72Jbgz7ItpC6xWuAm1rGUTSSBisOCyU29F5S/pX+&#10;GAXbj/Vi1x2LszyNDut0//qdyc+NUoOnfjEB4an3/+F7e6UVxPEY/s6EIyB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sgPrHAAAA3AAAAA8AAAAAAAAAAAAAAAAAmAIAAGRy&#10;cy9kb3ducmV2LnhtbFBLBQYAAAAABAAEAPUAAACM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228"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CKJMEA&#10;AADcAAAADwAAAGRycy9kb3ducmV2LnhtbERPTYvCMBC9C/6HMII3Te1BlmoUseh6EtRlxduQjG2x&#10;mZQkq/Xfbw4Le3y87+W6t614kg+NYwWzaQaCWDvTcKXg67KbfIAIEdlg65gUvCnAejUcLLEw7sUn&#10;ep5jJVIIhwIV1DF2hZRB12QxTF1HnLi78xZjgr6SxuMrhdtW5lk2lxYbTg01drStST/OP1bBZn+7&#10;HY/99nL1n5q+83tZ6lOp1HjUbxYgIvXxX/znPhgFeZ7WpjPpCM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QiiTBAAAA3AAAAA8AAAAAAAAAAAAAAAAAmAIAAGRycy9kb3du&#10;cmV2LnhtbFBLBQYAAAAABAAEAPUAAACGAwAAAAA=&#10;" filled="f" strokecolor="#8064a2" strokeweight=".5pt"/>
                      <w10:anchorlock/>
                    </v:group>
                  </w:pict>
                </mc:Fallback>
              </mc:AlternateContent>
            </w:r>
          </w:p>
        </w:tc>
        <w:tc>
          <w:tcPr>
            <w:tcW w:w="1200" w:type="dxa"/>
          </w:tcPr>
          <w:p w14:paraId="63B92346" w14:textId="77777777" w:rsidR="0075565E"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308" w:type="dxa"/>
          </w:tcPr>
          <w:p w14:paraId="508B13E3" w14:textId="77777777" w:rsidR="0075565E" w:rsidRPr="00C166C3"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4B60C90B" wp14:editId="5B0D891B">
                      <wp:extent cx="216024" cy="216024"/>
                      <wp:effectExtent l="0" t="0" r="12700" b="12700"/>
                      <wp:docPr id="229"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30" name="Pie 230"/>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1" name="Oval 231"/>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5BAE149"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">
                      <v:shape id="Pie 230"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OU8QA&#10;AADcAAAADwAAAGRycy9kb3ducmV2LnhtbERPTWvCQBC9F/oflin0VjdVCJK6CVIo1IqK0UN7G7Jj&#10;EpudTbNrEv+9exB6fLzvRTaaRvTUudqygtdJBIK4sLrmUsHx8PEyB+E8ssbGMim4koMsfXxYYKLt&#10;wHvqc1+KEMIuQQWV920ipSsqMugmtiUO3Ml2Bn2AXSl1h0MIN42cRlEsDdYcGips6b2i4je/GAWb&#10;9Wq57Y/lj/yO96t8N/s7yPOXUs9P4/INhKfR/4vv7k+tYDoL88OZcARk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cjlPEAAAA3AAAAA8AAAAAAAAAAAAAAAAAmAIAAGRycy9k&#10;b3ducmV2LnhtbFBLBQYAAAAABAAEAPUAAACJAw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231"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1ZMUA&#10;AADcAAAADwAAAGRycy9kb3ducmV2LnhtbESPT2sCMRTE74LfITyhN826BSlbo4hLa0+Cf2jx9kie&#10;u0s3L0sSdfvtjSD0OMzMb5j5sretuJIPjWMF00kGglg703Cl4Hj4GL+BCBHZYOuYFPxRgOViOJhj&#10;YdyNd3Tdx0okCIcCFdQxdoWUQddkMUxcR5y8s/MWY5K+ksbjLcFtK/Msm0mLDaeFGjta16R/9xer&#10;YPV5Om23/frw4zeavvNzWepdqdTLqF+9g4jUx//ws/1lFOSvU3icS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87VkxQAAANwAAAAPAAAAAAAAAAAAAAAAAJgCAABkcnMv&#10;ZG93bnJldi54bWxQSwUGAAAAAAQABAD1AAAAigMAAAAA&#10;" filled="f" strokecolor="#8064a2" strokeweight=".5pt"/>
                      <w10:anchorlock/>
                    </v:group>
                  </w:pict>
                </mc:Fallback>
              </mc:AlternateContent>
            </w:r>
          </w:p>
        </w:tc>
        <w:tc>
          <w:tcPr>
            <w:tcW w:w="1083" w:type="dxa"/>
          </w:tcPr>
          <w:p w14:paraId="0286D50B" w14:textId="77777777" w:rsidR="0075565E"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425" w:type="dxa"/>
          </w:tcPr>
          <w:p w14:paraId="09A7B7DA" w14:textId="77777777" w:rsidR="0075565E" w:rsidRPr="00C166C3"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3151B00B" wp14:editId="25DB6AAB">
                      <wp:extent cx="216024" cy="216024"/>
                      <wp:effectExtent l="0" t="0" r="12700" b="12700"/>
                      <wp:docPr id="232"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018E2A54"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AtET7EDgIAAIs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0244EA29" w14:textId="77777777" w:rsidR="0075565E"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58" w:type="dxa"/>
          </w:tcPr>
          <w:p w14:paraId="28D7E7B3" w14:textId="77777777" w:rsidR="0075565E" w:rsidRPr="00C166C3" w:rsidRDefault="0075565E" w:rsidP="00F23887">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6D97DF56" wp14:editId="765FCF70">
                      <wp:extent cx="339400" cy="339400"/>
                      <wp:effectExtent l="0" t="0" r="3810" b="3810"/>
                      <wp:docPr id="233"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240" name="Oval 240"/>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1" name="Oval 241"/>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06F902BE"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">
                      <v:oval id="Oval 240"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jEfcAA&#10;AADcAAAADwAAAGRycy9kb3ducmV2LnhtbERPzYrCMBC+C/sOYRa8abpFRLtGkcVdBEGw9gFmm7Ep&#10;NpPSRFvf3hwEjx/f/2oz2EbcqfO1YwVf0wQEcel0zZWC4vw7WYDwAVlj45gUPMjDZv0xWmGmXc8n&#10;uuehEjGEfYYKTAhtJqUvDVn0U9cSR+7iOoshwq6SusM+httGpkkylxZrjg0GW/oxVF7zm1VwrKRZ&#10;/h/a3V9an5nzouivQ6LU+HPYfoMINIS3+OXeawXpLM6PZ+IR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jEfcAAAADcAAAADwAAAAAAAAAAAAAAAACYAgAAZHJzL2Rvd25y&#10;ZXYueG1sUEsFBgAAAAAEAAQA9QAAAIUDAAAAAA==&#10;" fillcolor="#4bacc6" stroked="f" strokeweight="3pt">
                        <v:stroke dashstyle="1 1"/>
                      </v:oval>
                      <v:oval id="Oval 241"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DM+MIA&#10;AADcAAAADwAAAGRycy9kb3ducmV2LnhtbESPzYrCQBCE7wu+w9DCXhadKCoSHUWEsNmbfw/QZNok&#10;mOkJmVbj2zsLC3ssquorar3tXaMe1IXas4HJOAFFXHhbc2ngcs5GS1BBkC02nsnAiwJsN4OPNabW&#10;P/lIj5OUKkI4pGigEmlTrUNRkcMw9i1x9K6+cyhRdqW2HT4j3DV6miQL7bDmuFBhS/uKitvp7gzY&#10;xeyauyb7luzL7ml3mOcH+THmc9jvVqCEevkP/7Vza2A6m8DvmXgE9OY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EMz4wgAAANwAAAAPAAAAAAAAAAAAAAAAAJgCAABkcnMvZG93&#10;bnJldi54bWxQSwUGAAAAAAQABAD1AAAAhwMAAAAA&#10;" fillcolor="#8064a2" stroked="f" strokeweight="3pt">
                        <v:stroke dashstyle="1 1"/>
                      </v:oval>
                      <w10:anchorlock/>
                    </v:group>
                  </w:pict>
                </mc:Fallback>
              </mc:AlternateContent>
            </w:r>
          </w:p>
        </w:tc>
      </w:tr>
      <w:tr w:rsidR="0075565E" w14:paraId="705C8AE7" w14:textId="77777777" w:rsidTr="00F23887">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2A950EC8" w14:textId="77777777" w:rsidR="0075565E" w:rsidRPr="0036554D" w:rsidRDefault="0075565E" w:rsidP="0075565E">
            <w:pPr>
              <w:keepNext/>
              <w:rPr>
                <w:rStyle w:val="Strong"/>
              </w:rPr>
            </w:pPr>
            <w:r w:rsidRPr="0036554D">
              <w:rPr>
                <w:rStyle w:val="Strong"/>
                <w:b/>
                <w:bCs w:val="0"/>
              </w:rPr>
              <w:t>Description</w:t>
            </w:r>
          </w:p>
        </w:tc>
        <w:tc>
          <w:tcPr>
            <w:tcW w:w="3508" w:type="dxa"/>
            <w:gridSpan w:val="2"/>
            <w:shd w:val="clear" w:color="auto" w:fill="auto"/>
          </w:tcPr>
          <w:p w14:paraId="3364C5E1" w14:textId="77777777" w:rsidR="0075565E" w:rsidRPr="00377B83"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508" w:type="dxa"/>
            <w:gridSpan w:val="2"/>
            <w:shd w:val="clear" w:color="auto" w:fill="auto"/>
          </w:tcPr>
          <w:p w14:paraId="3C081D8F" w14:textId="77777777" w:rsidR="0075565E" w:rsidRPr="00377B83"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508" w:type="dxa"/>
            <w:gridSpan w:val="2"/>
            <w:shd w:val="clear" w:color="auto" w:fill="auto"/>
          </w:tcPr>
          <w:p w14:paraId="1E62C21B" w14:textId="77777777" w:rsidR="0075565E" w:rsidRPr="0063688B"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509" w:type="dxa"/>
            <w:gridSpan w:val="2"/>
            <w:shd w:val="clear" w:color="auto" w:fill="auto"/>
          </w:tcPr>
          <w:p w14:paraId="4DBD4067" w14:textId="77777777" w:rsidR="0075565E" w:rsidRPr="0063688B"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75565E" w14:paraId="4F749317" w14:textId="77777777" w:rsidTr="00F238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Borders>
              <w:top w:val="single" w:sz="8" w:space="0" w:color="8064A2" w:themeColor="accent4"/>
              <w:bottom w:val="nil"/>
            </w:tcBorders>
            <w:shd w:val="clear" w:color="auto" w:fill="DFD8E8"/>
          </w:tcPr>
          <w:p w14:paraId="2949B7CE" w14:textId="77777777" w:rsidR="0075565E" w:rsidRPr="00377B83" w:rsidRDefault="0075565E" w:rsidP="00377B83">
            <w:pPr>
              <w:spacing w:before="60" w:after="60"/>
              <w:rPr>
                <w:rStyle w:val="Strong"/>
                <w:b/>
              </w:rPr>
            </w:pPr>
            <w:r w:rsidRPr="00377B83">
              <w:rPr>
                <w:rStyle w:val="Strong"/>
                <w:b/>
              </w:rPr>
              <w:t>Sensitive and classified information</w:t>
            </w:r>
          </w:p>
        </w:tc>
        <w:tc>
          <w:tcPr>
            <w:tcW w:w="3508" w:type="dxa"/>
            <w:gridSpan w:val="2"/>
            <w:tcBorders>
              <w:top w:val="single" w:sz="8" w:space="0" w:color="8064A2" w:themeColor="accent4"/>
              <w:bottom w:val="nil"/>
            </w:tcBorders>
            <w:shd w:val="clear" w:color="auto" w:fill="DFD8E8"/>
          </w:tcPr>
          <w:p w14:paraId="0C1D254B" w14:textId="1ABBD83B" w:rsidR="0075565E" w:rsidRPr="00D76F45" w:rsidRDefault="0075565E" w:rsidP="00AC28BE">
            <w:pPr>
              <w:pStyle w:val="Tablebody"/>
              <w:cnfStyle w:val="000000100000" w:firstRow="0" w:lastRow="0" w:firstColumn="0" w:lastColumn="0" w:oddVBand="0" w:evenVBand="0" w:oddHBand="1" w:evenHBand="0" w:firstRowFirstColumn="0" w:firstRowLastColumn="0" w:lastRowFirstColumn="0" w:lastRowLastColumn="0"/>
            </w:pPr>
            <w:r>
              <w:t>The e</w:t>
            </w:r>
            <w:r w:rsidRPr="00D76F45">
              <w:t xml:space="preserve">ntity has a </w:t>
            </w:r>
            <w:r>
              <w:t xml:space="preserve">partial </w:t>
            </w:r>
            <w:r w:rsidRPr="00D76F45">
              <w:t>understanding of its information holdings. Procedures and operational controls to protect official government information assets proportional to their value, importance and sensitivity are ad</w:t>
            </w:r>
            <w:r>
              <w:t> </w:t>
            </w:r>
            <w:r w:rsidRPr="00D76F45">
              <w:t>hoc</w:t>
            </w:r>
            <w:r>
              <w:t>.</w:t>
            </w:r>
            <w:r w:rsidRPr="00D76F45">
              <w:t xml:space="preserve"> </w:t>
            </w:r>
          </w:p>
        </w:tc>
        <w:tc>
          <w:tcPr>
            <w:tcW w:w="3508" w:type="dxa"/>
            <w:gridSpan w:val="2"/>
            <w:tcBorders>
              <w:top w:val="single" w:sz="8" w:space="0" w:color="8064A2" w:themeColor="accent4"/>
              <w:bottom w:val="nil"/>
            </w:tcBorders>
            <w:shd w:val="clear" w:color="auto" w:fill="DFD8E8"/>
          </w:tcPr>
          <w:p w14:paraId="552C5E59" w14:textId="374BBD9B" w:rsidR="0075565E" w:rsidRPr="00D76F45" w:rsidRDefault="0075565E" w:rsidP="00AC28BE">
            <w:pPr>
              <w:pStyle w:val="Tablebody"/>
              <w:cnfStyle w:val="000000100000" w:firstRow="0" w:lastRow="0" w:firstColumn="0" w:lastColumn="0" w:oddVBand="0" w:evenVBand="0" w:oddHBand="1" w:evenHBand="0" w:firstRowFirstColumn="0" w:firstRowLastColumn="0" w:lastRowFirstColumn="0" w:lastRowLastColumn="0"/>
            </w:pPr>
            <w:r>
              <w:t>The e</w:t>
            </w:r>
            <w:r w:rsidRPr="00D76F45">
              <w:t xml:space="preserve">ntity knows the value of its information holdings and </w:t>
            </w:r>
            <w:r>
              <w:t xml:space="preserve">has </w:t>
            </w:r>
            <w:r w:rsidRPr="00D76F45">
              <w:t>establish</w:t>
            </w:r>
            <w:r>
              <w:t xml:space="preserve">ed </w:t>
            </w:r>
            <w:r w:rsidRPr="00D76F45">
              <w:t xml:space="preserve">operational controls to ensure official government information is managed in accordance with </w:t>
            </w:r>
            <w:r>
              <w:t xml:space="preserve">minimum protections identified in </w:t>
            </w:r>
            <w:r w:rsidRPr="00D76F45">
              <w:t>the</w:t>
            </w:r>
            <w:r>
              <w:t xml:space="preserve"> PSPF policy: </w:t>
            </w:r>
            <w:hyperlink r:id="rId69" w:history="1">
              <w:r w:rsidR="0071398A">
                <w:rPr>
                  <w:rStyle w:val="Hyperlink"/>
                </w:rPr>
                <w:t>Sensitive and classified information</w:t>
              </w:r>
            </w:hyperlink>
            <w:r>
              <w:t>.</w:t>
            </w:r>
            <w:r w:rsidRPr="00D76F45">
              <w:t xml:space="preserve"> The entity monitor</w:t>
            </w:r>
            <w:r>
              <w:t>s</w:t>
            </w:r>
            <w:r w:rsidRPr="00D76F45">
              <w:t xml:space="preserve"> and control</w:t>
            </w:r>
            <w:r>
              <w:t>s</w:t>
            </w:r>
            <w:r w:rsidRPr="00D76F45">
              <w:t xml:space="preserve"> classified information holdings </w:t>
            </w:r>
            <w:r>
              <w:t>in the context of</w:t>
            </w:r>
            <w:r w:rsidRPr="00D76F45">
              <w:t xml:space="preserve"> its risk environment.</w:t>
            </w:r>
          </w:p>
        </w:tc>
        <w:tc>
          <w:tcPr>
            <w:tcW w:w="3508" w:type="dxa"/>
            <w:gridSpan w:val="2"/>
            <w:tcBorders>
              <w:top w:val="single" w:sz="8" w:space="0" w:color="8064A2" w:themeColor="accent4"/>
              <w:bottom w:val="nil"/>
            </w:tcBorders>
            <w:shd w:val="clear" w:color="auto" w:fill="DFD8E8"/>
          </w:tcPr>
          <w:p w14:paraId="222C6DB3" w14:textId="4319D623" w:rsidR="0075565E" w:rsidRPr="0075565E" w:rsidRDefault="0075565E" w:rsidP="00AC28BE">
            <w:pPr>
              <w:pStyle w:val="Tablebody"/>
              <w:cnfStyle w:val="000000100000" w:firstRow="0" w:lastRow="0" w:firstColumn="0" w:lastColumn="0" w:oddVBand="0" w:evenVBand="0" w:oddHBand="1" w:evenHBand="0" w:firstRowFirstColumn="0" w:firstRowLastColumn="0" w:lastRowFirstColumn="0" w:lastRowLastColumn="0"/>
              <w:rPr>
                <w:b/>
                <w:i/>
              </w:rPr>
            </w:pPr>
            <w:r w:rsidRPr="00377B83">
              <w:t>The entity knows the value of its information holdings and operational controls are in place to ensure official government information asset holdings are consistently handled in accordance with minimum protections identified in the</w:t>
            </w:r>
            <w:r w:rsidR="00064B0A" w:rsidRPr="0071398A">
              <w:t xml:space="preserve"> </w:t>
            </w:r>
            <w:r w:rsidRPr="00377B83">
              <w:t xml:space="preserve">PSPF policy: </w:t>
            </w:r>
            <w:hyperlink r:id="rId70" w:history="1">
              <w:r w:rsidR="0071398A">
                <w:rPr>
                  <w:rStyle w:val="Hyperlink"/>
                </w:rPr>
                <w:t>Sensitive and classified information</w:t>
              </w:r>
            </w:hyperlink>
            <w:r w:rsidRPr="006D15C4">
              <w:t xml:space="preserve">, </w:t>
            </w:r>
            <w:r w:rsidRPr="00377B83">
              <w:t>proportional to their value, importance and sensitivity.</w:t>
            </w:r>
          </w:p>
        </w:tc>
        <w:tc>
          <w:tcPr>
            <w:tcW w:w="3509" w:type="dxa"/>
            <w:gridSpan w:val="2"/>
            <w:tcBorders>
              <w:top w:val="single" w:sz="8" w:space="0" w:color="8064A2" w:themeColor="accent4"/>
              <w:bottom w:val="nil"/>
            </w:tcBorders>
            <w:shd w:val="clear" w:color="auto" w:fill="DFD8E8"/>
          </w:tcPr>
          <w:p w14:paraId="1D793F0D" w14:textId="4672146B" w:rsidR="0075565E" w:rsidRPr="00D76F45" w:rsidRDefault="0075565E" w:rsidP="00AC28BE">
            <w:pPr>
              <w:pStyle w:val="Tablebody"/>
              <w:cnfStyle w:val="000000100000" w:firstRow="0" w:lastRow="0" w:firstColumn="0" w:lastColumn="0" w:oddVBand="0" w:evenVBand="0" w:oddHBand="1" w:evenHBand="0" w:firstRowFirstColumn="0" w:firstRowLastColumn="0" w:lastRowFirstColumn="0" w:lastRowLastColumn="0"/>
            </w:pPr>
            <w:r>
              <w:t>The e</w:t>
            </w:r>
            <w:r w:rsidRPr="00D76F45">
              <w:t xml:space="preserve">ntity culture </w:t>
            </w:r>
            <w:r>
              <w:t>actively supports</w:t>
            </w:r>
            <w:r w:rsidRPr="00D76F45">
              <w:t xml:space="preserve"> the consistent and appropriate handling of official government information asset holdings in accordance with </w:t>
            </w:r>
            <w:r>
              <w:t xml:space="preserve">minimum protections identified in </w:t>
            </w:r>
            <w:r w:rsidRPr="00D76F45">
              <w:t xml:space="preserve">the </w:t>
            </w:r>
            <w:r>
              <w:t xml:space="preserve">PSPF policy: </w:t>
            </w:r>
            <w:hyperlink r:id="rId71" w:history="1">
              <w:r w:rsidR="0071398A">
                <w:rPr>
                  <w:rStyle w:val="Hyperlink"/>
                </w:rPr>
                <w:t>Sensitive and classified information</w:t>
              </w:r>
            </w:hyperlink>
            <w:r w:rsidRPr="00D76F45">
              <w:rPr>
                <w:i/>
              </w:rPr>
              <w:t>.</w:t>
            </w:r>
            <w:r w:rsidR="006428DE">
              <w:rPr>
                <w:i/>
              </w:rPr>
              <w:t xml:space="preserve"> </w:t>
            </w:r>
            <w:r w:rsidRPr="00D76F45">
              <w:t>In a heightened risk environment, the entity closely monitor</w:t>
            </w:r>
            <w:r>
              <w:t>s</w:t>
            </w:r>
            <w:r w:rsidRPr="00D76F45">
              <w:t xml:space="preserve"> and contro</w:t>
            </w:r>
            <w:r>
              <w:t>ls</w:t>
            </w:r>
            <w:r w:rsidRPr="00D76F45">
              <w:t xml:space="preserve"> classified information holdings.</w:t>
            </w:r>
          </w:p>
        </w:tc>
      </w:tr>
      <w:tr w:rsidR="0075565E" w14:paraId="7FDFF29C" w14:textId="77777777" w:rsidTr="00F23887">
        <w:tc>
          <w:tcPr>
            <w:cnfStyle w:val="001000000000" w:firstRow="0" w:lastRow="0" w:firstColumn="1" w:lastColumn="0" w:oddVBand="0" w:evenVBand="0" w:oddHBand="0" w:evenHBand="0" w:firstRowFirstColumn="0" w:firstRowLastColumn="0" w:lastRowFirstColumn="0" w:lastRowLastColumn="0"/>
            <w:tcW w:w="1535" w:type="dxa"/>
            <w:tcBorders>
              <w:top w:val="nil"/>
            </w:tcBorders>
          </w:tcPr>
          <w:p w14:paraId="463BAA21" w14:textId="77777777" w:rsidR="0075565E" w:rsidRPr="00377B83" w:rsidRDefault="0075565E" w:rsidP="003E673A">
            <w:pPr>
              <w:spacing w:before="60" w:after="60"/>
              <w:rPr>
                <w:rStyle w:val="Strong"/>
                <w:b/>
              </w:rPr>
            </w:pPr>
            <w:r w:rsidRPr="00377B83">
              <w:rPr>
                <w:rStyle w:val="Strong"/>
                <w:b/>
              </w:rPr>
              <w:t>Access to information</w:t>
            </w:r>
          </w:p>
        </w:tc>
        <w:tc>
          <w:tcPr>
            <w:tcW w:w="3508" w:type="dxa"/>
            <w:gridSpan w:val="2"/>
            <w:tcBorders>
              <w:top w:val="nil"/>
            </w:tcBorders>
          </w:tcPr>
          <w:p w14:paraId="79FA867B" w14:textId="3B0F93B7" w:rsidR="0075565E" w:rsidRPr="00D76F45" w:rsidRDefault="0075565E" w:rsidP="0037250A">
            <w:pPr>
              <w:pStyle w:val="Tablebody"/>
              <w:cnfStyle w:val="000000000000" w:firstRow="0" w:lastRow="0" w:firstColumn="0" w:lastColumn="0" w:oddVBand="0" w:evenVBand="0" w:oddHBand="0" w:evenHBand="0" w:firstRowFirstColumn="0" w:firstRowLastColumn="0" w:lastRowFirstColumn="0" w:lastRowLastColumn="0"/>
            </w:pPr>
            <w:r w:rsidRPr="00D76F45">
              <w:t>Information access control</w:t>
            </w:r>
            <w:r>
              <w:t>s</w:t>
            </w:r>
            <w:r w:rsidRPr="00D76F45">
              <w:t xml:space="preserve"> and </w:t>
            </w:r>
            <w:r w:rsidRPr="004D59E8">
              <w:rPr>
                <w:color w:val="auto"/>
              </w:rPr>
              <w:t xml:space="preserve">security procedures are partially in place. </w:t>
            </w:r>
            <w:r w:rsidR="0037250A" w:rsidRPr="004D59E8">
              <w:rPr>
                <w:color w:val="auto"/>
              </w:rPr>
              <w:t xml:space="preserve">Supporting requirements </w:t>
            </w:r>
            <w:r w:rsidRPr="004D59E8">
              <w:rPr>
                <w:color w:val="auto"/>
              </w:rPr>
              <w:t>on information sharing, access to sensitive and security classified information and controlling access to supporting ICT systems</w:t>
            </w:r>
            <w:r w:rsidR="00014266" w:rsidRPr="004D59E8">
              <w:rPr>
                <w:color w:val="auto"/>
              </w:rPr>
              <w:t>,</w:t>
            </w:r>
            <w:r w:rsidR="0037250A" w:rsidRPr="004D59E8">
              <w:rPr>
                <w:color w:val="auto"/>
              </w:rPr>
              <w:t xml:space="preserve"> networks, infrastructure, devices, applications</w:t>
            </w:r>
            <w:r w:rsidRPr="004D59E8">
              <w:rPr>
                <w:color w:val="auto"/>
              </w:rPr>
              <w:t xml:space="preserve"> and data </w:t>
            </w:r>
            <w:r w:rsidRPr="00D76F45">
              <w:t xml:space="preserve">holdings are </w:t>
            </w:r>
            <w:r>
              <w:t xml:space="preserve">partially </w:t>
            </w:r>
            <w:r w:rsidRPr="00D76F45">
              <w:t>applied.</w:t>
            </w:r>
            <w:r>
              <w:t xml:space="preserve"> </w:t>
            </w:r>
          </w:p>
        </w:tc>
        <w:tc>
          <w:tcPr>
            <w:tcW w:w="3508" w:type="dxa"/>
            <w:gridSpan w:val="2"/>
            <w:tcBorders>
              <w:top w:val="nil"/>
            </w:tcBorders>
          </w:tcPr>
          <w:p w14:paraId="1B061C5D" w14:textId="7BA419B4" w:rsidR="0075565E" w:rsidRPr="00D76F45" w:rsidRDefault="0075565E" w:rsidP="0037250A">
            <w:pPr>
              <w:pStyle w:val="Tablebody"/>
              <w:cnfStyle w:val="000000000000" w:firstRow="0" w:lastRow="0" w:firstColumn="0" w:lastColumn="0" w:oddVBand="0" w:evenVBand="0" w:oddHBand="0" w:evenHBand="0" w:firstRowFirstColumn="0" w:firstRowLastColumn="0" w:lastRowFirstColumn="0" w:lastRowLastColumn="0"/>
            </w:pPr>
            <w:r w:rsidRPr="00D76F45">
              <w:t xml:space="preserve">Processes are </w:t>
            </w:r>
            <w:r>
              <w:t>substantially</w:t>
            </w:r>
            <w:r w:rsidRPr="00D76F45">
              <w:t xml:space="preserve"> in place to enable appropriate sharing of information with relevant stakeholders who have a need</w:t>
            </w:r>
            <w:r>
              <w:t>-</w:t>
            </w:r>
            <w:r w:rsidRPr="00D76F45">
              <w:t>to</w:t>
            </w:r>
            <w:r>
              <w:t>-</w:t>
            </w:r>
            <w:r w:rsidRPr="00D76F45">
              <w:t xml:space="preserve">know and are </w:t>
            </w:r>
            <w:r w:rsidRPr="004D59E8">
              <w:rPr>
                <w:color w:val="auto"/>
              </w:rPr>
              <w:t>appropriately security cleared. Access controls are substantially implemented to limit unauthorised access to supporting ICT systems</w:t>
            </w:r>
            <w:r w:rsidR="0037250A" w:rsidRPr="004D59E8">
              <w:rPr>
                <w:color w:val="auto"/>
              </w:rPr>
              <w:t xml:space="preserve">, networks, </w:t>
            </w:r>
            <w:proofErr w:type="gramStart"/>
            <w:r w:rsidR="0037250A" w:rsidRPr="004D59E8">
              <w:rPr>
                <w:color w:val="auto"/>
              </w:rPr>
              <w:t>infrastructure</w:t>
            </w:r>
            <w:proofErr w:type="gramEnd"/>
            <w:r w:rsidR="0037250A" w:rsidRPr="004D59E8">
              <w:rPr>
                <w:color w:val="auto"/>
              </w:rPr>
              <w:t>, devices, applications</w:t>
            </w:r>
            <w:r w:rsidRPr="004D59E8">
              <w:rPr>
                <w:color w:val="auto"/>
              </w:rPr>
              <w:t xml:space="preserve"> and data holdings in accordance with the information access control </w:t>
            </w:r>
            <w:r w:rsidR="0037250A" w:rsidRPr="004D59E8">
              <w:rPr>
                <w:color w:val="auto"/>
              </w:rPr>
              <w:t>supporting requirements</w:t>
            </w:r>
            <w:r w:rsidRPr="004D59E8">
              <w:rPr>
                <w:color w:val="auto"/>
              </w:rPr>
              <w:t xml:space="preserve">. </w:t>
            </w:r>
          </w:p>
        </w:tc>
        <w:tc>
          <w:tcPr>
            <w:tcW w:w="3508" w:type="dxa"/>
            <w:gridSpan w:val="2"/>
            <w:tcBorders>
              <w:top w:val="nil"/>
            </w:tcBorders>
          </w:tcPr>
          <w:p w14:paraId="547AE30B" w14:textId="4E0A6B9D" w:rsidR="0075565E" w:rsidRPr="00D76F45" w:rsidRDefault="0075565E" w:rsidP="0075565E">
            <w:pPr>
              <w:pStyle w:val="Tablebody"/>
              <w:cnfStyle w:val="000000000000" w:firstRow="0" w:lastRow="0" w:firstColumn="0" w:lastColumn="0" w:oddVBand="0" w:evenVBand="0" w:oddHBand="0" w:evenHBand="0" w:firstRowFirstColumn="0" w:firstRowLastColumn="0" w:lastRowFirstColumn="0" w:lastRowLastColumn="0"/>
              <w:rPr>
                <w:color w:val="FFFFFF" w:themeColor="background1"/>
              </w:rPr>
            </w:pPr>
            <w:r w:rsidRPr="00377B83">
              <w:t xml:space="preserve">Information holdings are accessed and shared with appropriately security cleared personnel who have a need-to-know. Access </w:t>
            </w:r>
            <w:r w:rsidRPr="004D59E8">
              <w:rPr>
                <w:color w:val="auto"/>
              </w:rPr>
              <w:t>controls support the integrity of ICT systems</w:t>
            </w:r>
            <w:r w:rsidR="00DF71AC" w:rsidRPr="004D59E8">
              <w:rPr>
                <w:color w:val="auto"/>
              </w:rPr>
              <w:t>, networks, infrastructure, devices, applications</w:t>
            </w:r>
            <w:r w:rsidRPr="004D59E8">
              <w:rPr>
                <w:color w:val="auto"/>
              </w:rPr>
              <w:t xml:space="preserve"> and data holdings. </w:t>
            </w:r>
          </w:p>
        </w:tc>
        <w:tc>
          <w:tcPr>
            <w:tcW w:w="3509" w:type="dxa"/>
            <w:gridSpan w:val="2"/>
            <w:tcBorders>
              <w:top w:val="nil"/>
            </w:tcBorders>
          </w:tcPr>
          <w:p w14:paraId="0964ECE0" w14:textId="218F2D54" w:rsidR="0075565E" w:rsidRPr="00D76F45" w:rsidRDefault="0075565E" w:rsidP="0075565E">
            <w:pPr>
              <w:pStyle w:val="Tablebody"/>
              <w:cnfStyle w:val="000000000000" w:firstRow="0" w:lastRow="0" w:firstColumn="0" w:lastColumn="0" w:oddVBand="0" w:evenVBand="0" w:oddHBand="0" w:evenHBand="0" w:firstRowFirstColumn="0" w:firstRowLastColumn="0" w:lastRowFirstColumn="0" w:lastRowLastColumn="0"/>
            </w:pPr>
            <w:r>
              <w:t>The e</w:t>
            </w:r>
            <w:r w:rsidRPr="00D76F45">
              <w:t>ntity proactively refin</w:t>
            </w:r>
            <w:r>
              <w:t>es</w:t>
            </w:r>
            <w:r w:rsidRPr="00D76F45">
              <w:t xml:space="preserve"> and reinforc</w:t>
            </w:r>
            <w:r>
              <w:t>es</w:t>
            </w:r>
            <w:r w:rsidRPr="00D76F45">
              <w:t xml:space="preserve"> information management processes and access controls to ensure protection of information and </w:t>
            </w:r>
            <w:r>
              <w:t xml:space="preserve">currency of </w:t>
            </w:r>
            <w:r w:rsidRPr="00D76F45">
              <w:t xml:space="preserve">systems </w:t>
            </w:r>
            <w:r>
              <w:t>to protect against</w:t>
            </w:r>
            <w:r w:rsidRPr="00D76F45">
              <w:t xml:space="preserve"> emerging threats and issues. Information is shared with appropriately security cleared personnel who have a need</w:t>
            </w:r>
            <w:r>
              <w:t>-</w:t>
            </w:r>
            <w:r w:rsidRPr="00D76F45">
              <w:t>to</w:t>
            </w:r>
            <w:r>
              <w:t>-</w:t>
            </w:r>
            <w:r w:rsidRPr="00D76F45">
              <w:t xml:space="preserve">know. Systems </w:t>
            </w:r>
            <w:r w:rsidRPr="004D59E8">
              <w:rPr>
                <w:color w:val="auto"/>
              </w:rPr>
              <w:t xml:space="preserve">are in place to detect, monitor and respond to irregular access to information or </w:t>
            </w:r>
            <w:r w:rsidR="00DF71AC" w:rsidRPr="004D59E8">
              <w:rPr>
                <w:color w:val="auto"/>
              </w:rPr>
              <w:t xml:space="preserve">ICT </w:t>
            </w:r>
            <w:r w:rsidRPr="004D59E8">
              <w:rPr>
                <w:color w:val="auto"/>
              </w:rPr>
              <w:t>systems</w:t>
            </w:r>
            <w:r w:rsidR="00DF71AC" w:rsidRPr="004D59E8">
              <w:rPr>
                <w:color w:val="auto"/>
              </w:rPr>
              <w:t>, networks, infrastructure, devices and applica</w:t>
            </w:r>
            <w:r w:rsidR="009205EC" w:rsidRPr="004D59E8">
              <w:rPr>
                <w:color w:val="auto"/>
              </w:rPr>
              <w:t>t</w:t>
            </w:r>
            <w:r w:rsidR="00DF71AC" w:rsidRPr="004D59E8">
              <w:rPr>
                <w:color w:val="auto"/>
              </w:rPr>
              <w:t>ions</w:t>
            </w:r>
            <w:r w:rsidRPr="004D59E8">
              <w:rPr>
                <w:color w:val="auto"/>
              </w:rPr>
              <w:t xml:space="preserve"> in real-time.</w:t>
            </w:r>
          </w:p>
        </w:tc>
      </w:tr>
      <w:tr w:rsidR="0075565E" w14:paraId="793FA02F" w14:textId="77777777" w:rsidTr="00F2388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4D6B5570" w14:textId="77777777" w:rsidR="0075565E" w:rsidRPr="00377B83" w:rsidRDefault="0075565E" w:rsidP="003E673A">
            <w:pPr>
              <w:spacing w:before="60" w:after="60"/>
              <w:rPr>
                <w:rStyle w:val="Strong"/>
                <w:b/>
              </w:rPr>
            </w:pPr>
            <w:r w:rsidRPr="00377B83">
              <w:rPr>
                <w:rStyle w:val="Strong"/>
                <w:b/>
              </w:rPr>
              <w:lastRenderedPageBreak/>
              <w:t>Safeguarding from cyber threats</w:t>
            </w:r>
          </w:p>
        </w:tc>
        <w:tc>
          <w:tcPr>
            <w:tcW w:w="3508" w:type="dxa"/>
            <w:gridSpan w:val="2"/>
          </w:tcPr>
          <w:p w14:paraId="29B992D0" w14:textId="487E73E1" w:rsidR="0075565E" w:rsidRPr="00D76F45" w:rsidRDefault="0075565E" w:rsidP="00DF71AC">
            <w:pPr>
              <w:pStyle w:val="Tablebody"/>
              <w:cnfStyle w:val="000000100000" w:firstRow="0" w:lastRow="0" w:firstColumn="0" w:lastColumn="0" w:oddVBand="0" w:evenVBand="0" w:oddHBand="1" w:evenHBand="0" w:firstRowFirstColumn="0" w:firstRowLastColumn="0" w:lastRowFirstColumn="0" w:lastRowLastColumn="0"/>
            </w:pPr>
            <w:r>
              <w:t>Partial</w:t>
            </w:r>
            <w:r w:rsidRPr="00D76F45">
              <w:t xml:space="preserve"> implementation of </w:t>
            </w:r>
            <w:hyperlink r:id="rId72" w:history="1">
              <w:r w:rsidRPr="0030160E">
                <w:rPr>
                  <w:rStyle w:val="Hyperlink"/>
                </w:rPr>
                <w:t>Top 4 strategies to mitigate targeted cyber intrusions</w:t>
              </w:r>
            </w:hyperlink>
            <w:r w:rsidR="00DF71AC">
              <w:rPr>
                <w:rStyle w:val="Hyperlink"/>
              </w:rPr>
              <w:t xml:space="preserve">. </w:t>
            </w:r>
            <w:r w:rsidR="00DF71AC" w:rsidRPr="002D3D9D">
              <w:rPr>
                <w:rStyle w:val="Hyperlink"/>
                <w:color w:val="auto"/>
                <w:u w:val="none"/>
              </w:rPr>
              <w:t>Reactive approach to implementing the remaining Strategies to Mitigate Cyber Security Incidents to protect the entity</w:t>
            </w:r>
            <w:r w:rsidRPr="002D3D9D">
              <w:rPr>
                <w:color w:val="auto"/>
              </w:rPr>
              <w:t>.</w:t>
            </w:r>
            <w:r w:rsidRPr="004D59E8">
              <w:rPr>
                <w:color w:val="auto"/>
              </w:rPr>
              <w:t xml:space="preserve"> </w:t>
            </w:r>
          </w:p>
        </w:tc>
        <w:tc>
          <w:tcPr>
            <w:tcW w:w="3508" w:type="dxa"/>
            <w:gridSpan w:val="2"/>
          </w:tcPr>
          <w:p w14:paraId="4F420955" w14:textId="49DD071F" w:rsidR="0075565E" w:rsidRPr="00D76F45" w:rsidRDefault="0075565E" w:rsidP="009205EC">
            <w:pPr>
              <w:pStyle w:val="Tablebody"/>
              <w:cnfStyle w:val="000000100000" w:firstRow="0" w:lastRow="0" w:firstColumn="0" w:lastColumn="0" w:oddVBand="0" w:evenVBand="0" w:oddHBand="1" w:evenHBand="0" w:firstRowFirstColumn="0" w:firstRowLastColumn="0" w:lastRowFirstColumn="0" w:lastRowLastColumn="0"/>
            </w:pPr>
            <w:r w:rsidRPr="00D76F45">
              <w:t>The entity has implemented the</w:t>
            </w:r>
            <w:r>
              <w:t xml:space="preserve"> majority of the</w:t>
            </w:r>
            <w:r w:rsidRPr="00D76F45">
              <w:t xml:space="preserve"> </w:t>
            </w:r>
            <w:hyperlink r:id="rId73" w:history="1">
              <w:r w:rsidRPr="0030160E">
                <w:rPr>
                  <w:rStyle w:val="Hyperlink"/>
                </w:rPr>
                <w:t>Top 4 strategies to mitigate targeted cyber intrusions</w:t>
              </w:r>
            </w:hyperlink>
            <w:r w:rsidR="00DF71AC">
              <w:rPr>
                <w:rStyle w:val="Hyperlink"/>
              </w:rPr>
              <w:t xml:space="preserve">. </w:t>
            </w:r>
            <w:r w:rsidR="00DF71AC" w:rsidRPr="002D3D9D">
              <w:rPr>
                <w:rStyle w:val="Hyperlink"/>
                <w:color w:val="auto"/>
                <w:u w:val="none"/>
              </w:rPr>
              <w:t>The entity</w:t>
            </w:r>
            <w:r w:rsidRPr="002D3D9D">
              <w:rPr>
                <w:color w:val="auto"/>
              </w:rPr>
              <w:t xml:space="preserve"> </w:t>
            </w:r>
            <w:r w:rsidR="009205EC" w:rsidRPr="004D59E8">
              <w:rPr>
                <w:color w:val="auto"/>
              </w:rPr>
              <w:t xml:space="preserve">understands and </w:t>
            </w:r>
            <w:r w:rsidRPr="004D59E8">
              <w:rPr>
                <w:color w:val="auto"/>
              </w:rPr>
              <w:t xml:space="preserve">has </w:t>
            </w:r>
            <w:r w:rsidR="00DF71AC" w:rsidRPr="004D59E8">
              <w:rPr>
                <w:color w:val="auto"/>
              </w:rPr>
              <w:t>substantially implemented the remaining Strategies to Mitigate</w:t>
            </w:r>
            <w:r w:rsidR="009205EC" w:rsidRPr="004D59E8">
              <w:rPr>
                <w:color w:val="auto"/>
              </w:rPr>
              <w:t xml:space="preserve"> Cyber</w:t>
            </w:r>
            <w:r w:rsidR="00DF71AC" w:rsidRPr="004D59E8">
              <w:rPr>
                <w:color w:val="auto"/>
              </w:rPr>
              <w:t xml:space="preserve"> Security Incidents</w:t>
            </w:r>
            <w:r w:rsidR="009205EC" w:rsidRPr="004D59E8">
              <w:rPr>
                <w:color w:val="auto"/>
              </w:rPr>
              <w:t xml:space="preserve"> it considers necessary to protect the entity.</w:t>
            </w:r>
          </w:p>
        </w:tc>
        <w:tc>
          <w:tcPr>
            <w:tcW w:w="3508" w:type="dxa"/>
            <w:gridSpan w:val="2"/>
          </w:tcPr>
          <w:p w14:paraId="336CDE91" w14:textId="1198FE95" w:rsidR="0075565E" w:rsidRPr="00D76F45" w:rsidRDefault="0075565E" w:rsidP="009205EC">
            <w:pPr>
              <w:pStyle w:val="Tablebody"/>
              <w:cnfStyle w:val="000000100000" w:firstRow="0" w:lastRow="0" w:firstColumn="0" w:lastColumn="0" w:oddVBand="0" w:evenVBand="0" w:oddHBand="1" w:evenHBand="0" w:firstRowFirstColumn="0" w:firstRowLastColumn="0" w:lastRowFirstColumn="0" w:lastRowLastColumn="0"/>
              <w:rPr>
                <w:color w:val="FFFFFF" w:themeColor="background1"/>
              </w:rPr>
            </w:pPr>
            <w:r w:rsidRPr="00377B83">
              <w:t xml:space="preserve">All </w:t>
            </w:r>
            <w:hyperlink r:id="rId74" w:history="1">
              <w:r w:rsidRPr="0030160E">
                <w:rPr>
                  <w:rStyle w:val="Hyperlink"/>
                </w:rPr>
                <w:t>Top 4 strategies to mitigate targeted cyber intrusions</w:t>
              </w:r>
            </w:hyperlink>
            <w:r w:rsidRPr="00377B83">
              <w:t xml:space="preserve"> have been fully </w:t>
            </w:r>
            <w:r w:rsidRPr="004D59E8">
              <w:rPr>
                <w:color w:val="auto"/>
              </w:rPr>
              <w:t xml:space="preserve">implemented with ongoing </w:t>
            </w:r>
            <w:r w:rsidR="009205EC" w:rsidRPr="004D59E8">
              <w:rPr>
                <w:color w:val="auto"/>
              </w:rPr>
              <w:t xml:space="preserve">performance </w:t>
            </w:r>
            <w:r w:rsidRPr="004D59E8">
              <w:rPr>
                <w:color w:val="auto"/>
              </w:rPr>
              <w:t>monitoring. The entity</w:t>
            </w:r>
            <w:r w:rsidR="009205EC" w:rsidRPr="004D59E8">
              <w:rPr>
                <w:color w:val="auto"/>
              </w:rPr>
              <w:t xml:space="preserve"> understands and has implemented the</w:t>
            </w:r>
            <w:r w:rsidR="009205EC" w:rsidRPr="004D59E8">
              <w:rPr>
                <w:bCs w:val="0"/>
                <w:color w:val="auto"/>
                <w:sz w:val="22"/>
              </w:rPr>
              <w:t xml:space="preserve"> </w:t>
            </w:r>
            <w:r w:rsidR="009205EC" w:rsidRPr="004D59E8">
              <w:rPr>
                <w:color w:val="auto"/>
              </w:rPr>
              <w:t xml:space="preserve">remaining Strategies to Mitigate Cyber Security Incidents it considers necessary to protect the entity. </w:t>
            </w:r>
            <w:r w:rsidRPr="004D59E8">
              <w:rPr>
                <w:color w:val="auto"/>
              </w:rPr>
              <w:t xml:space="preserve"> </w:t>
            </w:r>
          </w:p>
        </w:tc>
        <w:tc>
          <w:tcPr>
            <w:tcW w:w="3509" w:type="dxa"/>
            <w:gridSpan w:val="2"/>
          </w:tcPr>
          <w:p w14:paraId="72A32E99" w14:textId="77777777" w:rsidR="0075565E" w:rsidRPr="00D76F45" w:rsidRDefault="0075565E" w:rsidP="0075565E">
            <w:pPr>
              <w:pStyle w:val="Tablebody"/>
              <w:cnfStyle w:val="000000100000" w:firstRow="0" w:lastRow="0" w:firstColumn="0" w:lastColumn="0" w:oddVBand="0" w:evenVBand="0" w:oddHBand="1" w:evenHBand="0" w:firstRowFirstColumn="0" w:firstRowLastColumn="0" w:lastRowFirstColumn="0" w:lastRowLastColumn="0"/>
            </w:pPr>
            <w:r>
              <w:t>The e</w:t>
            </w:r>
            <w:r w:rsidRPr="00D76F45">
              <w:t xml:space="preserve">ntity has fully implemented the Essential Eight, and other </w:t>
            </w:r>
            <w:r>
              <w:t>activities</w:t>
            </w:r>
            <w:r w:rsidRPr="00D76F45">
              <w:t xml:space="preserve"> relevant to the entity’s risk environment, to protect against harm from identified cyber threats. Processes are regularly tested to ensure real-time response to potential cyber intrusions and emerging threats.</w:t>
            </w:r>
          </w:p>
        </w:tc>
      </w:tr>
      <w:tr w:rsidR="0075565E" w14:paraId="133A3D85" w14:textId="77777777" w:rsidTr="00F23887">
        <w:tc>
          <w:tcPr>
            <w:cnfStyle w:val="001000000000" w:firstRow="0" w:lastRow="0" w:firstColumn="1" w:lastColumn="0" w:oddVBand="0" w:evenVBand="0" w:oddHBand="0" w:evenHBand="0" w:firstRowFirstColumn="0" w:firstRowLastColumn="0" w:lastRowFirstColumn="0" w:lastRowLastColumn="0"/>
            <w:tcW w:w="1535" w:type="dxa"/>
          </w:tcPr>
          <w:p w14:paraId="18F12DFA" w14:textId="77777777" w:rsidR="0075565E" w:rsidRPr="00377B83" w:rsidRDefault="0075565E" w:rsidP="003E673A">
            <w:pPr>
              <w:spacing w:before="60" w:after="60"/>
              <w:rPr>
                <w:rStyle w:val="Strong"/>
                <w:b/>
              </w:rPr>
            </w:pPr>
            <w:r w:rsidRPr="00377B83">
              <w:rPr>
                <w:rStyle w:val="Strong"/>
                <w:b/>
              </w:rPr>
              <w:t>Robust ICT systems</w:t>
            </w:r>
          </w:p>
        </w:tc>
        <w:tc>
          <w:tcPr>
            <w:tcW w:w="3508" w:type="dxa"/>
            <w:gridSpan w:val="2"/>
          </w:tcPr>
          <w:p w14:paraId="777D8FE2" w14:textId="2F82FCC0" w:rsidR="0075565E" w:rsidRPr="0088715F" w:rsidRDefault="0075565E" w:rsidP="0075565E">
            <w:pPr>
              <w:pStyle w:val="Tablebody"/>
              <w:cnfStyle w:val="000000000000" w:firstRow="0" w:lastRow="0" w:firstColumn="0" w:lastColumn="0" w:oddVBand="0" w:evenVBand="0" w:oddHBand="0" w:evenHBand="0" w:firstRowFirstColumn="0" w:firstRowLastColumn="0" w:lastRowFirstColumn="0" w:lastRowLastColumn="0"/>
            </w:pPr>
            <w:r>
              <w:t>Partial</w:t>
            </w:r>
            <w:r w:rsidRPr="0088715F">
              <w:t xml:space="preserve"> security measures </w:t>
            </w:r>
            <w:r>
              <w:t xml:space="preserve">are </w:t>
            </w:r>
            <w:r w:rsidRPr="0088715F">
              <w:t xml:space="preserve">in place for ICT system development. </w:t>
            </w:r>
            <w:r>
              <w:t>M</w:t>
            </w:r>
            <w:r w:rsidRPr="0088715F">
              <w:t xml:space="preserve">anagement </w:t>
            </w:r>
            <w:r w:rsidRPr="004D59E8">
              <w:rPr>
                <w:color w:val="auto"/>
              </w:rPr>
              <w:t>of ICT systems certification and accreditation</w:t>
            </w:r>
            <w:r w:rsidR="0067413E" w:rsidRPr="004D59E8">
              <w:rPr>
                <w:color w:val="auto"/>
              </w:rPr>
              <w:t xml:space="preserve"> (or assessment and authorisation)</w:t>
            </w:r>
            <w:r w:rsidRPr="004D59E8">
              <w:rPr>
                <w:color w:val="auto"/>
              </w:rPr>
              <w:t xml:space="preserve"> is ad hoc and partially implemented </w:t>
            </w:r>
            <w:r>
              <w:t>in</w:t>
            </w:r>
            <w:r w:rsidRPr="0088715F">
              <w:t xml:space="preserve"> accordance with relevant </w:t>
            </w:r>
            <w:hyperlink r:id="rId75" w:history="1">
              <w:r w:rsidRPr="0030160E">
                <w:rPr>
                  <w:rStyle w:val="Hyperlink"/>
                </w:rPr>
                <w:t>Information Security Manual</w:t>
              </w:r>
            </w:hyperlink>
            <w:r>
              <w:t xml:space="preserve"> </w:t>
            </w:r>
            <w:r w:rsidRPr="0088715F">
              <w:t>technical standards when operationalised.</w:t>
            </w:r>
          </w:p>
        </w:tc>
        <w:tc>
          <w:tcPr>
            <w:tcW w:w="3508" w:type="dxa"/>
            <w:gridSpan w:val="2"/>
          </w:tcPr>
          <w:p w14:paraId="2705B68E" w14:textId="27F4A8C0" w:rsidR="0075565E" w:rsidRPr="0088715F" w:rsidRDefault="0075565E" w:rsidP="0075565E">
            <w:pPr>
              <w:pStyle w:val="Tablebody"/>
              <w:cnfStyle w:val="000000000000" w:firstRow="0" w:lastRow="0" w:firstColumn="0" w:lastColumn="0" w:oddVBand="0" w:evenVBand="0" w:oddHBand="0" w:evenHBand="0" w:firstRowFirstColumn="0" w:firstRowLastColumn="0" w:lastRowFirstColumn="0" w:lastRowLastColumn="0"/>
            </w:pPr>
            <w:r w:rsidRPr="0088715F">
              <w:t xml:space="preserve">Security measures are </w:t>
            </w:r>
            <w:r>
              <w:t>substantially</w:t>
            </w:r>
            <w:r w:rsidRPr="0088715F">
              <w:t xml:space="preserve"> in place for ICT system </w:t>
            </w:r>
            <w:r w:rsidRPr="004D59E8">
              <w:rPr>
                <w:color w:val="auto"/>
              </w:rPr>
              <w:t>development. Certification and accreditation</w:t>
            </w:r>
            <w:r w:rsidR="0067413E" w:rsidRPr="004D59E8">
              <w:rPr>
                <w:color w:val="auto"/>
              </w:rPr>
              <w:t xml:space="preserve"> (or assessment and authorisation)</w:t>
            </w:r>
            <w:r w:rsidRPr="004D59E8">
              <w:rPr>
                <w:color w:val="auto"/>
              </w:rPr>
              <w:t xml:space="preserve"> of ICT systems is in accordance with </w:t>
            </w:r>
            <w:r w:rsidRPr="0088715F">
              <w:t xml:space="preserve">ISM technical standards </w:t>
            </w:r>
            <w:r>
              <w:t>in the majority of cases</w:t>
            </w:r>
            <w:r w:rsidRPr="0088715F">
              <w:t xml:space="preserve"> managed when operationalised. </w:t>
            </w:r>
          </w:p>
        </w:tc>
        <w:tc>
          <w:tcPr>
            <w:tcW w:w="3508" w:type="dxa"/>
            <w:gridSpan w:val="2"/>
          </w:tcPr>
          <w:p w14:paraId="21393D54" w14:textId="5630C1CC" w:rsidR="0075565E" w:rsidRPr="0088715F" w:rsidRDefault="0075565E" w:rsidP="0075565E">
            <w:pPr>
              <w:pStyle w:val="Tablebody"/>
              <w:cnfStyle w:val="000000000000" w:firstRow="0" w:lastRow="0" w:firstColumn="0" w:lastColumn="0" w:oddVBand="0" w:evenVBand="0" w:oddHBand="0" w:evenHBand="0" w:firstRowFirstColumn="0" w:firstRowLastColumn="0" w:lastRowFirstColumn="0" w:lastRowLastColumn="0"/>
              <w:rPr>
                <w:color w:val="FFFFFF" w:themeColor="background1"/>
              </w:rPr>
            </w:pPr>
            <w:r w:rsidRPr="00377B83">
              <w:t xml:space="preserve">Security measures are applied during all stages of ICT system development. ICT </w:t>
            </w:r>
            <w:r w:rsidRPr="004D59E8">
              <w:rPr>
                <w:color w:val="auto"/>
              </w:rPr>
              <w:t>systems are certified and accredited</w:t>
            </w:r>
            <w:r w:rsidR="0067413E" w:rsidRPr="004D59E8">
              <w:rPr>
                <w:color w:val="auto"/>
              </w:rPr>
              <w:t xml:space="preserve"> (or assessed and authorised)</w:t>
            </w:r>
            <w:r w:rsidRPr="004D59E8">
              <w:rPr>
                <w:color w:val="auto"/>
              </w:rPr>
              <w:t xml:space="preserve"> in accordance with ISM technical </w:t>
            </w:r>
            <w:r w:rsidRPr="00377B83">
              <w:t>standards when operationalised.</w:t>
            </w:r>
          </w:p>
        </w:tc>
        <w:tc>
          <w:tcPr>
            <w:tcW w:w="3509" w:type="dxa"/>
            <w:gridSpan w:val="2"/>
          </w:tcPr>
          <w:p w14:paraId="2BF28DE4" w14:textId="35920E36" w:rsidR="0075565E" w:rsidRPr="0088715F" w:rsidRDefault="0075565E" w:rsidP="0075565E">
            <w:pPr>
              <w:pStyle w:val="Tablebody"/>
              <w:cnfStyle w:val="000000000000" w:firstRow="0" w:lastRow="0" w:firstColumn="0" w:lastColumn="0" w:oddVBand="0" w:evenVBand="0" w:oddHBand="0" w:evenHBand="0" w:firstRowFirstColumn="0" w:firstRowLastColumn="0" w:lastRowFirstColumn="0" w:lastRowLastColumn="0"/>
            </w:pPr>
            <w:r w:rsidRPr="0088715F">
              <w:t xml:space="preserve">ICT security measures, including ICT systems </w:t>
            </w:r>
            <w:r w:rsidRPr="004D59E8">
              <w:rPr>
                <w:color w:val="auto"/>
              </w:rPr>
              <w:t xml:space="preserve">certification and accreditation </w:t>
            </w:r>
            <w:r w:rsidR="0067413E" w:rsidRPr="004D59E8">
              <w:rPr>
                <w:color w:val="auto"/>
              </w:rPr>
              <w:t xml:space="preserve">(or assessment and authorisation) </w:t>
            </w:r>
            <w:r w:rsidRPr="004D59E8">
              <w:rPr>
                <w:color w:val="auto"/>
              </w:rPr>
              <w:t xml:space="preserve">are in accordance with the ISM </w:t>
            </w:r>
            <w:r w:rsidRPr="0088715F">
              <w:t xml:space="preserve">technical standards. The entity </w:t>
            </w:r>
            <w:r>
              <w:t>excels in</w:t>
            </w:r>
            <w:r w:rsidRPr="0088715F">
              <w:t xml:space="preserve"> proactively exploring opportunities to further improve ICT security </w:t>
            </w:r>
            <w:r>
              <w:t>protections</w:t>
            </w:r>
            <w:r w:rsidRPr="0088715F">
              <w:t xml:space="preserve"> in response to ICT security threats. </w:t>
            </w:r>
          </w:p>
        </w:tc>
      </w:tr>
    </w:tbl>
    <w:p w14:paraId="1075E934" w14:textId="77777777" w:rsidR="009F2390" w:rsidRDefault="009F2390" w:rsidP="003A74DA"/>
    <w:p w14:paraId="4D18DBFA" w14:textId="77777777" w:rsidR="009F2390" w:rsidRDefault="009F2390" w:rsidP="003A74DA">
      <w:r>
        <w:br w:type="page"/>
      </w:r>
    </w:p>
    <w:p w14:paraId="3C56DB0D" w14:textId="16802505" w:rsidR="0075565E" w:rsidRPr="00BD4661" w:rsidRDefault="0075565E" w:rsidP="00FE19D2">
      <w:pPr>
        <w:pStyle w:val="Heading3"/>
        <w:numPr>
          <w:ilvl w:val="0"/>
          <w:numId w:val="0"/>
        </w:numPr>
        <w:ind w:left="576"/>
      </w:pPr>
      <w:r w:rsidRPr="00BD4661">
        <w:lastRenderedPageBreak/>
        <w:t>Personnel security</w:t>
      </w:r>
    </w:p>
    <w:p w14:paraId="798724A9" w14:textId="77777777" w:rsidR="007A0098" w:rsidRDefault="0075565E" w:rsidP="0019550C">
      <w:pPr>
        <w:keepNext/>
      </w:pPr>
      <w:r w:rsidRPr="00FC4202">
        <w:rPr>
          <w:b/>
        </w:rPr>
        <w:t xml:space="preserve">Outcome: </w:t>
      </w:r>
      <w:r w:rsidRPr="00BD4661">
        <w:t xml:space="preserve">Each entity ensures its </w:t>
      </w:r>
      <w:r w:rsidRPr="003A74DA">
        <w:t>employees</w:t>
      </w:r>
      <w:r w:rsidRPr="00BD4661">
        <w:t xml:space="preserve"> (and contractors) are suitable to access Australian Government resources and meet an appropriate standard of integrity and honesty.</w:t>
      </w:r>
      <w:r w:rsidR="007A0098">
        <w:t xml:space="preserve"> </w:t>
      </w:r>
    </w:p>
    <w:p w14:paraId="2E4A8835" w14:textId="657BC3AD" w:rsidR="00CA7A03" w:rsidRDefault="0075565E" w:rsidP="0019550C">
      <w:pPr>
        <w:keepNext/>
      </w:pPr>
      <w:r w:rsidRPr="007A0098">
        <w:rPr>
          <w:b/>
          <w:bCs/>
          <w:color w:val="463A70"/>
          <w:sz w:val="18"/>
          <w:szCs w:val="18"/>
        </w:rPr>
        <w:t xml:space="preserve">Table </w:t>
      </w:r>
      <w:r w:rsidR="00E27F29" w:rsidRPr="007A0098">
        <w:rPr>
          <w:b/>
          <w:bCs/>
          <w:color w:val="463A70"/>
          <w:sz w:val="18"/>
          <w:szCs w:val="18"/>
        </w:rPr>
        <w:fldChar w:fldCharType="begin"/>
      </w:r>
      <w:r w:rsidR="00E27F29" w:rsidRPr="007A0098">
        <w:rPr>
          <w:b/>
          <w:bCs/>
          <w:color w:val="463A70"/>
          <w:sz w:val="18"/>
          <w:szCs w:val="18"/>
        </w:rPr>
        <w:instrText xml:space="preserve"> SEQ Annex_Table \* ARABIC </w:instrText>
      </w:r>
      <w:r w:rsidR="00E27F29" w:rsidRPr="007A0098">
        <w:rPr>
          <w:b/>
          <w:bCs/>
          <w:color w:val="463A70"/>
          <w:sz w:val="18"/>
          <w:szCs w:val="18"/>
        </w:rPr>
        <w:fldChar w:fldCharType="separate"/>
      </w:r>
      <w:r w:rsidR="001039E5" w:rsidRPr="007A0098">
        <w:rPr>
          <w:b/>
          <w:bCs/>
          <w:color w:val="463A70"/>
          <w:sz w:val="18"/>
          <w:szCs w:val="18"/>
        </w:rPr>
        <w:t>3</w:t>
      </w:r>
      <w:r w:rsidR="00E27F29" w:rsidRPr="007A0098">
        <w:rPr>
          <w:b/>
          <w:bCs/>
          <w:color w:val="463A70"/>
          <w:sz w:val="18"/>
          <w:szCs w:val="18"/>
        </w:rPr>
        <w:fldChar w:fldCharType="end"/>
      </w:r>
      <w:r w:rsidRPr="007A0098">
        <w:rPr>
          <w:b/>
          <w:bCs/>
          <w:color w:val="463A70"/>
          <w:sz w:val="18"/>
          <w:szCs w:val="18"/>
        </w:rPr>
        <w:t xml:space="preserve"> PSPF </w:t>
      </w:r>
      <w:r w:rsidR="00E85E8A" w:rsidRPr="007A0098">
        <w:rPr>
          <w:b/>
          <w:bCs/>
          <w:color w:val="463A70"/>
          <w:sz w:val="18"/>
          <w:szCs w:val="18"/>
        </w:rPr>
        <w:t>M</w:t>
      </w:r>
      <w:r w:rsidRPr="007A0098">
        <w:rPr>
          <w:b/>
          <w:bCs/>
          <w:color w:val="463A70"/>
          <w:sz w:val="18"/>
          <w:szCs w:val="18"/>
        </w:rPr>
        <w:t xml:space="preserve">aturity </w:t>
      </w:r>
      <w:r w:rsidR="00E85E8A" w:rsidRPr="007A0098">
        <w:rPr>
          <w:b/>
          <w:bCs/>
          <w:color w:val="463A70"/>
          <w:sz w:val="18"/>
          <w:szCs w:val="18"/>
        </w:rPr>
        <w:t>Self-A</w:t>
      </w:r>
      <w:r w:rsidRPr="007A0098">
        <w:rPr>
          <w:b/>
          <w:bCs/>
          <w:color w:val="463A70"/>
          <w:sz w:val="18"/>
          <w:szCs w:val="18"/>
        </w:rPr>
        <w:t xml:space="preserve">ssessment </w:t>
      </w:r>
      <w:r w:rsidR="00E85E8A" w:rsidRPr="007A0098">
        <w:rPr>
          <w:b/>
          <w:bCs/>
          <w:color w:val="463A70"/>
          <w:sz w:val="18"/>
          <w:szCs w:val="18"/>
        </w:rPr>
        <w:t>M</w:t>
      </w:r>
      <w:r w:rsidRPr="007A0098">
        <w:rPr>
          <w:b/>
          <w:bCs/>
          <w:color w:val="463A70"/>
          <w:sz w:val="18"/>
          <w:szCs w:val="18"/>
        </w:rPr>
        <w:t>odel</w:t>
      </w:r>
      <w:r>
        <w:t xml:space="preserve"> </w:t>
      </w:r>
    </w:p>
    <w:tbl>
      <w:tblPr>
        <w:tblStyle w:val="LightShading-Accent41"/>
        <w:tblW w:w="0" w:type="auto"/>
        <w:tblLook w:val="04A0" w:firstRow="1" w:lastRow="0" w:firstColumn="1" w:lastColumn="0" w:noHBand="0" w:noVBand="1"/>
        <w:tblCaption w:val="Table 3 PSPF Maturity Self-Assessment Model"/>
        <w:tblDescription w:val="This table supports self-assessment of maturity for each of the PSPF's core requirements relating to personnel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eligibility and suitability of personnel, each maturity level is described as follows.&#10;Ad hoc: The entity partially has procedures and systems in place to ensure personnel are eligible and suitable to access Australian Government resources. Pre-employment screening is ad hoc and security vetting requirements (where relevant) are partially followed. Some risks associated with eligibility and suitability of personnel are managed.&#10;Developing: The entity has developed the majority of the entity’s procedures and systems to ensure that personnel are eligible and suitable to access Australian Government resources. Pre-employment screening practices are substantially in place and security vetting requirements (where relevant) mostly followed. The entity manages the majority of risks associated with eligibility and suitability of personnel.&#10;Managing: Procedures and systems are in place to ensure that all personnel are eligible and suitable to access Australian Government resources. All pre-employment screening and security vetting (where relevant) requirements are followed. These procedures and systems mitigate risks identified in the entity’s personnel security risk assessment.&#10;Embedded: The entity excels in implementing efficient and timely processes to ensure the eligibility and suitability of personnel to access Australian Government resources. All requirements are followed and the entity has comprehensive practices in place to proactively manage risks identified in its personnel security risk assessment.&#10;&#10;For the core requirement on the ongoing assessment of personnel, each maturity level is described as follows.&#10;Ad hoc: The entity assesses and partially manages ongoing suitability of all personnel affecting. Information of security concern for ongoing suitability of personnel is assessed and shared on an ad hoc basis with relevant stakeholders. Some security clearance maintenance requirements (where relevant) are met. &#10;Developing: The entity has substantially developed its procedures and systems to assess and manage ongoing suitability of all personnel. In the majority of cases, information of security concern for ongoing suitability of personnel is assessed and shared by the entity with relevant stakeholders. Procedures are mostly in place to ensure compliance with security clearance maintenance requirements (where relevant).&#10;Managing: Procedures and systems are in place to ensure that the ongoing suitability of personnel is assessed and managed in accordance with the entity’s personnel security risk assessment. The entity has established lines of communication and processes to ensure information of security concern is shared with stakeholders as appropriate. The entity has procedures in place to ensure compliance with all security clearance maintenance requirements (where relevant). &#10;Embedded: The entity is proactive in assessing and managing the suitability of personnel, including security clearance maintenance requirements (where relevant), to ensure integrity of the entity’s core business. The entity has well established lines of communication and robust processes to ensure information of security concern for ongoing suitability of personnel is shared with stakeholders in a timely manner.&#10;&#10;For the core requirement on separating personnel, each maturity level is described as follows.&#10;Ad hoc: Partial ad hoc processes are in place to ensure that separating personnel have their access to Australian Government resources withdrawn and are informed of their ongoing security obligations.&#10;Developing: Separating personnel, in the majority of cases, understand their ongoing security obligations and have their access to Australian Government resources withdrawn. Systems and processes are substantially developed to verify consistency of separating personnel practices across the entity. &#10;Managing: The entity has in place systems and processes to ensure that all separating personnel understand their ongoing security obligations, particularly where they have had access to sensitive and security classified information and resources during their employment. Separating personnel have their access to Australian Government resources withdrawn within an appropriate timeframe. &#10;Embedded: The entity has proactively implemented systems and processes that are reviewed regularly for separating personnel. Access to Australian Government resources is withdrawn from personnel on separation. The entity ensures separating personnel are debriefed and provided a comprehensive understanding of their ongoing security obligations. Information of security concern about separating personnel is shared with relevant stakeholders, including internally, where appropriate. Risk assessments are undertaken, where appropriate.&#10;"/>
      </w:tblPr>
      <w:tblGrid>
        <w:gridCol w:w="1524"/>
        <w:gridCol w:w="834"/>
        <w:gridCol w:w="2612"/>
        <w:gridCol w:w="1199"/>
        <w:gridCol w:w="2259"/>
        <w:gridCol w:w="1082"/>
        <w:gridCol w:w="2373"/>
        <w:gridCol w:w="1151"/>
        <w:gridCol w:w="2318"/>
      </w:tblGrid>
      <w:tr w:rsidR="00094652" w:rsidRPr="00C166C3" w14:paraId="616E1799" w14:textId="77777777" w:rsidTr="001245C3">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203A22BD" w14:textId="77777777" w:rsidR="00094652" w:rsidRPr="0036554D" w:rsidRDefault="00094652" w:rsidP="001245C3">
            <w:pPr>
              <w:rPr>
                <w:rStyle w:val="Strong"/>
              </w:rPr>
            </w:pPr>
          </w:p>
        </w:tc>
        <w:tc>
          <w:tcPr>
            <w:tcW w:w="834" w:type="dxa"/>
          </w:tcPr>
          <w:p w14:paraId="71537F01"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12" w:type="dxa"/>
          </w:tcPr>
          <w:p w14:paraId="2B3C3B1B"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56D2D806" wp14:editId="71B63E29">
                      <wp:extent cx="216024" cy="216024"/>
                      <wp:effectExtent l="0" t="0" r="12700" b="12700"/>
                      <wp:docPr id="242"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43" name="Pie 243"/>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4" name="Oval 244"/>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6A0FE830"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">
                      <v:shape id="Pie 243"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hjWccA&#10;AADcAAAADwAAAGRycy9kb3ducmV2LnhtbESPQWvCQBSE74X+h+UVequbqohE1xAEQStWjB709si+&#10;Jmmzb2N2jem/7xYKPQ4z8w0zT3pTi45aV1lW8DqIQBDnVldcKDgdVy9TEM4ja6wtk4JvcpAsHh/m&#10;GGt75wN1mS9EgLCLUUHpfRNL6fKSDLqBbYiD92Fbgz7ItpC6xXuAm1oOo2giDVYcFkpsaFlS/pXd&#10;jILddpO+d6fiIs+Twybbj65H+fmm1PNTn85AeOr9f/ivvdYKhuMR/J4JR0A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IY1nHAAAA3AAAAA8AAAAAAAAAAAAAAAAAmAIAAGRy&#10;cy9kb3ducmV2LnhtbFBLBQYAAAAABAAEAPUAAACM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244"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lgcUA&#10;AADcAAAADwAAAGRycy9kb3ducmV2LnhtbESPT2sCMRTE74V+h/CE3mrWRaSsRhGX2p4E/9Di7ZE8&#10;dxc3L0sSdfvtjSD0OMzMb5jZoretuJIPjWMFo2EGglg703Cl4LD/fP8AESKywdYxKfijAIv568sM&#10;C+NuvKXrLlYiQTgUqKCOsSukDLomi2HoOuLknZy3GJP0lTQebwluW5ln2URabDgt1NjRqiZ93l2s&#10;guX6eNxs+tX+139p+slPZam3pVJvg345BRGpj//hZ/vbKMjHY3icS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WBxQAAANwAAAAPAAAAAAAAAAAAAAAAAJgCAABkcnMv&#10;ZG93bnJldi54bWxQSwUGAAAAAAQABAD1AAAAigMAAAAA&#10;" filled="f" strokecolor="#8064a2" strokeweight=".5pt"/>
                      <w10:anchorlock/>
                    </v:group>
                  </w:pict>
                </mc:Fallback>
              </mc:AlternateContent>
            </w:r>
          </w:p>
        </w:tc>
        <w:tc>
          <w:tcPr>
            <w:tcW w:w="1199" w:type="dxa"/>
          </w:tcPr>
          <w:p w14:paraId="40B44A75"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259" w:type="dxa"/>
          </w:tcPr>
          <w:p w14:paraId="5F994790"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777BAA58" wp14:editId="5E42F11F">
                      <wp:extent cx="216024" cy="216024"/>
                      <wp:effectExtent l="0" t="0" r="12700" b="12700"/>
                      <wp:docPr id="245"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246" name="Pie 246"/>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7" name="Oval 247"/>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13BA1480"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">
                      <v:shape id="Pie 246"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wccA&#10;AADcAAAADwAAAGRycy9kb3ducmV2LnhtbESPW2vCQBSE34X+h+UUfNONF0JJXUUKghdsMfrQvh2y&#10;p0ls9mzMrjH++65Q6OMwM98ws0VnKtFS40rLCkbDCARxZnXJuYLTcTV4AeE8ssbKMim4k4PF/Kk3&#10;w0TbGx+oTX0uAoRdggoK7+tESpcVZNANbU0cvG/bGPRBNrnUDd4C3FRyHEWxNFhyWCiwpreCsp/0&#10;ahTsd5vle3vKv+RnfNikH5PLUZ63SvWfu+UrCE+d/w//tddawXgaw+NMO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wMHHAAAA3AAAAA8AAAAAAAAAAAAAAAAAmAIAAGRy&#10;cy9kb3ducmV2LnhtbFBLBQYAAAAABAAEAPUAAACMAw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247"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D79sUA&#10;AADcAAAADwAAAGRycy9kb3ducmV2LnhtbESPT2sCMRTE74LfIbxCb5rtUlpZjSIutj0J/kHx9kie&#10;u4ublyVJdfvtm0LB4zAzv2Fmi9624kY+NI4VvIwzEMTamYYrBYf9ejQBESKywdYxKfihAIv5cDDD&#10;wrg7b+m2i5VIEA4FKqhj7Aopg67JYhi7jjh5F+ctxiR9JY3He4LbVuZZ9iYtNpwWauxoVZO+7r6t&#10;guXH+bzZ9Kv9yX9qOuaXstTbUqnnp345BRGpj4/wf/vLKMhf3+HvTDoC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UPv2xQAAANwAAAAPAAAAAAAAAAAAAAAAAJgCAABkcnMv&#10;ZG93bnJldi54bWxQSwUGAAAAAAQABAD1AAAAigMAAAAA&#10;" filled="f" strokecolor="#8064a2" strokeweight=".5pt"/>
                      <w10:anchorlock/>
                    </v:group>
                  </w:pict>
                </mc:Fallback>
              </mc:AlternateContent>
            </w:r>
          </w:p>
        </w:tc>
        <w:tc>
          <w:tcPr>
            <w:tcW w:w="1082" w:type="dxa"/>
          </w:tcPr>
          <w:p w14:paraId="165B5015"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373" w:type="dxa"/>
          </w:tcPr>
          <w:p w14:paraId="481BF744"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4929158B" wp14:editId="482C42D2">
                      <wp:extent cx="216024" cy="216024"/>
                      <wp:effectExtent l="0" t="0" r="12700" b="12700"/>
                      <wp:docPr id="248"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2B332EDB"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Clmc52DgIAAIs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73E9CA09"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18" w:type="dxa"/>
          </w:tcPr>
          <w:p w14:paraId="6AF8AF68"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650C5D82" wp14:editId="266C41A9">
                      <wp:extent cx="339400" cy="339400"/>
                      <wp:effectExtent l="0" t="0" r="3810" b="3810"/>
                      <wp:docPr id="249"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250" name="Oval 250"/>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1" name="Oval 251"/>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38CD1724"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">
                      <v:oval id="Oval 250"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FSoMAA&#10;AADcAAAADwAAAGRycy9kb3ducmV2LnhtbERPzYrCMBC+C/sOYRa8aboFRbtGkcVdBEGw9gFmm7Ep&#10;NpPSRFvf3hwEjx/f/2oz2EbcqfO1YwVf0wQEcel0zZWC4vw7WYDwAVlj45gUPMjDZv0xWmGmXc8n&#10;uuehEjGEfYYKTAhtJqUvDVn0U9cSR+7iOoshwq6SusM+httGpkkylxZrjg0GW/oxVF7zm1VwrKRZ&#10;/h/a3V9an5nzouivQ6LU+HPYfoMINIS3+OXeawXpLM6PZ+IRkO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FSoMAAAADcAAAADwAAAAAAAAAAAAAAAACYAgAAZHJzL2Rvd25y&#10;ZXYueG1sUEsFBgAAAAAEAAQA9QAAAIUDAAAAAA==&#10;" fillcolor="#4bacc6" stroked="f" strokeweight="3pt">
                        <v:stroke dashstyle="1 1"/>
                      </v:oval>
                      <v:oval id="Oval 251"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laJcIA&#10;AADcAAAADwAAAGRycy9kb3ducmV2LnhtbESPzYrCQBCE7wu+w9ALe1nWiaIiWUcRIWy8+fcATaZN&#10;wmZ6QqbV+PaOIHgsquorarHqXaOu1IXas4HRMAFFXHhbc2ngdMx+5qCCIFtsPJOBOwVYLQcfC0yt&#10;v/GergcpVYRwSNFAJdKmWoeiIodh6Fvi6J1951Ci7EptO7xFuGv0OElm2mHNcaHCljYVFf+HizNg&#10;Z5Nz7prsT7Jvu6H1bprvZGvM12e//gUl1Ms7/Grn1sB4OoLnmXgE9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yVolwgAAANwAAAAPAAAAAAAAAAAAAAAAAJgCAABkcnMvZG93&#10;bnJldi54bWxQSwUGAAAAAAQABAD1AAAAhwMAAAAA&#10;" fillcolor="#8064a2" stroked="f" strokeweight="3pt">
                        <v:stroke dashstyle="1 1"/>
                      </v:oval>
                      <w10:anchorlock/>
                    </v:group>
                  </w:pict>
                </mc:Fallback>
              </mc:AlternateContent>
            </w:r>
          </w:p>
        </w:tc>
      </w:tr>
      <w:tr w:rsidR="00094652" w:rsidRPr="0063688B" w14:paraId="0965E7EE" w14:textId="77777777" w:rsidTr="001245C3">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578C3B4C" w14:textId="77777777" w:rsidR="00094652" w:rsidRPr="0036554D" w:rsidRDefault="00094652" w:rsidP="001245C3">
            <w:pPr>
              <w:widowControl w:val="0"/>
              <w:rPr>
                <w:rStyle w:val="Strong"/>
              </w:rPr>
            </w:pPr>
            <w:r w:rsidRPr="0036554D">
              <w:rPr>
                <w:rStyle w:val="Strong"/>
                <w:b/>
                <w:bCs w:val="0"/>
              </w:rPr>
              <w:t>Description</w:t>
            </w:r>
          </w:p>
        </w:tc>
        <w:tc>
          <w:tcPr>
            <w:tcW w:w="3446" w:type="dxa"/>
            <w:gridSpan w:val="2"/>
            <w:shd w:val="clear" w:color="auto" w:fill="auto"/>
          </w:tcPr>
          <w:p w14:paraId="39CBAFF9" w14:textId="77777777" w:rsidR="00094652" w:rsidRPr="00377B83"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458" w:type="dxa"/>
            <w:gridSpan w:val="2"/>
            <w:shd w:val="clear" w:color="auto" w:fill="auto"/>
          </w:tcPr>
          <w:p w14:paraId="562AA35F" w14:textId="77777777" w:rsidR="00094652" w:rsidRPr="00377B83"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455" w:type="dxa"/>
            <w:gridSpan w:val="2"/>
            <w:shd w:val="clear" w:color="auto" w:fill="auto"/>
          </w:tcPr>
          <w:p w14:paraId="3CCA4B07" w14:textId="77777777" w:rsidR="00094652" w:rsidRPr="0063688B"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469" w:type="dxa"/>
            <w:gridSpan w:val="2"/>
            <w:shd w:val="clear" w:color="auto" w:fill="auto"/>
          </w:tcPr>
          <w:p w14:paraId="37AD2B61" w14:textId="77777777" w:rsidR="00094652" w:rsidRPr="0063688B"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094652" w:rsidRPr="00F044F9" w14:paraId="3193865F" w14:textId="77777777" w:rsidTr="001245C3">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shd w:val="clear" w:color="auto" w:fill="DFD8E8"/>
          </w:tcPr>
          <w:p w14:paraId="257F5813" w14:textId="77777777" w:rsidR="00094652" w:rsidRPr="00F044F9" w:rsidRDefault="00094652" w:rsidP="001245C3">
            <w:pPr>
              <w:spacing w:before="60" w:after="60"/>
              <w:rPr>
                <w:rStyle w:val="Strong"/>
                <w:b/>
              </w:rPr>
            </w:pPr>
            <w:r w:rsidRPr="00F044F9">
              <w:rPr>
                <w:rStyle w:val="Strong"/>
                <w:b/>
              </w:rPr>
              <w:t xml:space="preserve">Eligibility and suitability </w:t>
            </w:r>
          </w:p>
        </w:tc>
        <w:tc>
          <w:tcPr>
            <w:tcW w:w="3446" w:type="dxa"/>
            <w:gridSpan w:val="2"/>
            <w:shd w:val="clear" w:color="auto" w:fill="DFD8E8"/>
          </w:tcPr>
          <w:p w14:paraId="216296BD" w14:textId="77777777"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partially has procedures and systems in place to ensure personnel are eligible and suitable to access Australian Government resources. Pre-employment screening is ad hoc and security vetting requirements (where relevant) are partially followed. Some risks associated with eligibility and suitability of personnel are managed.</w:t>
            </w:r>
          </w:p>
        </w:tc>
        <w:tc>
          <w:tcPr>
            <w:tcW w:w="3458" w:type="dxa"/>
            <w:gridSpan w:val="2"/>
            <w:shd w:val="clear" w:color="auto" w:fill="DFD8E8"/>
          </w:tcPr>
          <w:p w14:paraId="5E3D8F39" w14:textId="77777777"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has developed the majority of the entity’s procedures and systems to ensure that personnel are eligible and suitable to access Australian Government resources. Pre-employment screening practices are substantially in place and security vetting requirements (where relevant) mostly followed. The entity manages the majority of risks associated with eligibility and suitability of personnel.</w:t>
            </w:r>
          </w:p>
        </w:tc>
        <w:tc>
          <w:tcPr>
            <w:tcW w:w="3455" w:type="dxa"/>
            <w:gridSpan w:val="2"/>
            <w:shd w:val="clear" w:color="auto" w:fill="DFD8E8"/>
          </w:tcPr>
          <w:p w14:paraId="7AAC713E" w14:textId="77777777"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Procedures and systems are in place to ensure that all personnel are eligible and suitable to access Australian Government resources. All pre-employment screening and security vetting (where relevant) requirements are followed. These procedures and systems mitigate risks identified in the entity’s personnel security risk assessment.</w:t>
            </w:r>
          </w:p>
        </w:tc>
        <w:tc>
          <w:tcPr>
            <w:tcW w:w="3469" w:type="dxa"/>
            <w:gridSpan w:val="2"/>
            <w:shd w:val="clear" w:color="auto" w:fill="DFD8E8"/>
          </w:tcPr>
          <w:p w14:paraId="44815B2C" w14:textId="77777777"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excels in implementing efficient and timely processes to ensure the eligibility and suitability of personnel to access Australian</w:t>
            </w:r>
            <w:r>
              <w:rPr>
                <w:b w:val="0"/>
              </w:rPr>
              <w:t> </w:t>
            </w:r>
            <w:r w:rsidRPr="00F044F9">
              <w:rPr>
                <w:b w:val="0"/>
              </w:rPr>
              <w:t>Government resources. All requirements are followed and the entity has comprehensive practices in place to proactively manage risks identified in its personnel security risk assessment.</w:t>
            </w:r>
          </w:p>
        </w:tc>
      </w:tr>
      <w:tr w:rsidR="00094652" w:rsidRPr="00F044F9" w14:paraId="01849849" w14:textId="77777777" w:rsidTr="001245C3">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0396A6C2" w14:textId="77777777" w:rsidR="00094652" w:rsidRPr="00F044F9" w:rsidRDefault="00094652" w:rsidP="001245C3">
            <w:pPr>
              <w:widowControl w:val="0"/>
              <w:spacing w:before="60" w:after="60"/>
              <w:rPr>
                <w:rStyle w:val="Strong"/>
                <w:b/>
              </w:rPr>
            </w:pPr>
            <w:r w:rsidRPr="00F044F9">
              <w:rPr>
                <w:rStyle w:val="Strong"/>
                <w:b/>
              </w:rPr>
              <w:t>Ongoing assessment of personnel</w:t>
            </w:r>
          </w:p>
        </w:tc>
        <w:tc>
          <w:tcPr>
            <w:tcW w:w="3446" w:type="dxa"/>
            <w:gridSpan w:val="2"/>
            <w:shd w:val="clear" w:color="auto" w:fill="auto"/>
          </w:tcPr>
          <w:p w14:paraId="45881573" w14:textId="3630E2BB"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 xml:space="preserve">The entity </w:t>
            </w:r>
            <w:r>
              <w:rPr>
                <w:b w:val="0"/>
              </w:rPr>
              <w:t xml:space="preserve">partially </w:t>
            </w:r>
            <w:r w:rsidRPr="00F044F9">
              <w:rPr>
                <w:b w:val="0"/>
              </w:rPr>
              <w:t xml:space="preserve">assesses and manages ongoing suitability of </w:t>
            </w:r>
            <w:r>
              <w:rPr>
                <w:b w:val="0"/>
              </w:rPr>
              <w:t>its</w:t>
            </w:r>
            <w:r w:rsidRPr="00F044F9">
              <w:rPr>
                <w:b w:val="0"/>
              </w:rPr>
              <w:t xml:space="preserve"> personnel</w:t>
            </w:r>
            <w:r>
              <w:rPr>
                <w:b w:val="0"/>
              </w:rPr>
              <w:t>.</w:t>
            </w:r>
            <w:r w:rsidRPr="00F044F9">
              <w:rPr>
                <w:b w:val="0"/>
              </w:rPr>
              <w:t xml:space="preserve"> Information of security concern for ongoing suitability of personnel is assessed and shared on an ad hoc basis with relevant stakeholders. Some security clearance maintenance requirements (where relevant) are met.</w:t>
            </w:r>
          </w:p>
        </w:tc>
        <w:tc>
          <w:tcPr>
            <w:tcW w:w="3458" w:type="dxa"/>
            <w:gridSpan w:val="2"/>
            <w:shd w:val="clear" w:color="auto" w:fill="auto"/>
          </w:tcPr>
          <w:p w14:paraId="10ABC6BB" w14:textId="0C770218"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 xml:space="preserve">The entity has substantially developed its procedures and systems to assess and manage ongoing suitability of </w:t>
            </w:r>
            <w:r>
              <w:rPr>
                <w:b w:val="0"/>
              </w:rPr>
              <w:t>its</w:t>
            </w:r>
            <w:r w:rsidRPr="00F044F9">
              <w:rPr>
                <w:b w:val="0"/>
              </w:rPr>
              <w:t xml:space="preserve"> personnel. In the majority of cases, information of security concern for ongoing suitability of personnel is assessed and shared by the entity with relevant stakeholders. Procedures are mostly in place to ensure compliance with security clearance maintenance requirements (where relevant).</w:t>
            </w:r>
          </w:p>
        </w:tc>
        <w:tc>
          <w:tcPr>
            <w:tcW w:w="3455" w:type="dxa"/>
            <w:gridSpan w:val="2"/>
            <w:shd w:val="clear" w:color="auto" w:fill="auto"/>
          </w:tcPr>
          <w:p w14:paraId="28F3A144" w14:textId="77777777"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Procedures and systems are in place to ensure that the ongoing suitability of personnel is assessed and managed in accordance with the entity’s personnel security risk assessment. The entity has established lines of communication and processes to ensure information of security concern is shared with stakeholders as appropriate. The entity has procedures in place to ensure compliance with all security clearance maintenance requirements (where relevant).</w:t>
            </w:r>
          </w:p>
        </w:tc>
        <w:tc>
          <w:tcPr>
            <w:tcW w:w="3469" w:type="dxa"/>
            <w:gridSpan w:val="2"/>
            <w:shd w:val="clear" w:color="auto" w:fill="auto"/>
          </w:tcPr>
          <w:p w14:paraId="257E836C" w14:textId="77777777" w:rsidR="00094652" w:rsidRPr="00F044F9"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is proactive in assessing and managing the suitability of personnel, including security clearance maintenance requirements (where relevant), to ensure integrity of the entity’s core business. The entity has well established lines of communication and robust processes to ensure information of security concern for ongoing suitability of personnel is shared with stakeholders in a timely manner.</w:t>
            </w:r>
          </w:p>
        </w:tc>
      </w:tr>
    </w:tbl>
    <w:p w14:paraId="5B86CE18" w14:textId="77777777" w:rsidR="00094652" w:rsidRDefault="00094652" w:rsidP="0019550C">
      <w:pPr>
        <w:keepNext/>
      </w:pPr>
    </w:p>
    <w:p w14:paraId="7793F920" w14:textId="77777777" w:rsidR="00094652" w:rsidRDefault="00094652"/>
    <w:p w14:paraId="02C93811" w14:textId="77777777" w:rsidR="00094652" w:rsidRDefault="00094652"/>
    <w:tbl>
      <w:tblPr>
        <w:tblStyle w:val="LightShading-Accent41"/>
        <w:tblW w:w="0" w:type="auto"/>
        <w:tblLook w:val="04A0" w:firstRow="1" w:lastRow="0" w:firstColumn="1" w:lastColumn="0" w:noHBand="0" w:noVBand="1"/>
        <w:tblCaption w:val="PSPF maturity self-assessment model - Personnel security"/>
        <w:tblDescription w:val="This table supports self-assessment of maturity for each of the PSPF's core requirements relating to personnel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eligibility and suitability of personnel, each maturity level is described as follows.&#10;Ad hoc: The entity partially has procedures and systems in place to ensure personnel are eligible and suitable to access Australian Government resources. Pre-employment screening is ad hoc and security vetting requirements (where relevant) are partially followed. Some risks associated with eligibility and suitability of personnel are managed.&#10;Developing: The entity has developed the majority of the entity’s procedures and systems to ensure that personnel are eligible and suitable to access Australian Government resources. Pre-employment screening practices are substantially in place and security vetting requirements (where relevant) mostly followed. The entity manages the majority of risks associated with eligibility and suitability of personnel.&#10;Managing: Procedures and systems are in place to ensure that all personnel are eligible and suitable to access Australian Government resources. All pre-employment screening and security vetting (where relevant) requirements are followed. These procedures and systems mitigate risks identified in the entity’s personnel security risk assessment.&#10;Embedded: The entity excels in implementing efficient and timely processes to ensure the eligibility and suitability of personnel to access Australian Government resources. All requirements are followed and the entity has comprehensive practices in place to proactively manage risks identified in its personnel security risk assessment.&#10;&#10;For the core requirement on the ongoing assessment of personnel, each maturity level is described as follows.&#10;Ad hoc: The entity assesses and partially manages ongoing suitability of all personnel affecting. Information of security concern for ongoing suitability of personnel is assessed and shared on an ad hoc basis with relevant stakeholders. Some security clearance maintenance requirements (where relevant) are met. &#10;Developing: The entity has substantially developed its procedures and systems to assess and manage ongoing suitability of all personnel. In the majority of cases, information of security concern for ongoing suitability of personnel is assessed and shared by the entity with relevant stakeholders. Procedures are mostly in place to ensure compliance with security clearance maintenance requirements (where relevant).&#10;Managing: Procedures and systems are in place to ensure that the ongoing suitability of personnel is assessed and managed in accordance with the entity’s personnel security risk assessment. The entity has established lines of communication and processes to ensure information of security concern is shared with stakeholders as appropriate. The entity has procedures in place to ensure compliance with all security clearance maintenance requirements (where relevant). &#10;Embedded: The entity is proactive in assessing and managing the suitability of personnel, including security clearance maintenance requirements (where relevant), to ensure integrity of the entity’s core business. The entity has well established lines of communication and robust processes to ensure information of security concern for ongoing suitability of personnel is shared with stakeholders in a timely manner.&#10;&#10;For the core requirement on separating personnel, each maturity level is described as follows.&#10;Ad hoc: Partial ad hoc processes are in place to ensure that separating personnel have their access to Australian Government resources withdrawn and are informed of their ongoing security obligations.&#10;Developing: Separating personnel, in the majority of cases, understand their ongoing security obligations and have their access to Australian Government resources withdrawn. Systems and processes are substantially developed to verify consistency of separating personnel practices across the entity. &#10;Managing: The entity has in place systems and processes to ensure that all separating personnel understand their ongoing security obligations, particularly where they have had access to sensitive and security classified information and resources during their employment. Separating personnel have their access to Australian Government resources withdrawn within an appropriate timeframe. &#10;Embedded: The entity has proactively implemented systems and processes that are reviewed regularly for separating personnel. Access to Australian Government resources is withdrawn from personnel on separation. The entity ensures separating personnel are debriefed and provided a comprehensive understanding of their ongoing security obligations. Information of security concern about separating personnel is shared with relevant stakeholders, including internally, where appropriate. Risk assessments are undertaken, where appropriate.&#10;"/>
      </w:tblPr>
      <w:tblGrid>
        <w:gridCol w:w="1524"/>
        <w:gridCol w:w="834"/>
        <w:gridCol w:w="2612"/>
        <w:gridCol w:w="1199"/>
        <w:gridCol w:w="2259"/>
        <w:gridCol w:w="1082"/>
        <w:gridCol w:w="2373"/>
        <w:gridCol w:w="1151"/>
        <w:gridCol w:w="2318"/>
      </w:tblGrid>
      <w:tr w:rsidR="00094652" w:rsidRPr="00C166C3" w14:paraId="2396B6C8" w14:textId="77777777" w:rsidTr="001245C3">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46C3122D" w14:textId="77777777" w:rsidR="00094652" w:rsidRPr="0036554D" w:rsidRDefault="00094652" w:rsidP="001245C3">
            <w:pPr>
              <w:rPr>
                <w:rStyle w:val="Strong"/>
              </w:rPr>
            </w:pPr>
          </w:p>
        </w:tc>
        <w:tc>
          <w:tcPr>
            <w:tcW w:w="834" w:type="dxa"/>
          </w:tcPr>
          <w:p w14:paraId="449D2A47"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12" w:type="dxa"/>
          </w:tcPr>
          <w:p w14:paraId="5C6BCF24"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19646455" wp14:editId="3B69D8D0">
                      <wp:extent cx="216024" cy="216024"/>
                      <wp:effectExtent l="0" t="0" r="12700" b="12700"/>
                      <wp:docPr id="42"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43" name="Pie 43"/>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Oval 44"/>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9317479"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">
                      <v:shape id="Pie 43"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GrsYA&#10;AADbAAAADwAAAGRycy9kb3ducmV2LnhtbESPQWvCQBSE74X+h+UVvNWNVaRE1xAKBbVYMXrQ2yP7&#10;TGKzb2N2G9N/3y0IPQ4z8w0zT3pTi45aV1lWMBpGIIhzqysuFBz278+vIJxH1lhbJgU/5CBZPD7M&#10;Mdb2xjvqMl+IAGEXo4LS+yaW0uUlGXRD2xAH72xbgz7ItpC6xVuAm1q+RNFUGqw4LJTY0FtJ+Vf2&#10;bRRsPlbpZ3coTvI43a2y7fi6l5e1UoOnPp2B8NT7//C9vdQKJmP4+xJ+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zGrsYAAADbAAAADwAAAAAAAAAAAAAAAACYAgAAZHJz&#10;L2Rvd25yZXYueG1sUEsFBgAAAAAEAAQA9QAAAIsDA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44"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3E+MQA&#10;AADbAAAADwAAAGRycy9kb3ducmV2LnhtbESPT2sCMRTE7wW/Q3gFbzVbkSJbo4iL1ZPgHxRvj+S5&#10;u3TzsiSprt++EQSPw8z8hpnMOtuIK/lQO1bwOchAEGtnai4VHPbLjzGIEJENNo5JwZ0CzKa9twnm&#10;xt14S9ddLEWCcMhRQRVjm0sZdEUWw8C1xMm7OG8xJulLaTzeEtw2cphlX9JizWmhwpYWFenf3Z9V&#10;MP85nzebbrE/+ZWm4/BSFHpbKNV/7+bfICJ18RV+ttdGwWgEjy/pB8j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txPjEAAAA2wAAAA8AAAAAAAAAAAAAAAAAmAIAAGRycy9k&#10;b3ducmV2LnhtbFBLBQYAAAAABAAEAPUAAACJAwAAAAA=&#10;" filled="f" strokecolor="#8064a2" strokeweight=".5pt"/>
                      <w10:anchorlock/>
                    </v:group>
                  </w:pict>
                </mc:Fallback>
              </mc:AlternateContent>
            </w:r>
          </w:p>
        </w:tc>
        <w:tc>
          <w:tcPr>
            <w:tcW w:w="1199" w:type="dxa"/>
          </w:tcPr>
          <w:p w14:paraId="2EF680C1"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259" w:type="dxa"/>
          </w:tcPr>
          <w:p w14:paraId="41B63C70"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66AF656C" wp14:editId="71D2D379">
                      <wp:extent cx="216024" cy="216024"/>
                      <wp:effectExtent l="0" t="0" r="12700" b="12700"/>
                      <wp:docPr id="45"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46" name="Pie 46"/>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Oval 47"/>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1E48EF7"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">
                      <v:shape id="Pie 46"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tlNsYA&#10;AADbAAAADwAAAGRycy9kb3ducmV2LnhtbESPQWvCQBSE74X+h+UVvNVNWwkSXUUEoSpWTDzo7ZF9&#10;TdJm36bZNcZ/3xUKPQ4z8w0znfemFh21rrKs4GUYgSDOra64UHDMVs9jEM4ja6wtk4IbOZjPHh+m&#10;mGh75QN1qS9EgLBLUEHpfZNI6fKSDLqhbYiD92lbgz7ItpC6xWuAm1q+RlEsDVYcFkpsaFlS/p1e&#10;jILddr346I7FWZ7iwzrdv/1k8muj1OCpX0xAeOr9f/iv/a4VjGK4fwk/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etlNsYAAADbAAAADwAAAAAAAAAAAAAAAACYAgAAZHJz&#10;L2Rvd25yZXYueG1sUEsFBgAAAAAEAAQA9QAAAIsDA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47"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9aj8QA&#10;AADbAAAADwAAAGRycy9kb3ducmV2LnhtbESPQWsCMRSE74L/IbxCb5qtFFtWo4iL1pOglhZvj+S5&#10;u7h5WZKo239vhILHYWa+YabzzjbiSj7UjhW8DTMQxNqZmksF34fV4BNEiMgGG8ek4I8CzGf93hRz&#10;4268o+s+liJBOOSooIqxzaUMuiKLYeha4uSdnLcYk/SlNB5vCW4bOcqysbRYc1qosKVlRfq8v1gF&#10;i/XxuN12y8Ov/9L0MzoVhd4VSr2+dIsJiEhdfIb/2xuj4P0DHl/S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o/EAAAA2wAAAA8AAAAAAAAAAAAAAAAAmAIAAGRycy9k&#10;b3ducmV2LnhtbFBLBQYAAAAABAAEAPUAAACJAwAAAAA=&#10;" filled="f" strokecolor="#8064a2" strokeweight=".5pt"/>
                      <w10:anchorlock/>
                    </v:group>
                  </w:pict>
                </mc:Fallback>
              </mc:AlternateContent>
            </w:r>
          </w:p>
        </w:tc>
        <w:tc>
          <w:tcPr>
            <w:tcW w:w="1082" w:type="dxa"/>
          </w:tcPr>
          <w:p w14:paraId="073963BE"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373" w:type="dxa"/>
          </w:tcPr>
          <w:p w14:paraId="3FB41557"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4007B0BC" wp14:editId="0213E5CE">
                      <wp:extent cx="216024" cy="216024"/>
                      <wp:effectExtent l="0" t="0" r="12700" b="12700"/>
                      <wp:docPr id="51"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16CF4AF4"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AUC+2GDgIAAIo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7AA36F9C" w14:textId="77777777" w:rsidR="00094652"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18" w:type="dxa"/>
          </w:tcPr>
          <w:p w14:paraId="6AFDBF09" w14:textId="77777777" w:rsidR="00094652" w:rsidRPr="00C166C3" w:rsidRDefault="00094652" w:rsidP="001245C3">
            <w:pPr>
              <w:widowControl w:val="0"/>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5063CA94" wp14:editId="1F5F7932">
                      <wp:extent cx="339400" cy="339400"/>
                      <wp:effectExtent l="0" t="0" r="3810" b="3810"/>
                      <wp:docPr id="53"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54" name="Oval 54"/>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Oval 55"/>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C35DD1D"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">
                      <v:oval id="Oval 54"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lZjcMA&#10;AADbAAAADwAAAGRycy9kb3ducmV2LnhtbESP0WrCQBRE3wv+w3KFvtWNUqWNbqQUW4SCYMwHXLPX&#10;bEj2bsiuJv69Wyj0cZiZM8xmO9pW3Kj3tWMF81kCgrh0uuZKQXH6enkD4QOyxtYxKbiTh202edpg&#10;qt3AR7rloRIRwj5FBSaELpXSl4Ys+pnriKN3cb3FEGVfSd3jEOG2lYskWUmLNccFgx19Giqb/GoV&#10;HCpp3s8/3e57UZ+Y86IYmjFR6nk6fqxBBBrDf/ivvdcKlq/w+yX+AJk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lZjcMAAADbAAAADwAAAAAAAAAAAAAAAACYAgAAZHJzL2Rv&#10;d25yZXYueG1sUEsFBgAAAAAEAAQA9QAAAIgDAAAAAA==&#10;" fillcolor="#4bacc6" stroked="f" strokeweight="3pt">
                        <v:stroke dashstyle="1 1"/>
                      </v:oval>
                      <v:oval id="Oval 55"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KusIA&#10;AADbAAAADwAAAGRycy9kb3ducmV2LnhtbESPUWvCQBCE3wv+h2MFX4pelEYkeooIoembVX/AkluT&#10;YG4v5LYa/71XKPRxmJlvmM1ucK26Ux8azwbmswQUceltw5WByzmfrkAFQbbYeiYDTwqw247eNphZ&#10;/+Bvup+kUhHCIUMDtUiXaR3KmhyGme+Io3f1vUOJsq+07fER4a7ViyRZaocNx4UaOzrUVN5OP86A&#10;XX5cC9fmn5K/2wPtj2lxlC9jJuNhvwYlNMh/+K9dWANpCr9f4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Iq6wgAAANsAAAAPAAAAAAAAAAAAAAAAAJgCAABkcnMvZG93&#10;bnJldi54bWxQSwUGAAAAAAQABAD1AAAAhwMAAAAA&#10;" fillcolor="#8064a2" stroked="f" strokeweight="3pt">
                        <v:stroke dashstyle="1 1"/>
                      </v:oval>
                      <w10:anchorlock/>
                    </v:group>
                  </w:pict>
                </mc:Fallback>
              </mc:AlternateContent>
            </w:r>
          </w:p>
        </w:tc>
      </w:tr>
      <w:tr w:rsidR="00094652" w:rsidRPr="0063688B" w14:paraId="33C7F73B" w14:textId="77777777" w:rsidTr="001245C3">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tcPr>
          <w:p w14:paraId="67EEC988" w14:textId="77777777" w:rsidR="00094652" w:rsidRPr="0036554D" w:rsidRDefault="00094652" w:rsidP="001245C3">
            <w:pPr>
              <w:widowControl w:val="0"/>
              <w:rPr>
                <w:rStyle w:val="Strong"/>
              </w:rPr>
            </w:pPr>
            <w:r w:rsidRPr="0036554D">
              <w:rPr>
                <w:rStyle w:val="Strong"/>
                <w:b/>
                <w:bCs w:val="0"/>
              </w:rPr>
              <w:t>Description</w:t>
            </w:r>
          </w:p>
        </w:tc>
        <w:tc>
          <w:tcPr>
            <w:tcW w:w="3446" w:type="dxa"/>
            <w:gridSpan w:val="2"/>
            <w:shd w:val="clear" w:color="auto" w:fill="auto"/>
          </w:tcPr>
          <w:p w14:paraId="4EB64D0F" w14:textId="77777777" w:rsidR="00094652" w:rsidRPr="00377B83"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458" w:type="dxa"/>
            <w:gridSpan w:val="2"/>
            <w:shd w:val="clear" w:color="auto" w:fill="auto"/>
          </w:tcPr>
          <w:p w14:paraId="42B70C72" w14:textId="77777777" w:rsidR="00094652" w:rsidRPr="00377B83"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455" w:type="dxa"/>
            <w:gridSpan w:val="2"/>
            <w:shd w:val="clear" w:color="auto" w:fill="auto"/>
          </w:tcPr>
          <w:p w14:paraId="03653CA5" w14:textId="77777777" w:rsidR="00094652" w:rsidRPr="0063688B"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469" w:type="dxa"/>
            <w:gridSpan w:val="2"/>
            <w:shd w:val="clear" w:color="auto" w:fill="auto"/>
          </w:tcPr>
          <w:p w14:paraId="5DD44781" w14:textId="77777777" w:rsidR="00094652" w:rsidRPr="0063688B" w:rsidRDefault="00094652" w:rsidP="001245C3">
            <w:pPr>
              <w:pStyle w:val="Tablebody"/>
              <w:widowControl w:val="0"/>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CA7A03" w:rsidRPr="0063688B" w14:paraId="33687E0F" w14:textId="77777777" w:rsidTr="0019550C">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24" w:type="dxa"/>
            <w:shd w:val="clear" w:color="auto" w:fill="DFD8E8"/>
          </w:tcPr>
          <w:p w14:paraId="7FC6378C" w14:textId="77777777" w:rsidR="00CA7A03" w:rsidRPr="00F044F9" w:rsidRDefault="00CA7A03" w:rsidP="00795D95">
            <w:pPr>
              <w:widowControl w:val="0"/>
              <w:spacing w:before="60" w:after="60"/>
              <w:rPr>
                <w:rStyle w:val="Strong"/>
                <w:b/>
              </w:rPr>
            </w:pPr>
            <w:r w:rsidRPr="00F044F9">
              <w:rPr>
                <w:rStyle w:val="Strong"/>
                <w:b/>
              </w:rPr>
              <w:t>Separating personnel</w:t>
            </w:r>
          </w:p>
        </w:tc>
        <w:tc>
          <w:tcPr>
            <w:tcW w:w="3446" w:type="dxa"/>
            <w:gridSpan w:val="2"/>
            <w:shd w:val="clear" w:color="auto" w:fill="DFD8E8"/>
          </w:tcPr>
          <w:p w14:paraId="724E021F"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Partial ad hoc processes are in place to ensure that separating personnel have their access to Australian Government resources withdrawn and are informed of their ongoing security obligations.</w:t>
            </w:r>
          </w:p>
        </w:tc>
        <w:tc>
          <w:tcPr>
            <w:tcW w:w="3458" w:type="dxa"/>
            <w:gridSpan w:val="2"/>
            <w:shd w:val="clear" w:color="auto" w:fill="DFD8E8"/>
          </w:tcPr>
          <w:p w14:paraId="35B460AA"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Separating personnel, in the majority of cases, understand their ongoing security obligations and have their access to Australian Government resources withdrawn. Systems and processes are substantially developed to verify consistency of separating personnel practices across the entity.</w:t>
            </w:r>
          </w:p>
        </w:tc>
        <w:tc>
          <w:tcPr>
            <w:tcW w:w="3455" w:type="dxa"/>
            <w:gridSpan w:val="2"/>
            <w:shd w:val="clear" w:color="auto" w:fill="DFD8E8"/>
          </w:tcPr>
          <w:p w14:paraId="63ED27E8"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has in place systems and processes to ensure that all separating personnel understand their ongoing security obligations, particularly where they have had access to sensitive and security classified information and resources during their employment. Separating personnel have their access to Australian Government resources withdrawn within an appropriate timeframe.</w:t>
            </w:r>
          </w:p>
        </w:tc>
        <w:tc>
          <w:tcPr>
            <w:tcW w:w="3469" w:type="dxa"/>
            <w:gridSpan w:val="2"/>
            <w:shd w:val="clear" w:color="auto" w:fill="DFD8E8"/>
          </w:tcPr>
          <w:p w14:paraId="1C20DA6E" w14:textId="77777777" w:rsidR="00CA7A03" w:rsidRPr="00F044F9" w:rsidRDefault="00CA7A03" w:rsidP="00795D95">
            <w:pPr>
              <w:pStyle w:val="Tablebody"/>
              <w:widowControl w:val="0"/>
              <w:cnfStyle w:val="100000000000" w:firstRow="1" w:lastRow="0" w:firstColumn="0" w:lastColumn="0" w:oddVBand="0" w:evenVBand="0" w:oddHBand="0" w:evenHBand="0" w:firstRowFirstColumn="0" w:firstRowLastColumn="0" w:lastRowFirstColumn="0" w:lastRowLastColumn="0"/>
              <w:rPr>
                <w:b w:val="0"/>
              </w:rPr>
            </w:pPr>
            <w:r w:rsidRPr="00F044F9">
              <w:rPr>
                <w:b w:val="0"/>
              </w:rPr>
              <w:t>The entity has proactively implemented systems and processes that are reviewed regularly for separating personnel. Access to Australian Government resources is withdrawn from personnel on separation. The entity ensures separating personnel are debriefed and provided a comprehensive understanding of their ongoing security obligations. Information of security concern about separating personnel is shared with relevant stakeholders, including internally, where appropriate. Risk assessments are undertaken, where appropriate.</w:t>
            </w:r>
          </w:p>
        </w:tc>
      </w:tr>
    </w:tbl>
    <w:p w14:paraId="31ECA6D2" w14:textId="77777777" w:rsidR="0075565E" w:rsidRDefault="0075565E"/>
    <w:p w14:paraId="395840E6" w14:textId="77777777" w:rsidR="009F2390" w:rsidRDefault="009F2390">
      <w:pPr>
        <w:spacing w:after="200" w:line="276" w:lineRule="auto"/>
      </w:pPr>
      <w:r>
        <w:br w:type="page"/>
      </w:r>
    </w:p>
    <w:p w14:paraId="5EC8A18D" w14:textId="4DBBD146" w:rsidR="0075565E" w:rsidRPr="00BD4661" w:rsidRDefault="0075565E" w:rsidP="00FE19D2">
      <w:pPr>
        <w:pStyle w:val="Heading3"/>
        <w:numPr>
          <w:ilvl w:val="0"/>
          <w:numId w:val="0"/>
        </w:numPr>
        <w:ind w:left="576"/>
      </w:pPr>
      <w:r w:rsidRPr="00BD4661">
        <w:lastRenderedPageBreak/>
        <w:t>Physical security</w:t>
      </w:r>
    </w:p>
    <w:p w14:paraId="51EA8134" w14:textId="77777777" w:rsidR="0075565E" w:rsidRPr="00BD4661" w:rsidRDefault="0075565E" w:rsidP="00FE19D2">
      <w:r w:rsidRPr="00FC4202">
        <w:rPr>
          <w:b/>
        </w:rPr>
        <w:t xml:space="preserve">Outcome: </w:t>
      </w:r>
      <w:r w:rsidRPr="00BD4661">
        <w:t>Each entity provides a safe and secure physical environment for people, information and assets.</w:t>
      </w:r>
    </w:p>
    <w:p w14:paraId="2C6B7FB5" w14:textId="77777777" w:rsidR="0075565E" w:rsidRDefault="0075565E" w:rsidP="0075565E">
      <w:pPr>
        <w:pStyle w:val="Caption"/>
        <w:numPr>
          <w:ilvl w:val="0"/>
          <w:numId w:val="30"/>
        </w:numPr>
      </w:pPr>
      <w:r>
        <w:t xml:space="preserve">Table </w:t>
      </w:r>
      <w:r w:rsidR="00E27F29">
        <w:rPr>
          <w:noProof/>
        </w:rPr>
        <w:fldChar w:fldCharType="begin"/>
      </w:r>
      <w:r w:rsidR="00E27F29">
        <w:rPr>
          <w:noProof/>
        </w:rPr>
        <w:instrText xml:space="preserve"> SEQ Annex_Table \* ARABIC </w:instrText>
      </w:r>
      <w:r w:rsidR="00E27F29">
        <w:rPr>
          <w:noProof/>
        </w:rPr>
        <w:fldChar w:fldCharType="separate"/>
      </w:r>
      <w:r w:rsidR="001039E5">
        <w:rPr>
          <w:noProof/>
        </w:rPr>
        <w:t>4</w:t>
      </w:r>
      <w:r w:rsidR="00E27F29">
        <w:rPr>
          <w:noProof/>
        </w:rPr>
        <w:fldChar w:fldCharType="end"/>
      </w:r>
      <w:r w:rsidRPr="005F4A34">
        <w:t xml:space="preserve"> </w:t>
      </w:r>
      <w:r w:rsidR="00E85E8A">
        <w:t>PSPF Maturity S</w:t>
      </w:r>
      <w:r>
        <w:t>elf-</w:t>
      </w:r>
      <w:r w:rsidR="00E85E8A">
        <w:t>Assessment M</w:t>
      </w:r>
      <w:r>
        <w:t>odel – Physical security</w:t>
      </w:r>
    </w:p>
    <w:tbl>
      <w:tblPr>
        <w:tblStyle w:val="LightShading-Accent4"/>
        <w:tblW w:w="0" w:type="auto"/>
        <w:tblLook w:val="04A0" w:firstRow="1" w:lastRow="0" w:firstColumn="1" w:lastColumn="0" w:noHBand="0" w:noVBand="1"/>
        <w:tblCaption w:val="PSPF maturity self-assessment model - Physical security"/>
        <w:tblDescription w:val="This table supports self-assessment of maturity for each of the PSPF's core requirements relating to physical security.&#10;For each core requirement, maturity can be assessed as: Ad hoc, Developing, Managing or Embedded.&#10;&#10;Ad hoc maturity is described as partial maturity. This means some PSPF core and supporting requirements are implemented although are not well understood across the entity. Security outcomes are not being achieved in some areas.&#10;Developing security is described as substantial maturity. This means the majority of PSPF core and supporting requirements are implemented, broadly managed and understood across the entity. Entity is largely meeting security outcomes.&#10;Managing security is described as full matuity. This means all PSPF core and supporting requirements are implemented, integrated into business practices and effectively disseminated across the entity. Entity meets security outcomes. &#10;Embedded security is described as excelled maturity. This means all PSPF core and supporting requirements are implemented, effectively integrated and exceeding security outcomes. Entity’s implementation of better-practice guidance drives achieving high performance.&#10;&#10;For the core requirement on physical security for entity resources, each maturity level is described as follows.&#10;Ad hoc: The entity partially applies physical security requirements. This increases the risk of resources being made inoperable, inaccessible, accessed or removed without proper authorisation.  &#10;Developing: The entity substantially has in place physical security measures that minimise or remove the risk of resources being made inoperable, inaccessible, accessed or removed without proper authorisation. The majority of physical security measures are implemented according to the requirements.  &#10;Managing: The entity applies physical security measures that minimise or remove the risk of resources being made inoperable, inaccessible, accessed or removed without proper authorisation in accordance with requirements. Risks to the compromise of resources are mitigated to a level consistent with entity risk tolerance levels, in accordance with the entity’s security plan. &#10;Embedded: The entity applies physical security measures and better practice guidance that minimise or remove the risk of resources being made inoperable, inaccessible, accessed or removed without proper authorisation, which improves the delivery of business. These measures are proportionate to the level of risk and are scalable to changes in the threat environment.&#10;&#10;For the core requirement on physical security for entity facilities, each maturity level is described as follows.&#10;Ad hoc: The entity partially considers physical security in the early stages of planning, selecting, designing and modifying facilities. Facility certification, accreditation, documentation and review are partially in accordance with ASIO Technical Notes. &#10;Developing: The entity considers physical security when planning, selecting, designing and modifying facilities, in the majority of cases, with physical security requirements substantially integrated into all facilities. Certification, accreditation, documentation and periodic review of the majority of facilities are in accordance with ASIO Technical Notes. Managing: Physical security requirements are integrated into all stages of planning and modifying facilities. Entity facilities are certified and accredited systematically and in accordance with ASIO Technical Notes with appropriate documentation. &#10;Embedded: Physical security requirements are a key driver for selection, design or modification of entity facilities. The entity actively ensures certification and accreditation of its facilities in accordance with ASIO Technical Notes is systematic with upgrades implemented as a priority.&#10;&#10;&#10;"/>
      </w:tblPr>
      <w:tblGrid>
        <w:gridCol w:w="1524"/>
        <w:gridCol w:w="836"/>
        <w:gridCol w:w="2615"/>
        <w:gridCol w:w="1199"/>
        <w:gridCol w:w="2260"/>
        <w:gridCol w:w="62"/>
        <w:gridCol w:w="1020"/>
        <w:gridCol w:w="2373"/>
        <w:gridCol w:w="1150"/>
        <w:gridCol w:w="2313"/>
      </w:tblGrid>
      <w:tr w:rsidR="0075565E" w:rsidRPr="00C166C3" w14:paraId="39163EC7" w14:textId="77777777" w:rsidTr="0075565E">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330F1819" w14:textId="77777777" w:rsidR="0075565E" w:rsidRPr="0036554D" w:rsidRDefault="0075565E" w:rsidP="0075565E">
            <w:pPr>
              <w:keepNext/>
              <w:rPr>
                <w:rStyle w:val="Strong"/>
              </w:rPr>
            </w:pPr>
          </w:p>
        </w:tc>
        <w:tc>
          <w:tcPr>
            <w:tcW w:w="841" w:type="dxa"/>
          </w:tcPr>
          <w:p w14:paraId="651C4CA6"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 xml:space="preserve">Ad hoc </w:t>
            </w:r>
          </w:p>
        </w:tc>
        <w:tc>
          <w:tcPr>
            <w:tcW w:w="2667" w:type="dxa"/>
          </w:tcPr>
          <w:p w14:paraId="09B566C8" w14:textId="356B4F2E"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657192BD" wp14:editId="51173AC5">
                      <wp:extent cx="216024" cy="216024"/>
                      <wp:effectExtent l="0" t="0" r="12700" b="12700"/>
                      <wp:docPr id="35" name="Group 9"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5" name="Pie 36"/>
                              <wps:cNvSpPr/>
                              <wps:spPr>
                                <a:xfrm rot="16200000">
                                  <a:off x="0" y="0"/>
                                  <a:ext cx="288032" cy="288032"/>
                                </a:xfrm>
                                <a:prstGeom prst="pie">
                                  <a:avLst>
                                    <a:gd name="adj1" fmla="val 0"/>
                                    <a:gd name="adj2" fmla="val 10747591"/>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Oval 37"/>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21447F33" id="Group 9"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">
                      <v:shape id="Pie 36"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vdJsQA&#10;AADaAAAADwAAAGRycy9kb3ducmV2LnhtbESPQWvCQBSE70L/w/IK3nTTiiLRVUQQqsWK0YPeHtnX&#10;JG32bcxuY/z3XUHwOMzMN8x03ppSNFS7wrKCt34Egji1uuBMwfGw6o1BOI+ssbRMCm7kYD576Uwx&#10;1vbKe2oSn4kAYRejgtz7KpbSpTkZdH1bEQfv29YGfZB1JnWN1wA3pXyPopE0WHBYyLGiZU7pb/Jn&#10;FGw/14uv5pid5Wm0Xye7weUgfzZKdV/bxQSEp9Y/w4/2h1YwhPuVcAPk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r3SbEAAAA2gAAAA8AAAAAAAAAAAAAAAAAmAIAAGRycy9k&#10;b3ducmV2LnhtbFBLBQYAAAAABAAEAPUAAACJAwAAAAA=&#10;" path="m288032,144016v,79109,-63811,143409,-142918,144012c66007,288631,1223,225312,17,146212r143999,-2196l288032,144016xe" fillcolor="#8064a2" stroked="f" strokeweight="2pt">
                        <v:path arrowok="t" o:connecttype="custom" o:connectlocs="288032,144016;145114,288028;17,146212;144016,144016;288032,144016" o:connectangles="0,0,0,0,0"/>
                      </v:shape>
                      <v:oval id="Oval 37"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kp8sQA&#10;AADbAAAADwAAAGRycy9kb3ducmV2LnhtbESPQWsCMRSE74L/IbxCb5qtBVtWo4iL1pOglhZvj+S5&#10;u7h5WZKo239vhILHYWa+YabzzjbiSj7UjhW8DTMQxNqZmksF34fV4BNEiMgGG8ek4I8CzGf93hRz&#10;4268o+s+liJBOOSooIqxzaUMuiKLYeha4uSdnLcYk/SlNB5vCW4bOcqysbRYc1qosKVlRfq8v1gF&#10;i/XxuN12y8Ov/9L0MzoVhd4VSr2+dIsJiEhdfIb/2xuj4P0DHl/SD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5KfLEAAAA2wAAAA8AAAAAAAAAAAAAAAAAmAIAAGRycy9k&#10;b3ducmV2LnhtbFBLBQYAAAAABAAEAPUAAACJAwAAAAA=&#10;" filled="f" strokecolor="#8064a2" strokeweight=".5pt"/>
                      <w10:anchorlock/>
                    </v:group>
                  </w:pict>
                </mc:Fallback>
              </mc:AlternateContent>
            </w:r>
          </w:p>
        </w:tc>
        <w:tc>
          <w:tcPr>
            <w:tcW w:w="1200" w:type="dxa"/>
          </w:tcPr>
          <w:p w14:paraId="0F34BE68"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Developing</w:t>
            </w:r>
          </w:p>
        </w:tc>
        <w:tc>
          <w:tcPr>
            <w:tcW w:w="2308" w:type="dxa"/>
          </w:tcPr>
          <w:p w14:paraId="757954A6" w14:textId="06E96F10"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36554D">
              <w:rPr>
                <w:rStyle w:val="Strong"/>
                <w:noProof/>
                <w:lang w:eastAsia="en-AU"/>
              </w:rPr>
              <mc:AlternateContent>
                <mc:Choice Requires="wpg">
                  <w:drawing>
                    <wp:inline distT="0" distB="0" distL="0" distR="0" wp14:anchorId="033676CE" wp14:editId="5B786B24">
                      <wp:extent cx="216024" cy="216024"/>
                      <wp:effectExtent l="0" t="0" r="12700" b="12700"/>
                      <wp:docPr id="38" name="Group 10" descr="Decorative"/>
                      <wp:cNvGraphicFramePr/>
                      <a:graphic xmlns:a="http://schemas.openxmlformats.org/drawingml/2006/main">
                        <a:graphicData uri="http://schemas.microsoft.com/office/word/2010/wordprocessingGroup">
                          <wpg:wgp>
                            <wpg:cNvGrpSpPr/>
                            <wpg:grpSpPr>
                              <a:xfrm>
                                <a:off x="0" y="0"/>
                                <a:ext cx="216024" cy="216024"/>
                                <a:chOff x="0" y="0"/>
                                <a:chExt cx="288032" cy="288032"/>
                              </a:xfrm>
                            </wpg:grpSpPr>
                            <wps:wsp>
                              <wps:cNvPr id="39" name="Pie 39"/>
                              <wps:cNvSpPr/>
                              <wps:spPr>
                                <a:xfrm rot="16200000">
                                  <a:off x="0" y="0"/>
                                  <a:ext cx="288032" cy="288032"/>
                                </a:xfrm>
                                <a:prstGeom prst="pie">
                                  <a:avLst/>
                                </a:prstGeom>
                                <a:solidFill>
                                  <a:srgbClr val="8064A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Oval 40"/>
                              <wps:cNvSpPr/>
                              <wps:spPr>
                                <a:xfrm>
                                  <a:off x="0" y="0"/>
                                  <a:ext cx="288032" cy="288032"/>
                                </a:xfrm>
                                <a:prstGeom prst="ellipse">
                                  <a:avLst/>
                                </a:prstGeom>
                                <a:no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592E8ABF" id="Group 10" o:spid="_x0000_s1026" alt="Decorative" style="width:17pt;height:17pt;mso-position-horizontal-relative:char;mso-position-vertical-relative:line" coordsize="288032,288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">
                      <v:shape id="Pie 39" o:spid="_x0000_s1027" style="position:absolute;width:288032;height:288032;rotation:-90;visibility:visible;mso-wrap-style:square;v-text-anchor:middle" coordsize="288032,2880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KCOcUA&#10;AADbAAAADwAAAGRycy9kb3ducmV2LnhtbESPQWvCQBSE7wX/w/KE3upGBdHUVUQQaouK0UO9PbLP&#10;JJp9m2a3Mf77bkHwOMzMN8x03ppSNFS7wrKCfi8CQZxaXXCm4HhYvY1BOI+ssbRMCu7kYD7rvEwx&#10;1vbGe2oSn4kAYRejgtz7KpbSpTkZdD1bEQfvbGuDPsg6k7rGW4CbUg6iaCQNFhwWcqxomVN6TX6N&#10;gs3XerFtjtlJfo/262Q3/DnIy6dSr9128Q7CU+uf4Uf7QysYTuD/S/g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oI5xQAAANsAAAAPAAAAAAAAAAAAAAAAAJgCAABkcnMv&#10;ZG93bnJldi54bWxQSwUGAAAAAAQABAD1AAAAigMAAAAA&#10;" path="m288032,144016v,79538,-64478,144016,-144016,144016c64478,288032,,223554,,144016,,64478,64478,,144016,r,144016l288032,144016xe" fillcolor="#8064a2" stroked="f" strokeweight="2pt">
                        <v:path arrowok="t" o:connecttype="custom" o:connectlocs="288032,144016;144016,288032;0,144016;144016,0;144016,144016;288032,144016" o:connectangles="0,0,0,0,0,0"/>
                      </v:shape>
                      <v:oval id="Oval 40" o:spid="_x0000_s1028" style="position:absolute;width:288032;height:288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oUsIA&#10;AADaAAAADwAAAGRycy9kb3ducmV2LnhtbESPQWsCMRSE7wX/Q3iCt5rVg5XVKOKi9SSopeLtkTx3&#10;FzcvS5Lq+u+bQsHjMDPfMPNlZxtxJx9qxwpGwwwEsXam5lLB12nzPgURIrLBxjEpeFKA5aL3Nsfc&#10;uAcf6H6MpUgQDjkqqGJscymDrshiGLqWOHlX5y3GJH0pjcdHgttGjrNsIi3WnBYqbGldkb4df6yC&#10;1fZy2e+79ensPzV9j69FoQ+FUoN+t5qBiNTFV/i/vTMKPuDvSroBc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Z2hSwgAAANoAAAAPAAAAAAAAAAAAAAAAAJgCAABkcnMvZG93&#10;bnJldi54bWxQSwUGAAAAAAQABAD1AAAAhwMAAAAA&#10;" filled="f" strokecolor="#8064a2" strokeweight=".5pt"/>
                      <w10:anchorlock/>
                    </v:group>
                  </w:pict>
                </mc:Fallback>
              </mc:AlternateContent>
            </w:r>
          </w:p>
        </w:tc>
        <w:tc>
          <w:tcPr>
            <w:tcW w:w="1083" w:type="dxa"/>
            <w:gridSpan w:val="2"/>
          </w:tcPr>
          <w:p w14:paraId="4AB15F56"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Managing</w:t>
            </w:r>
          </w:p>
        </w:tc>
        <w:tc>
          <w:tcPr>
            <w:tcW w:w="2425" w:type="dxa"/>
          </w:tcPr>
          <w:p w14:paraId="11A349FA" w14:textId="77777777"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s">
                  <w:drawing>
                    <wp:inline distT="0" distB="0" distL="0" distR="0" wp14:anchorId="35B327A9" wp14:editId="3505583C">
                      <wp:extent cx="216024" cy="216024"/>
                      <wp:effectExtent l="0" t="0" r="12700" b="12700"/>
                      <wp:docPr id="41" name="Oval 18" descr="Decorative"/>
                      <wp:cNvGraphicFramePr/>
                      <a:graphic xmlns:a="http://schemas.openxmlformats.org/drawingml/2006/main">
                        <a:graphicData uri="http://schemas.microsoft.com/office/word/2010/wordprocessingShape">
                          <wps:wsp>
                            <wps:cNvSpPr/>
                            <wps:spPr>
                              <a:xfrm>
                                <a:off x="0" y="0"/>
                                <a:ext cx="216024" cy="216024"/>
                              </a:xfrm>
                              <a:prstGeom prst="ellipse">
                                <a:avLst/>
                              </a:prstGeom>
                              <a:solidFill>
                                <a:srgbClr val="8064A2"/>
                              </a:solidFill>
                              <a:ln w="6350">
                                <a:solidFill>
                                  <a:srgbClr val="8064A2"/>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inline>
                  </w:drawing>
                </mc:Choice>
                <mc:Fallback>
                  <w:pict>
                    <v:oval w14:anchorId="258F8A43" id="Oval 18" o:spid="_x0000_s1026" alt="Decorative" style="width:17pt;height:1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" fillcolor="#8064a2" strokecolor="#8064a2" strokeweight=".5pt">
                      <w10:anchorlock/>
                    </v:oval>
                  </w:pict>
                </mc:Fallback>
              </mc:AlternateContent>
            </w:r>
          </w:p>
        </w:tc>
        <w:tc>
          <w:tcPr>
            <w:tcW w:w="1151" w:type="dxa"/>
          </w:tcPr>
          <w:p w14:paraId="4059A63B" w14:textId="77777777" w:rsidR="0075565E"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Embedded</w:t>
            </w:r>
          </w:p>
        </w:tc>
        <w:tc>
          <w:tcPr>
            <w:tcW w:w="2358" w:type="dxa"/>
          </w:tcPr>
          <w:p w14:paraId="4A4AF7EE" w14:textId="77777777" w:rsidR="0075565E" w:rsidRPr="00C166C3" w:rsidRDefault="0075565E" w:rsidP="0075565E">
            <w:pPr>
              <w:keepNext/>
              <w:cnfStyle w:val="100000000000" w:firstRow="1" w:lastRow="0" w:firstColumn="0" w:lastColumn="0" w:oddVBand="0" w:evenVBand="0" w:oddHBand="0" w:evenHBand="0" w:firstRowFirstColumn="0" w:firstRowLastColumn="0" w:lastRowFirstColumn="0" w:lastRowLastColumn="0"/>
              <w:rPr>
                <w:rStyle w:val="Strong"/>
                <w:b/>
              </w:rPr>
            </w:pPr>
            <w:r w:rsidRPr="006A5552">
              <w:rPr>
                <w:noProof/>
                <w:lang w:eastAsia="en-AU"/>
              </w:rPr>
              <mc:AlternateContent>
                <mc:Choice Requires="wpg">
                  <w:drawing>
                    <wp:inline distT="0" distB="0" distL="0" distR="0" wp14:anchorId="2916C778" wp14:editId="69EF1FFB">
                      <wp:extent cx="339400" cy="339400"/>
                      <wp:effectExtent l="0" t="0" r="3810" b="3810"/>
                      <wp:docPr id="48" name="Group 1" descr="Decorative"/>
                      <wp:cNvGraphicFramePr/>
                      <a:graphic xmlns:a="http://schemas.openxmlformats.org/drawingml/2006/main">
                        <a:graphicData uri="http://schemas.microsoft.com/office/word/2010/wordprocessingGroup">
                          <wpg:wgp>
                            <wpg:cNvGrpSpPr/>
                            <wpg:grpSpPr>
                              <a:xfrm>
                                <a:off x="0" y="0"/>
                                <a:ext cx="339400" cy="339400"/>
                                <a:chOff x="0" y="0"/>
                                <a:chExt cx="339400" cy="339400"/>
                              </a:xfrm>
                            </wpg:grpSpPr>
                            <wps:wsp>
                              <wps:cNvPr id="49" name="Oval 49"/>
                              <wps:cNvSpPr/>
                              <wps:spPr>
                                <a:xfrm>
                                  <a:off x="0" y="0"/>
                                  <a:ext cx="339400" cy="339400"/>
                                </a:xfrm>
                                <a:prstGeom prst="ellipse">
                                  <a:avLst/>
                                </a:prstGeom>
                                <a:solidFill>
                                  <a:srgbClr val="4BACC6"/>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Oval 50"/>
                              <wps:cNvSpPr/>
                              <wps:spPr>
                                <a:xfrm>
                                  <a:off x="60284" y="60284"/>
                                  <a:ext cx="216024" cy="216024"/>
                                </a:xfrm>
                                <a:prstGeom prst="ellipse">
                                  <a:avLst/>
                                </a:prstGeom>
                                <a:solidFill>
                                  <a:srgbClr val="8064A2"/>
                                </a:solidFill>
                                <a:ln w="38100">
                                  <a:no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48A6D7A9" id="Group 1" o:spid="_x0000_s1026" alt="Decorative" style="width:26.7pt;height:26.7pt;mso-position-horizontal-relative:char;mso-position-vertical-relative:line" coordsize="339400,339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">
                      <v:oval id="Oval 49" o:spid="_x0000_s1027" style="position:absolute;width:339400;height:3394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FgzsEA&#10;AADbAAAADwAAAGRycy9kb3ducmV2LnhtbESP0YrCMBRE3xf8h3CFfVtTRWStRhFRWRCErf2Aa3Nt&#10;is1NaaLt/v1GEHwcZuYMs1z3thYPan3lWMF4lIAgLpyuuFSQn/df3yB8QNZYOyYFf+RhvRp8LDHV&#10;ruNfemShFBHCPkUFJoQmldIXhiz6kWuIo3d1rcUQZVtK3WIX4baWkySZSYsVxwWDDW0NFbfsbhWc&#10;Smnml2OzO0yqM3OW592tT5T6HPabBYhAfXiHX+0frWA6h+eX+A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RYM7BAAAA2wAAAA8AAAAAAAAAAAAAAAAAmAIAAGRycy9kb3du&#10;cmV2LnhtbFBLBQYAAAAABAAEAPUAAACGAwAAAAA=&#10;" fillcolor="#4bacc6" stroked="f" strokeweight="3pt">
                        <v:stroke dashstyle="1 1"/>
                      </v:oval>
                      <v:oval id="Oval 50" o:spid="_x0000_s1028" style="position:absolute;left:60284;top:60284;width:216024;height:2160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cpIsAA&#10;AADbAAAADwAAAGRycy9kb3ducmV2LnhtbERPzWqDQBC+F/oOyxR6Kc3akoRiswkiSM0tNXmAwZ2o&#10;1J0Vd6r27bOHQI8f3//usLheTTSGzrOBt1UCirj2tuPGwOVcvH6ACoJssfdMBv4owGH/+LDD1PqZ&#10;v2mqpFExhEOKBlqRIdU61C05DCs/EEfu6keHEuHYaDviHMNdr9+TZKsddhwbWhwob6n+qX6dAbtd&#10;X0vXF19SvNicstOmPMnRmOenJfsEJbTIv/juLq2BTVwfv8QfoPc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cpIsAAAADbAAAADwAAAAAAAAAAAAAAAACYAgAAZHJzL2Rvd25y&#10;ZXYueG1sUEsFBgAAAAAEAAQA9QAAAIUDAAAAAA==&#10;" fillcolor="#8064a2" stroked="f" strokeweight="3pt">
                        <v:stroke dashstyle="1 1"/>
                      </v:oval>
                      <w10:anchorlock/>
                    </v:group>
                  </w:pict>
                </mc:Fallback>
              </mc:AlternateContent>
            </w:r>
          </w:p>
        </w:tc>
      </w:tr>
      <w:tr w:rsidR="0075565E" w:rsidRPr="0063688B" w14:paraId="33DD85AF" w14:textId="77777777" w:rsidTr="0075565E">
        <w:trPr>
          <w:cnfStyle w:val="100000000000" w:firstRow="1" w:lastRow="0" w:firstColumn="0" w:lastColumn="0" w:oddVBand="0" w:evenVBand="0" w:oddHBand="0" w:evenHBand="0" w:firstRowFirstColumn="0" w:firstRowLastColumn="0" w:lastRowFirstColumn="0" w:lastRowLastColumn="0"/>
          <w:trHeight w:val="180"/>
          <w:tblHeader/>
        </w:trPr>
        <w:tc>
          <w:tcPr>
            <w:cnfStyle w:val="001000000000" w:firstRow="0" w:lastRow="0" w:firstColumn="1" w:lastColumn="0" w:oddVBand="0" w:evenVBand="0" w:oddHBand="0" w:evenHBand="0" w:firstRowFirstColumn="0" w:firstRowLastColumn="0" w:lastRowFirstColumn="0" w:lastRowLastColumn="0"/>
            <w:tcW w:w="1535" w:type="dxa"/>
          </w:tcPr>
          <w:p w14:paraId="25731F8D" w14:textId="77777777" w:rsidR="0075565E" w:rsidRPr="0036554D" w:rsidRDefault="0075565E" w:rsidP="0075565E">
            <w:pPr>
              <w:keepNext/>
              <w:rPr>
                <w:rStyle w:val="Strong"/>
              </w:rPr>
            </w:pPr>
            <w:r w:rsidRPr="0036554D">
              <w:rPr>
                <w:rStyle w:val="Strong"/>
                <w:b/>
                <w:bCs w:val="0"/>
              </w:rPr>
              <w:t>Description</w:t>
            </w:r>
          </w:p>
        </w:tc>
        <w:tc>
          <w:tcPr>
            <w:tcW w:w="3508" w:type="dxa"/>
            <w:gridSpan w:val="2"/>
            <w:shd w:val="clear" w:color="auto" w:fill="auto"/>
          </w:tcPr>
          <w:p w14:paraId="4C8E3419" w14:textId="77777777" w:rsidR="0075565E" w:rsidRPr="00377B83"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Partial:</w:t>
            </w:r>
            <w:r w:rsidRPr="00377B83">
              <w:rPr>
                <w:rStyle w:val="Strong"/>
              </w:rPr>
              <w:t xml:space="preserve"> Some PSPF core and supporting requirements are implemented although are not well understood across the entity. Security outcomes are not being achieved in some areas.</w:t>
            </w:r>
          </w:p>
        </w:tc>
        <w:tc>
          <w:tcPr>
            <w:tcW w:w="3508" w:type="dxa"/>
            <w:gridSpan w:val="2"/>
            <w:shd w:val="clear" w:color="auto" w:fill="auto"/>
          </w:tcPr>
          <w:p w14:paraId="06716EB0" w14:textId="77777777" w:rsidR="0075565E" w:rsidRPr="00377B83"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rPr>
                <w:rStyle w:val="Strong"/>
              </w:rPr>
            </w:pPr>
            <w:r w:rsidRPr="00377B83">
              <w:rPr>
                <w:rStyle w:val="Strong"/>
                <w:b/>
              </w:rPr>
              <w:t>Substantial:</w:t>
            </w:r>
            <w:r w:rsidRPr="00377B83">
              <w:rPr>
                <w:rStyle w:val="Strong"/>
              </w:rPr>
              <w:t xml:space="preserve"> The majority of PSPF core and supporting requirements are implemented, broadly managed and understood across the entity. Entity is largely meeting security outcomes.</w:t>
            </w:r>
          </w:p>
        </w:tc>
        <w:tc>
          <w:tcPr>
            <w:tcW w:w="3508" w:type="dxa"/>
            <w:gridSpan w:val="3"/>
            <w:shd w:val="clear" w:color="auto" w:fill="auto"/>
          </w:tcPr>
          <w:p w14:paraId="48B013FA" w14:textId="77777777" w:rsidR="0075565E" w:rsidRPr="0063688B"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Full</w:t>
            </w:r>
            <w:r w:rsidRPr="0063688B">
              <w:t xml:space="preserve">: </w:t>
            </w:r>
            <w:r w:rsidRPr="0063688B">
              <w:rPr>
                <w:b w:val="0"/>
              </w:rPr>
              <w:t>A</w:t>
            </w:r>
            <w:r w:rsidRPr="0063688B">
              <w:rPr>
                <w:b w:val="0"/>
                <w:bCs/>
              </w:rPr>
              <w:t>ll PSPF core and supporting requirements are implemented, integrated into business practices and effectively disseminated across the entity. Entity meets security outcomes.</w:t>
            </w:r>
          </w:p>
        </w:tc>
        <w:tc>
          <w:tcPr>
            <w:tcW w:w="3509" w:type="dxa"/>
            <w:gridSpan w:val="2"/>
            <w:shd w:val="clear" w:color="auto" w:fill="auto"/>
          </w:tcPr>
          <w:p w14:paraId="25FB46F2" w14:textId="77777777" w:rsidR="0075565E" w:rsidRPr="0063688B" w:rsidRDefault="0075565E" w:rsidP="0075565E">
            <w:pPr>
              <w:pStyle w:val="Tablebody"/>
              <w:keepNext/>
              <w:cnfStyle w:val="100000000000" w:firstRow="1" w:lastRow="0" w:firstColumn="0" w:lastColumn="0" w:oddVBand="0" w:evenVBand="0" w:oddHBand="0" w:evenHBand="0" w:firstRowFirstColumn="0" w:firstRowLastColumn="0" w:lastRowFirstColumn="0" w:lastRowLastColumn="0"/>
            </w:pPr>
            <w:r w:rsidRPr="0063688B">
              <w:rPr>
                <w:bCs/>
              </w:rPr>
              <w:t>Excelled</w:t>
            </w:r>
            <w:r w:rsidRPr="0063688B">
              <w:t xml:space="preserve">: </w:t>
            </w:r>
            <w:r w:rsidRPr="0063688B">
              <w:rPr>
                <w:b w:val="0"/>
              </w:rPr>
              <w:t>A</w:t>
            </w:r>
            <w:r w:rsidRPr="0063688B">
              <w:rPr>
                <w:b w:val="0"/>
                <w:bCs/>
              </w:rPr>
              <w:t>ll PSPF core and supporting requirements are implemented, are effectively integrated and exceeding security outcomes with better-practice guidance achieving high performance.</w:t>
            </w:r>
          </w:p>
        </w:tc>
      </w:tr>
      <w:tr w:rsidR="0075565E" w14:paraId="33B6B1A8" w14:textId="77777777" w:rsidTr="009B603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535" w:type="dxa"/>
          </w:tcPr>
          <w:p w14:paraId="545E6742" w14:textId="77777777" w:rsidR="001B38C2" w:rsidRPr="001B38C2" w:rsidRDefault="009B603E" w:rsidP="009B603E">
            <w:pPr>
              <w:spacing w:before="60" w:after="60"/>
              <w:rPr>
                <w:rStyle w:val="Strong"/>
                <w:b/>
              </w:rPr>
            </w:pPr>
            <w:r>
              <w:rPr>
                <w:rStyle w:val="Strong"/>
                <w:b/>
              </w:rPr>
              <w:t>Physical security for e</w:t>
            </w:r>
            <w:r w:rsidR="001B38C2" w:rsidRPr="001B38C2">
              <w:rPr>
                <w:rStyle w:val="Strong"/>
                <w:b/>
              </w:rPr>
              <w:t>ntity resources</w:t>
            </w:r>
          </w:p>
        </w:tc>
        <w:tc>
          <w:tcPr>
            <w:tcW w:w="3508" w:type="dxa"/>
            <w:gridSpan w:val="2"/>
          </w:tcPr>
          <w:p w14:paraId="44AC4344" w14:textId="77777777" w:rsidR="001B38C2" w:rsidRPr="001B38C2" w:rsidRDefault="001B38C2" w:rsidP="00185284">
            <w:pPr>
              <w:pStyle w:val="Tablebody"/>
              <w:cnfStyle w:val="000000100000" w:firstRow="0" w:lastRow="0" w:firstColumn="0" w:lastColumn="0" w:oddVBand="0" w:evenVBand="0" w:oddHBand="1" w:evenHBand="0" w:firstRowFirstColumn="0" w:firstRowLastColumn="0" w:lastRowFirstColumn="0" w:lastRowLastColumn="0"/>
            </w:pPr>
            <w:r w:rsidRPr="001B38C2">
              <w:t>The entity partially applies physical security requirements. This increases the risk of resources being made inoperable, inaccessible, accessed or removed without proper authorisation.</w:t>
            </w:r>
          </w:p>
        </w:tc>
        <w:tc>
          <w:tcPr>
            <w:tcW w:w="3570" w:type="dxa"/>
            <w:gridSpan w:val="3"/>
          </w:tcPr>
          <w:p w14:paraId="1F9D5DF3" w14:textId="77777777" w:rsidR="001B38C2" w:rsidRPr="001B38C2" w:rsidRDefault="001B38C2" w:rsidP="00185284">
            <w:pPr>
              <w:pStyle w:val="Tablebody"/>
              <w:cnfStyle w:val="000000100000" w:firstRow="0" w:lastRow="0" w:firstColumn="0" w:lastColumn="0" w:oddVBand="0" w:evenVBand="0" w:oddHBand="1" w:evenHBand="0" w:firstRowFirstColumn="0" w:firstRowLastColumn="0" w:lastRowFirstColumn="0" w:lastRowLastColumn="0"/>
            </w:pPr>
            <w:r w:rsidRPr="001B38C2">
              <w:t>The entity substantially has in place physical security measures that minimise or remove the risk of resources being made inoperable, inaccessible, accessed or removed without proper authorisation. The majority of physical security measures are implemented according to the requirements</w:t>
            </w:r>
            <w:r w:rsidRPr="001B38C2">
              <w:rPr>
                <w:i/>
              </w:rPr>
              <w:t>.</w:t>
            </w:r>
          </w:p>
        </w:tc>
        <w:tc>
          <w:tcPr>
            <w:tcW w:w="3446" w:type="dxa"/>
            <w:gridSpan w:val="2"/>
          </w:tcPr>
          <w:p w14:paraId="7329E95F" w14:textId="77777777" w:rsidR="001B38C2" w:rsidRPr="001B38C2" w:rsidRDefault="001B38C2" w:rsidP="001B38C2">
            <w:pPr>
              <w:pStyle w:val="Tablebody"/>
              <w:cnfStyle w:val="000000100000" w:firstRow="0" w:lastRow="0" w:firstColumn="0" w:lastColumn="0" w:oddVBand="0" w:evenVBand="0" w:oddHBand="1" w:evenHBand="0" w:firstRowFirstColumn="0" w:firstRowLastColumn="0" w:lastRowFirstColumn="0" w:lastRowLastColumn="0"/>
            </w:pPr>
            <w:r w:rsidRPr="001B38C2">
              <w:t>The entity applies physical security measures that minimise or remove the risk of resources being made inoperable, inaccessible, accessed or removed without proper authorisation in accordance with requirements. Risks to the compromise of resources are mitigated to a level consistent with entity risk tolerance levels, in accordance with the entity’s security plan.</w:t>
            </w:r>
          </w:p>
        </w:tc>
        <w:tc>
          <w:tcPr>
            <w:tcW w:w="3509" w:type="dxa"/>
            <w:gridSpan w:val="2"/>
          </w:tcPr>
          <w:p w14:paraId="29EAE743" w14:textId="77777777" w:rsidR="001B38C2" w:rsidRPr="001B38C2" w:rsidRDefault="001B38C2" w:rsidP="00E85E8A">
            <w:pPr>
              <w:pStyle w:val="Tablebody"/>
              <w:cnfStyle w:val="000000100000" w:firstRow="0" w:lastRow="0" w:firstColumn="0" w:lastColumn="0" w:oddVBand="0" w:evenVBand="0" w:oddHBand="1" w:evenHBand="0" w:firstRowFirstColumn="0" w:firstRowLastColumn="0" w:lastRowFirstColumn="0" w:lastRowLastColumn="0"/>
            </w:pPr>
            <w:r w:rsidRPr="001B38C2">
              <w:t>The entity applies physical security measures and better</w:t>
            </w:r>
            <w:r w:rsidR="00E85E8A">
              <w:t>-</w:t>
            </w:r>
            <w:r w:rsidRPr="001B38C2">
              <w:t>practice guidance that minimise or remove the risk of resources being made inoperable, inaccessible, accessed or removed without proper authorisation, which improves the delivery of business. These measures are proportionate to the level of risk and are scalable to changes in the threat environment.</w:t>
            </w:r>
          </w:p>
        </w:tc>
      </w:tr>
      <w:tr w:rsidR="0075565E" w14:paraId="5C69FA51" w14:textId="77777777" w:rsidTr="009B603E">
        <w:trPr>
          <w:cantSplit/>
        </w:trPr>
        <w:tc>
          <w:tcPr>
            <w:cnfStyle w:val="001000000000" w:firstRow="0" w:lastRow="0" w:firstColumn="1" w:lastColumn="0" w:oddVBand="0" w:evenVBand="0" w:oddHBand="0" w:evenHBand="0" w:firstRowFirstColumn="0" w:firstRowLastColumn="0" w:lastRowFirstColumn="0" w:lastRowLastColumn="0"/>
            <w:tcW w:w="1535" w:type="dxa"/>
          </w:tcPr>
          <w:p w14:paraId="02CA5C57" w14:textId="77777777" w:rsidR="001B38C2" w:rsidRPr="001B38C2" w:rsidRDefault="001B38C2" w:rsidP="003E673A">
            <w:pPr>
              <w:spacing w:before="60" w:after="60"/>
              <w:rPr>
                <w:rStyle w:val="Strong"/>
                <w:b/>
              </w:rPr>
            </w:pPr>
            <w:r w:rsidRPr="001B38C2">
              <w:rPr>
                <w:rStyle w:val="Strong"/>
                <w:b/>
              </w:rPr>
              <w:t>Entity facilities</w:t>
            </w:r>
          </w:p>
        </w:tc>
        <w:tc>
          <w:tcPr>
            <w:tcW w:w="3508" w:type="dxa"/>
            <w:gridSpan w:val="2"/>
          </w:tcPr>
          <w:p w14:paraId="28453512" w14:textId="1F7616A2" w:rsidR="001B38C2" w:rsidRPr="001B38C2" w:rsidRDefault="001B38C2" w:rsidP="001B38C2">
            <w:pPr>
              <w:pStyle w:val="Tablebody"/>
              <w:cnfStyle w:val="000000000000" w:firstRow="0" w:lastRow="0" w:firstColumn="0" w:lastColumn="0" w:oddVBand="0" w:evenVBand="0" w:oddHBand="0" w:evenHBand="0" w:firstRowFirstColumn="0" w:firstRowLastColumn="0" w:lastRowFirstColumn="0" w:lastRowLastColumn="0"/>
            </w:pPr>
            <w:r w:rsidRPr="001B38C2">
              <w:t xml:space="preserve">The entity partially considers physical security in the early stages of planning, selecting, </w:t>
            </w:r>
            <w:r w:rsidRPr="004D59E8">
              <w:rPr>
                <w:color w:val="auto"/>
              </w:rPr>
              <w:t xml:space="preserve">designing and modifying facilities. Facility certification, accreditation, documentation and review are partially in accordance with </w:t>
            </w:r>
            <w:r w:rsidR="004743DC" w:rsidRPr="004D59E8">
              <w:rPr>
                <w:color w:val="auto"/>
              </w:rPr>
              <w:t xml:space="preserve">the PSPF and the applicable </w:t>
            </w:r>
            <w:r w:rsidRPr="004D59E8">
              <w:rPr>
                <w:color w:val="auto"/>
              </w:rPr>
              <w:t>ASIO Technical Notes.</w:t>
            </w:r>
          </w:p>
        </w:tc>
        <w:tc>
          <w:tcPr>
            <w:tcW w:w="3570" w:type="dxa"/>
            <w:gridSpan w:val="3"/>
          </w:tcPr>
          <w:p w14:paraId="0211C79D" w14:textId="49121086" w:rsidR="001B38C2" w:rsidRPr="004D59E8" w:rsidRDefault="004743DC" w:rsidP="004743DC">
            <w:pPr>
              <w:pStyle w:val="Tablebody"/>
              <w:cnfStyle w:val="000000000000" w:firstRow="0" w:lastRow="0" w:firstColumn="0" w:lastColumn="0" w:oddVBand="0" w:evenVBand="0" w:oddHBand="0" w:evenHBand="0" w:firstRowFirstColumn="0" w:firstRowLastColumn="0" w:lastRowFirstColumn="0" w:lastRowLastColumn="0"/>
              <w:rPr>
                <w:color w:val="auto"/>
              </w:rPr>
            </w:pPr>
            <w:r w:rsidRPr="004D59E8">
              <w:rPr>
                <w:color w:val="auto"/>
              </w:rPr>
              <w:t>In the majority of cases t</w:t>
            </w:r>
            <w:r w:rsidR="001B38C2" w:rsidRPr="004D59E8">
              <w:rPr>
                <w:color w:val="auto"/>
              </w:rPr>
              <w:t xml:space="preserve">he entity considers physical security when planning, selecting, designing and modifying facilities, </w:t>
            </w:r>
            <w:proofErr w:type="gramStart"/>
            <w:r w:rsidR="001B38C2" w:rsidRPr="004D59E8">
              <w:rPr>
                <w:color w:val="auto"/>
              </w:rPr>
              <w:t>substantially</w:t>
            </w:r>
            <w:proofErr w:type="gramEnd"/>
            <w:r w:rsidR="001B38C2" w:rsidRPr="004D59E8">
              <w:rPr>
                <w:color w:val="auto"/>
              </w:rPr>
              <w:t xml:space="preserve"> </w:t>
            </w:r>
            <w:r w:rsidRPr="004D59E8">
              <w:rPr>
                <w:color w:val="auto"/>
              </w:rPr>
              <w:t xml:space="preserve">integrating physical security requirements </w:t>
            </w:r>
            <w:r w:rsidR="001B38C2" w:rsidRPr="004D59E8">
              <w:rPr>
                <w:color w:val="auto"/>
              </w:rPr>
              <w:t xml:space="preserve">into all facilities. Certification, accreditation, documentation and periodic review of the majority of facilities are in accordance with </w:t>
            </w:r>
            <w:r w:rsidRPr="004D59E8">
              <w:rPr>
                <w:color w:val="auto"/>
              </w:rPr>
              <w:t xml:space="preserve">the PSPF and applicable </w:t>
            </w:r>
            <w:r w:rsidR="001B38C2" w:rsidRPr="004D59E8">
              <w:rPr>
                <w:color w:val="auto"/>
              </w:rPr>
              <w:t>ASIO Technical Notes.</w:t>
            </w:r>
          </w:p>
        </w:tc>
        <w:tc>
          <w:tcPr>
            <w:tcW w:w="3446" w:type="dxa"/>
            <w:gridSpan w:val="2"/>
          </w:tcPr>
          <w:p w14:paraId="7F2394DE" w14:textId="5510B261" w:rsidR="001B38C2" w:rsidRPr="001B38C2" w:rsidRDefault="001B38C2" w:rsidP="003F0694">
            <w:pPr>
              <w:pStyle w:val="Tablebody"/>
              <w:cnfStyle w:val="000000000000" w:firstRow="0" w:lastRow="0" w:firstColumn="0" w:lastColumn="0" w:oddVBand="0" w:evenVBand="0" w:oddHBand="0" w:evenHBand="0" w:firstRowFirstColumn="0" w:firstRowLastColumn="0" w:lastRowFirstColumn="0" w:lastRowLastColumn="0"/>
            </w:pPr>
            <w:r w:rsidRPr="001B38C2">
              <w:t xml:space="preserve">Physical security requirements are integrated into all stages of planning and modifying facilities. Entity facilities are </w:t>
            </w:r>
            <w:r w:rsidRPr="004D59E8">
              <w:rPr>
                <w:color w:val="auto"/>
              </w:rPr>
              <w:t>certified and accredited systematically</w:t>
            </w:r>
            <w:r w:rsidR="003F0694" w:rsidRPr="004D59E8">
              <w:rPr>
                <w:color w:val="auto"/>
              </w:rPr>
              <w:t>, with appropriate documentation,</w:t>
            </w:r>
            <w:r w:rsidRPr="004D59E8">
              <w:rPr>
                <w:color w:val="auto"/>
              </w:rPr>
              <w:t xml:space="preserve"> and in accordance with </w:t>
            </w:r>
            <w:r w:rsidR="003F0694" w:rsidRPr="004D59E8">
              <w:rPr>
                <w:color w:val="auto"/>
              </w:rPr>
              <w:t xml:space="preserve">the PSPF and applicable </w:t>
            </w:r>
            <w:r w:rsidRPr="004D59E8">
              <w:rPr>
                <w:color w:val="auto"/>
              </w:rPr>
              <w:t>ASIO Technical Notes.</w:t>
            </w:r>
          </w:p>
        </w:tc>
        <w:tc>
          <w:tcPr>
            <w:tcW w:w="3509" w:type="dxa"/>
            <w:gridSpan w:val="2"/>
          </w:tcPr>
          <w:p w14:paraId="131309C1" w14:textId="455F066C" w:rsidR="001B38C2" w:rsidRPr="001B38C2" w:rsidRDefault="001B38C2" w:rsidP="003F0694">
            <w:pPr>
              <w:pStyle w:val="Tablebody"/>
              <w:cnfStyle w:val="000000000000" w:firstRow="0" w:lastRow="0" w:firstColumn="0" w:lastColumn="0" w:oddVBand="0" w:evenVBand="0" w:oddHBand="0" w:evenHBand="0" w:firstRowFirstColumn="0" w:firstRowLastColumn="0" w:lastRowFirstColumn="0" w:lastRowLastColumn="0"/>
            </w:pPr>
            <w:r w:rsidRPr="001B38C2">
              <w:t xml:space="preserve">Physical security requirements are a key driver for selection, design or modification of </w:t>
            </w:r>
            <w:r w:rsidRPr="004D59E8">
              <w:rPr>
                <w:color w:val="auto"/>
              </w:rPr>
              <w:t xml:space="preserve">entity facilities. The entity actively ensures </w:t>
            </w:r>
            <w:r w:rsidR="003F0694" w:rsidRPr="004D59E8">
              <w:rPr>
                <w:color w:val="auto"/>
              </w:rPr>
              <w:t xml:space="preserve">systematic </w:t>
            </w:r>
            <w:r w:rsidRPr="004D59E8">
              <w:rPr>
                <w:color w:val="auto"/>
              </w:rPr>
              <w:t>certification</w:t>
            </w:r>
            <w:r w:rsidR="00CD187F" w:rsidRPr="004D59E8">
              <w:rPr>
                <w:color w:val="auto"/>
              </w:rPr>
              <w:t xml:space="preserve"> and</w:t>
            </w:r>
            <w:r w:rsidR="003F0694" w:rsidRPr="004D59E8">
              <w:rPr>
                <w:color w:val="auto"/>
              </w:rPr>
              <w:t xml:space="preserve"> </w:t>
            </w:r>
            <w:r w:rsidRPr="004D59E8">
              <w:rPr>
                <w:color w:val="auto"/>
              </w:rPr>
              <w:t>accreditation</w:t>
            </w:r>
            <w:r w:rsidR="003F0694" w:rsidRPr="004D59E8">
              <w:rPr>
                <w:color w:val="auto"/>
              </w:rPr>
              <w:t>, with appropriate documentation,</w:t>
            </w:r>
            <w:r w:rsidRPr="004D59E8">
              <w:rPr>
                <w:color w:val="auto"/>
              </w:rPr>
              <w:t xml:space="preserve"> of its facilities in accordance with</w:t>
            </w:r>
            <w:r w:rsidR="003F0694" w:rsidRPr="004D59E8">
              <w:rPr>
                <w:color w:val="auto"/>
              </w:rPr>
              <w:t xml:space="preserve"> the PSPF and applicable</w:t>
            </w:r>
            <w:r w:rsidRPr="004D59E8">
              <w:rPr>
                <w:color w:val="auto"/>
              </w:rPr>
              <w:t xml:space="preserve"> ASIO Technical Notes</w:t>
            </w:r>
            <w:r w:rsidR="003F0694" w:rsidRPr="004D59E8">
              <w:rPr>
                <w:color w:val="auto"/>
              </w:rPr>
              <w:t>.</w:t>
            </w:r>
            <w:r w:rsidRPr="004D59E8">
              <w:rPr>
                <w:color w:val="auto"/>
              </w:rPr>
              <w:t xml:space="preserve"> </w:t>
            </w:r>
            <w:r w:rsidR="003F0694" w:rsidRPr="004D59E8">
              <w:rPr>
                <w:color w:val="auto"/>
              </w:rPr>
              <w:t>Required physical security</w:t>
            </w:r>
            <w:r w:rsidRPr="004D59E8">
              <w:rPr>
                <w:color w:val="auto"/>
              </w:rPr>
              <w:t xml:space="preserve"> upgrades</w:t>
            </w:r>
            <w:r w:rsidR="003F0694" w:rsidRPr="004D59E8">
              <w:rPr>
                <w:color w:val="auto"/>
              </w:rPr>
              <w:t xml:space="preserve"> of facilities are</w:t>
            </w:r>
            <w:r w:rsidRPr="004D59E8">
              <w:rPr>
                <w:color w:val="auto"/>
              </w:rPr>
              <w:t xml:space="preserve"> implemented as a priority.</w:t>
            </w:r>
          </w:p>
        </w:tc>
      </w:tr>
    </w:tbl>
    <w:p w14:paraId="68B4E105" w14:textId="77777777" w:rsidR="00693A88" w:rsidRDefault="00693A88" w:rsidP="009B4F82">
      <w:pPr>
        <w:pStyle w:val="Annextext"/>
      </w:pPr>
    </w:p>
    <w:sectPr w:rsidR="00693A88" w:rsidSect="000C7534">
      <w:footerReference w:type="default" r:id="rId76"/>
      <w:headerReference w:type="first" r:id="rId77"/>
      <w:pgSz w:w="16838" w:h="11906" w:orient="landscape" w:code="9"/>
      <w:pgMar w:top="720" w:right="766" w:bottom="720" w:left="720" w:header="284" w:footer="2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CAB25" w14:textId="77777777" w:rsidR="005E5891" w:rsidRDefault="005E5891" w:rsidP="007D070A">
      <w:pPr>
        <w:spacing w:after="0"/>
      </w:pPr>
      <w:r>
        <w:separator/>
      </w:r>
    </w:p>
  </w:endnote>
  <w:endnote w:type="continuationSeparator" w:id="0">
    <w:p w14:paraId="12FCC4B6" w14:textId="77777777" w:rsidR="005E5891" w:rsidRDefault="005E5891" w:rsidP="007D070A">
      <w:pPr>
        <w:spacing w:after="0"/>
      </w:pPr>
      <w:r>
        <w:continuationSeparator/>
      </w:r>
    </w:p>
  </w:endnote>
  <w:endnote w:type="continuationNotice" w:id="1">
    <w:p w14:paraId="27590272" w14:textId="77777777" w:rsidR="005E5891" w:rsidRDefault="005E5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A360B" w14:textId="77777777" w:rsidR="00914F1C" w:rsidRDefault="00914F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23632" w14:textId="78430136" w:rsidR="005305FF" w:rsidRDefault="0019550C" w:rsidP="00F07D04">
    <w:pPr>
      <w:pStyle w:val="Landscapefooter"/>
      <w:tabs>
        <w:tab w:val="clear" w:pos="7655"/>
        <w:tab w:val="center" w:pos="5233"/>
      </w:tabs>
      <w:rPr>
        <w:noProof/>
      </w:rPr>
    </w:pPr>
    <w:r w:rsidRPr="006F61B7">
      <w:rPr>
        <w:noProof/>
        <w:lang w:eastAsia="en-AU"/>
      </w:rPr>
      <mc:AlternateContent>
        <mc:Choice Requires="wps">
          <w:drawing>
            <wp:anchor distT="0" distB="0" distL="114300" distR="114300" simplePos="0" relativeHeight="251495936" behindDoc="0" locked="0" layoutInCell="1" allowOverlap="1" wp14:anchorId="4D3D4E62" wp14:editId="6973B91C">
              <wp:simplePos x="457200" y="7162800"/>
              <wp:positionH relativeFrom="margin">
                <wp:align>left</wp:align>
              </wp:positionH>
              <wp:positionV relativeFrom="paragraph">
                <wp:posOffset>-73660</wp:posOffset>
              </wp:positionV>
              <wp:extent cx="6648450" cy="45719"/>
              <wp:effectExtent l="0" t="0" r="0" b="0"/>
              <wp:wrapNone/>
              <wp:docPr id="214" name="Rectangle 214"/>
              <wp:cNvGraphicFramePr/>
              <a:graphic xmlns:a="http://schemas.openxmlformats.org/drawingml/2006/main">
                <a:graphicData uri="http://schemas.microsoft.com/office/word/2010/wordprocessingShape">
                  <wps:wsp>
                    <wps:cNvSpPr/>
                    <wps:spPr>
                      <a:xfrm>
                        <a:off x="0" y="0"/>
                        <a:ext cx="6648450" cy="45719"/>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FC8F6" id="Rectangle 214" o:spid="_x0000_s1026" style="position:absolute;margin-left:0;margin-top:-5.8pt;width:523.5pt;height:3.6pt;z-index:251495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" fillcolor="#483a70" stroked="f" strokeweight="2pt">
              <w10:wrap anchorx="margin"/>
            </v:rect>
          </w:pict>
        </mc:Fallback>
      </mc:AlternateContent>
    </w:r>
    <w:r w:rsidR="005305FF">
      <w:rPr>
        <w:noProof/>
        <w:lang w:eastAsia="en-AU"/>
      </w:rPr>
      <mc:AlternateContent>
        <mc:Choice Requires="wps">
          <w:drawing>
            <wp:anchor distT="0" distB="0" distL="114300" distR="114300" simplePos="0" relativeHeight="251493888" behindDoc="0" locked="0" layoutInCell="1" allowOverlap="1" wp14:anchorId="15926367" wp14:editId="15147014">
              <wp:simplePos x="0" y="0"/>
              <wp:positionH relativeFrom="column">
                <wp:posOffset>2019300</wp:posOffset>
              </wp:positionH>
              <wp:positionV relativeFrom="paragraph">
                <wp:posOffset>1019175</wp:posOffset>
              </wp:positionV>
              <wp:extent cx="5200650" cy="666750"/>
              <wp:effectExtent l="0" t="0" r="0" b="0"/>
              <wp:wrapNone/>
              <wp:docPr id="213" name="Text Box 213"/>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F85398" w14:textId="77777777" w:rsidR="005305FF" w:rsidRPr="00361D34" w:rsidRDefault="005305FF"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926367" id="_x0000_t202" coordsize="21600,21600" o:spt="202" path="m,l,21600r21600,l21600,xe">
              <v:stroke joinstyle="miter"/>
              <v:path gradientshapeok="t" o:connecttype="rect"/>
            </v:shapetype>
            <v:shape id="Text Box 213" o:spid="_x0000_s1026" type="#_x0000_t202" style="position:absolute;margin-left:159pt;margin-top:80.25pt;width:409.5pt;height:52.5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CoKegIAAGYFAAAOAAAAZHJzL2Uyb0RvYy54bWysVF1P2zAUfZ+0/2D5faQt0G0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M80Kgp6AgAA&#10;ZgUAAA4AAAAAAAAAAAAAAAAALgIAAGRycy9lMm9Eb2MueG1sUEsBAi0AFAAGAAgAAAAhAOXg6Kri&#10;AAAADAEAAA8AAAAAAAAAAAAAAAAA1AQAAGRycy9kb3ducmV2LnhtbFBLBQYAAAAABAAEAPMAAADj&#10;BQAAAAA=&#10;" filled="f" stroked="f" strokeweight=".5pt">
              <v:textbox>
                <w:txbxContent>
                  <w:p w14:paraId="76F85398" w14:textId="77777777" w:rsidR="005305FF" w:rsidRPr="00361D34" w:rsidRDefault="005305FF"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sdt>
      <w:sdtPr>
        <w:id w:val="-1035336482"/>
        <w:docPartObj>
          <w:docPartGallery w:val="Page Numbers (Bottom of Page)"/>
          <w:docPartUnique/>
        </w:docPartObj>
      </w:sdtPr>
      <w:sdtEndPr>
        <w:rPr>
          <w:noProof/>
        </w:rPr>
      </w:sdtEndPr>
      <w:sdtContent>
        <w:sdt>
          <w:sdtPr>
            <w:id w:val="-120158137"/>
            <w:docPartObj>
              <w:docPartGallery w:val="Page Numbers (Bottom of Page)"/>
              <w:docPartUnique/>
            </w:docPartObj>
          </w:sdtPr>
          <w:sdtEndPr>
            <w:rPr>
              <w:noProof/>
            </w:rPr>
          </w:sdtEndPr>
          <w:sdtContent>
            <w:r w:rsidR="005305FF">
              <w:t>v2018.</w:t>
            </w:r>
            <w:r w:rsidR="002D3D9D">
              <w:t>2</w:t>
            </w:r>
            <w:r w:rsidR="005305FF" w:rsidRPr="006F61B7">
              <w:tab/>
            </w:r>
            <w:r w:rsidR="005305FF" w:rsidRPr="006F61B7">
              <w:fldChar w:fldCharType="begin"/>
            </w:r>
            <w:r w:rsidR="005305FF" w:rsidRPr="006F61B7">
              <w:instrText xml:space="preserve"> REF _Ref513635588 \h </w:instrText>
            </w:r>
            <w:r w:rsidR="005305FF">
              <w:instrText xml:space="preserve"> \* MERGEFORMAT </w:instrText>
            </w:r>
            <w:r w:rsidR="005305FF" w:rsidRPr="006F61B7">
              <w:fldChar w:fldCharType="separate"/>
            </w:r>
            <w:r w:rsidR="005305FF" w:rsidRPr="00FE3294">
              <w:t>5 Reporting on security</w:t>
            </w:r>
            <w:r w:rsidR="005305FF" w:rsidRPr="006F61B7">
              <w:fldChar w:fldCharType="end"/>
            </w:r>
            <w:r w:rsidR="005305FF" w:rsidRPr="006F61B7">
              <w:tab/>
            </w:r>
            <w:r w:rsidR="005305FF" w:rsidRPr="006F61B7">
              <w:fldChar w:fldCharType="begin"/>
            </w:r>
            <w:r w:rsidR="005305FF" w:rsidRPr="006F61B7">
              <w:instrText xml:space="preserve"> PAGE   \* MERGEFORMAT </w:instrText>
            </w:r>
            <w:r w:rsidR="005305FF" w:rsidRPr="006F61B7">
              <w:fldChar w:fldCharType="separate"/>
            </w:r>
            <w:r w:rsidR="00914F1C">
              <w:rPr>
                <w:noProof/>
              </w:rPr>
              <w:t>9</w:t>
            </w:r>
            <w:r w:rsidR="005305FF" w:rsidRPr="006F61B7">
              <w:rPr>
                <w:noProof/>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266003"/>
      <w:docPartObj>
        <w:docPartGallery w:val="Page Numbers (Bottom of Page)"/>
        <w:docPartUnique/>
      </w:docPartObj>
    </w:sdtPr>
    <w:sdtEndPr>
      <w:rPr>
        <w:noProof/>
      </w:rPr>
    </w:sdtEndPr>
    <w:sdtContent>
      <w:p w14:paraId="2933EA40" w14:textId="2E2D6184" w:rsidR="001245C3" w:rsidRPr="00563082" w:rsidRDefault="005E5891" w:rsidP="00F07D04">
        <w:pPr>
          <w:pStyle w:val="Footer"/>
          <w:rPr>
            <w:noProof/>
          </w:rPr>
        </w:pPr>
        <w:sdt>
          <w:sdtPr>
            <w:id w:val="971175430"/>
            <w:docPartObj>
              <w:docPartGallery w:val="Page Numbers (Bottom of Page)"/>
              <w:docPartUnique/>
            </w:docPartObj>
          </w:sdtPr>
          <w:sdtEndPr>
            <w:rPr>
              <w:noProof/>
            </w:rPr>
          </w:sdtEndPr>
          <w:sdtContent>
            <w:r w:rsidR="001245C3">
              <w:t>v2018.2</w:t>
            </w:r>
            <w:r w:rsidR="001245C3" w:rsidRPr="006F61B7">
              <w:tab/>
            </w:r>
            <w:r w:rsidR="001245C3" w:rsidRPr="006F61B7">
              <w:fldChar w:fldCharType="begin"/>
            </w:r>
            <w:r w:rsidR="001245C3" w:rsidRPr="006F61B7">
              <w:instrText xml:space="preserve"> REF _Ref513635588 \h </w:instrText>
            </w:r>
            <w:r w:rsidR="001245C3">
              <w:instrText xml:space="preserve"> \* MERGEFORMAT </w:instrText>
            </w:r>
            <w:r w:rsidR="001245C3" w:rsidRPr="006F61B7">
              <w:fldChar w:fldCharType="separate"/>
            </w:r>
            <w:r w:rsidR="001245C3" w:rsidRPr="00FE3294">
              <w:t>5 Reporting on security</w:t>
            </w:r>
            <w:r w:rsidR="001245C3" w:rsidRPr="006F61B7">
              <w:fldChar w:fldCharType="end"/>
            </w:r>
            <w:r w:rsidR="001245C3" w:rsidRPr="006F61B7">
              <w:rPr>
                <w:noProof/>
                <w:lang w:eastAsia="en-AU"/>
              </w:rPr>
              <mc:AlternateContent>
                <mc:Choice Requires="wps">
                  <w:drawing>
                    <wp:anchor distT="0" distB="0" distL="114300" distR="114300" simplePos="0" relativeHeight="251602432" behindDoc="0" locked="0" layoutInCell="1" allowOverlap="1" wp14:anchorId="7B972BBB" wp14:editId="249B45F1">
                      <wp:simplePos x="0" y="0"/>
                      <wp:positionH relativeFrom="column">
                        <wp:posOffset>0</wp:posOffset>
                      </wp:positionH>
                      <wp:positionV relativeFrom="paragraph">
                        <wp:posOffset>-73660</wp:posOffset>
                      </wp:positionV>
                      <wp:extent cx="6648450" cy="47625"/>
                      <wp:effectExtent l="0" t="0" r="0" b="9525"/>
                      <wp:wrapNone/>
                      <wp:docPr id="282" name="Rectangle 28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4D7BBE" id="Rectangle 282" o:spid="_x0000_s1026" style="position:absolute;margin-left:0;margin-top:-5.8pt;width:523.5pt;height:3.75pt;z-index:251602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XUdQmJYCAACIBQAADgAAAAAAAAAAAAAAAAAuAgAAZHJzL2Uyb0RvYy54bWxQ&#10;SwECLQAUAAYACAAAACEABMsM6toAAAAIAQAADwAAAAAAAAAAAAAAAADwBAAAZHJzL2Rvd25yZXYu&#10;eG1sUEsFBgAAAAAEAAQA8wAAAPcFAAAAAA==&#10;" fillcolor="#483a70" stroked="f" strokeweight="2pt"/>
                  </w:pict>
                </mc:Fallback>
              </mc:AlternateContent>
            </w:r>
            <w:r w:rsidR="001245C3" w:rsidRPr="006F61B7">
              <w:tab/>
            </w:r>
            <w:r w:rsidR="001245C3" w:rsidRPr="006F61B7">
              <w:fldChar w:fldCharType="begin"/>
            </w:r>
            <w:r w:rsidR="001245C3" w:rsidRPr="006F61B7">
              <w:instrText xml:space="preserve"> PAGE   \* MERGEFORMAT </w:instrText>
            </w:r>
            <w:r w:rsidR="001245C3" w:rsidRPr="006F61B7">
              <w:fldChar w:fldCharType="separate"/>
            </w:r>
            <w:r w:rsidR="00914F1C">
              <w:rPr>
                <w:noProof/>
              </w:rPr>
              <w:t>1</w:t>
            </w:r>
            <w:r w:rsidR="001245C3" w:rsidRPr="006F61B7">
              <w:rPr>
                <w:noProof/>
              </w:rPr>
              <w:fldChar w:fldCharType="end"/>
            </w:r>
          </w:sdtContent>
        </w:sdt>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85AAF" w14:textId="77777777" w:rsidR="00F07D04" w:rsidRDefault="00F07D04" w:rsidP="00F07D04">
    <w:pPr>
      <w:pStyle w:val="Landscapefooter"/>
      <w:tabs>
        <w:tab w:val="clear" w:pos="7655"/>
        <w:tab w:val="center" w:pos="7230"/>
      </w:tabs>
      <w:rPr>
        <w:noProof/>
      </w:rPr>
    </w:pPr>
    <w:r w:rsidRPr="006F61B7">
      <w:rPr>
        <w:noProof/>
        <w:lang w:eastAsia="en-AU"/>
      </w:rPr>
      <mc:AlternateContent>
        <mc:Choice Requires="wps">
          <w:drawing>
            <wp:anchor distT="0" distB="0" distL="114300" distR="114300" simplePos="0" relativeHeight="251826688" behindDoc="0" locked="0" layoutInCell="1" allowOverlap="1" wp14:anchorId="4B7BCC28" wp14:editId="42290253">
              <wp:simplePos x="457200" y="7162800"/>
              <wp:positionH relativeFrom="margin">
                <wp:align>left</wp:align>
              </wp:positionH>
              <wp:positionV relativeFrom="paragraph">
                <wp:posOffset>-73660</wp:posOffset>
              </wp:positionV>
              <wp:extent cx="9844088" cy="45719"/>
              <wp:effectExtent l="0" t="0" r="5080" b="0"/>
              <wp:wrapNone/>
              <wp:docPr id="2" name="Rectangle 2"/>
              <wp:cNvGraphicFramePr/>
              <a:graphic xmlns:a="http://schemas.openxmlformats.org/drawingml/2006/main">
                <a:graphicData uri="http://schemas.microsoft.com/office/word/2010/wordprocessingShape">
                  <wps:wsp>
                    <wps:cNvSpPr/>
                    <wps:spPr>
                      <a:xfrm>
                        <a:off x="0" y="0"/>
                        <a:ext cx="9844088" cy="45719"/>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BC830" id="Rectangle 2" o:spid="_x0000_s1026" style="position:absolute;margin-left:0;margin-top:-5.8pt;width:775.15pt;height:3.6pt;z-index:2518266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" fillcolor="#483a70" stroked="f" strokeweight="2pt">
              <w10:wrap anchorx="margin"/>
            </v:rect>
          </w:pict>
        </mc:Fallback>
      </mc:AlternateContent>
    </w:r>
    <w:r>
      <w:rPr>
        <w:noProof/>
        <w:lang w:eastAsia="en-AU"/>
      </w:rPr>
      <mc:AlternateContent>
        <mc:Choice Requires="wps">
          <w:drawing>
            <wp:anchor distT="0" distB="0" distL="114300" distR="114300" simplePos="0" relativeHeight="251825664" behindDoc="0" locked="0" layoutInCell="1" allowOverlap="1" wp14:anchorId="1B990943" wp14:editId="590518EB">
              <wp:simplePos x="0" y="0"/>
              <wp:positionH relativeFrom="column">
                <wp:posOffset>2019300</wp:posOffset>
              </wp:positionH>
              <wp:positionV relativeFrom="paragraph">
                <wp:posOffset>1019175</wp:posOffset>
              </wp:positionV>
              <wp:extent cx="5200650" cy="666750"/>
              <wp:effectExtent l="0" t="0" r="0" b="0"/>
              <wp:wrapNone/>
              <wp:docPr id="6" name="Text Box 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B37CFF" w14:textId="77777777" w:rsidR="00F07D04" w:rsidRPr="00361D34" w:rsidRDefault="00F07D04"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990943" id="_x0000_t202" coordsize="21600,21600" o:spt="202" path="m,l,21600r21600,l21600,xe">
              <v:stroke joinstyle="miter"/>
              <v:path gradientshapeok="t" o:connecttype="rect"/>
            </v:shapetype>
            <v:shape id="Text Box 6" o:spid="_x0000_s1028" type="#_x0000_t202" style="position:absolute;margin-left:159pt;margin-top:80.25pt;width:409.5pt;height:52.5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" filled="f" stroked="f" strokeweight=".5pt">
              <v:textbox>
                <w:txbxContent>
                  <w:p w14:paraId="3EB37CFF" w14:textId="77777777" w:rsidR="00F07D04" w:rsidRPr="00361D34" w:rsidRDefault="00F07D04"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sdt>
      <w:sdtPr>
        <w:id w:val="-1164159864"/>
        <w:docPartObj>
          <w:docPartGallery w:val="Page Numbers (Bottom of Page)"/>
          <w:docPartUnique/>
        </w:docPartObj>
      </w:sdtPr>
      <w:sdtEndPr>
        <w:rPr>
          <w:noProof/>
        </w:rPr>
      </w:sdtEndPr>
      <w:sdtContent>
        <w:sdt>
          <w:sdtPr>
            <w:id w:val="836807744"/>
            <w:docPartObj>
              <w:docPartGallery w:val="Page Numbers (Bottom of Page)"/>
              <w:docPartUnique/>
            </w:docPartObj>
          </w:sdtPr>
          <w:sdtEndPr>
            <w:rPr>
              <w:noProof/>
            </w:rPr>
          </w:sdtEndPr>
          <w:sdtContent>
            <w:r>
              <w:t>v2018.2</w:t>
            </w:r>
            <w:r w:rsidRPr="006F61B7">
              <w:tab/>
            </w:r>
            <w:r w:rsidRPr="006F61B7">
              <w:fldChar w:fldCharType="begin"/>
            </w:r>
            <w:r w:rsidRPr="006F61B7">
              <w:instrText xml:space="preserve"> REF _Ref513635588 \h </w:instrText>
            </w:r>
            <w:r>
              <w:instrText xml:space="preserve"> \* MERGEFORMAT </w:instrText>
            </w:r>
            <w:r w:rsidRPr="006F61B7">
              <w:fldChar w:fldCharType="separate"/>
            </w:r>
            <w:r w:rsidRPr="00FE3294">
              <w:t>5 Reporting on security</w:t>
            </w:r>
            <w:r w:rsidRPr="006F61B7">
              <w:fldChar w:fldCharType="end"/>
            </w:r>
            <w:r w:rsidRPr="006F61B7">
              <w:tab/>
            </w:r>
            <w:r w:rsidRPr="006F61B7">
              <w:fldChar w:fldCharType="begin"/>
            </w:r>
            <w:r w:rsidRPr="006F61B7">
              <w:instrText xml:space="preserve"> PAGE   \* MERGEFORMAT </w:instrText>
            </w:r>
            <w:r w:rsidRPr="006F61B7">
              <w:fldChar w:fldCharType="separate"/>
            </w:r>
            <w:r w:rsidR="00914F1C">
              <w:rPr>
                <w:noProof/>
              </w:rPr>
              <w:t>13</w:t>
            </w:r>
            <w:r w:rsidRPr="006F61B7">
              <w:rPr>
                <w:noProof/>
              </w:rPr>
              <w:fldChar w:fldCharType="end"/>
            </w:r>
          </w:sdtContent>
        </w:sdt>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91D35" w14:textId="66D6AF3B" w:rsidR="001245C3" w:rsidRDefault="001245C3" w:rsidP="002C0F1D">
    <w:pPr>
      <w:pStyle w:val="Footer"/>
      <w:rPr>
        <w:noProof/>
      </w:rPr>
    </w:pPr>
    <w:r w:rsidRPr="006F61B7">
      <w:rPr>
        <w:noProof/>
        <w:lang w:eastAsia="en-AU"/>
      </w:rPr>
      <mc:AlternateContent>
        <mc:Choice Requires="wps">
          <w:drawing>
            <wp:anchor distT="0" distB="0" distL="114300" distR="114300" simplePos="0" relativeHeight="251823616" behindDoc="0" locked="0" layoutInCell="1" allowOverlap="1" wp14:anchorId="5352724A" wp14:editId="47CA8511">
              <wp:simplePos x="0" y="0"/>
              <wp:positionH relativeFrom="column">
                <wp:posOffset>3976</wp:posOffset>
              </wp:positionH>
              <wp:positionV relativeFrom="paragraph">
                <wp:posOffset>-75151</wp:posOffset>
              </wp:positionV>
              <wp:extent cx="6679095" cy="45719"/>
              <wp:effectExtent l="0" t="0" r="7620" b="0"/>
              <wp:wrapNone/>
              <wp:docPr id="63" name="Rectangle 63"/>
              <wp:cNvGraphicFramePr/>
              <a:graphic xmlns:a="http://schemas.openxmlformats.org/drawingml/2006/main">
                <a:graphicData uri="http://schemas.microsoft.com/office/word/2010/wordprocessingShape">
                  <wps:wsp>
                    <wps:cNvSpPr/>
                    <wps:spPr>
                      <a:xfrm>
                        <a:off x="0" y="0"/>
                        <a:ext cx="6679095" cy="45719"/>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80CA6" id="Rectangle 63" o:spid="_x0000_s1026" style="position:absolute;margin-left:.3pt;margin-top:-5.9pt;width:525.9pt;height:3.6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" fillcolor="#483a70" stroked="f" strokeweight="2pt"/>
          </w:pict>
        </mc:Fallback>
      </mc:AlternateContent>
    </w:r>
    <w:r>
      <w:rPr>
        <w:noProof/>
        <w:lang w:eastAsia="en-AU"/>
      </w:rPr>
      <mc:AlternateContent>
        <mc:Choice Requires="wps">
          <w:drawing>
            <wp:anchor distT="0" distB="0" distL="114300" distR="114300" simplePos="0" relativeHeight="251820544" behindDoc="0" locked="0" layoutInCell="1" allowOverlap="1" wp14:anchorId="584EFDA7" wp14:editId="6965E1C8">
              <wp:simplePos x="0" y="0"/>
              <wp:positionH relativeFrom="column">
                <wp:posOffset>2019300</wp:posOffset>
              </wp:positionH>
              <wp:positionV relativeFrom="paragraph">
                <wp:posOffset>1019175</wp:posOffset>
              </wp:positionV>
              <wp:extent cx="5200650" cy="666750"/>
              <wp:effectExtent l="0" t="0" r="0" b="0"/>
              <wp:wrapNone/>
              <wp:docPr id="256" name="Text Box 25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B47CEB" w14:textId="77777777" w:rsidR="001245C3" w:rsidRPr="00361D34" w:rsidRDefault="001245C3"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4EFDA7" id="_x0000_t202" coordsize="21600,21600" o:spt="202" path="m,l,21600r21600,l21600,xe">
              <v:stroke joinstyle="miter"/>
              <v:path gradientshapeok="t" o:connecttype="rect"/>
            </v:shapetype>
            <v:shape id="Text Box 256" o:spid="_x0000_s1029" type="#_x0000_t202" style="position:absolute;margin-left:159pt;margin-top:80.25pt;width:409.5pt;height:52.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" filled="f" stroked="f" strokeweight=".5pt">
              <v:textbox>
                <w:txbxContent>
                  <w:p w14:paraId="44B47CEB" w14:textId="77777777" w:rsidR="001245C3" w:rsidRPr="00361D34" w:rsidRDefault="001245C3" w:rsidP="00035AFF">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sdt>
      <w:sdtPr>
        <w:id w:val="-1999112424"/>
        <w:docPartObj>
          <w:docPartGallery w:val="Page Numbers (Bottom of Page)"/>
          <w:docPartUnique/>
        </w:docPartObj>
      </w:sdtPr>
      <w:sdtEndPr>
        <w:rPr>
          <w:noProof/>
        </w:rPr>
      </w:sdtEndPr>
      <w:sdtContent>
        <w:sdt>
          <w:sdtPr>
            <w:id w:val="-736244902"/>
            <w:docPartObj>
              <w:docPartGallery w:val="Page Numbers (Bottom of Page)"/>
              <w:docPartUnique/>
            </w:docPartObj>
          </w:sdtPr>
          <w:sdtEndPr>
            <w:rPr>
              <w:noProof/>
            </w:rPr>
          </w:sdtEndPr>
          <w:sdtContent>
            <w:r>
              <w:t>v2018.2</w:t>
            </w:r>
            <w:r w:rsidRPr="006F61B7">
              <w:tab/>
            </w:r>
            <w:r w:rsidRPr="006F61B7">
              <w:fldChar w:fldCharType="begin"/>
            </w:r>
            <w:r w:rsidRPr="006F61B7">
              <w:instrText xml:space="preserve"> REF _Ref513635588 \h </w:instrText>
            </w:r>
            <w:r>
              <w:instrText xml:space="preserve"> \* MERGEFORMAT </w:instrText>
            </w:r>
            <w:r w:rsidRPr="006F61B7">
              <w:fldChar w:fldCharType="separate"/>
            </w:r>
            <w:r w:rsidRPr="00FE3294">
              <w:t>5 Reporting on security</w:t>
            </w:r>
            <w:r w:rsidRPr="006F61B7">
              <w:fldChar w:fldCharType="end"/>
            </w:r>
            <w:r w:rsidRPr="006F61B7">
              <w:tab/>
            </w:r>
            <w:r w:rsidRPr="006F61B7">
              <w:fldChar w:fldCharType="begin"/>
            </w:r>
            <w:r w:rsidRPr="006F61B7">
              <w:instrText xml:space="preserve"> PAGE   \* MERGEFORMAT </w:instrText>
            </w:r>
            <w:r w:rsidRPr="006F61B7">
              <w:fldChar w:fldCharType="separate"/>
            </w:r>
            <w:r w:rsidR="00914F1C">
              <w:rPr>
                <w:noProof/>
              </w:rPr>
              <w:t>15</w:t>
            </w:r>
            <w:r w:rsidRPr="006F61B7">
              <w:rPr>
                <w:noProof/>
              </w:rPr>
              <w:fldChar w:fldCharType="end"/>
            </w:r>
          </w:sdtContent>
        </w:sdt>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198198"/>
      <w:docPartObj>
        <w:docPartGallery w:val="Page Numbers (Bottom of Page)"/>
        <w:docPartUnique/>
      </w:docPartObj>
    </w:sdtPr>
    <w:sdtEndPr/>
    <w:sdtContent>
      <w:p w14:paraId="12AF68B0" w14:textId="4796E1BE" w:rsidR="001245C3" w:rsidRPr="000C7534" w:rsidRDefault="001245C3" w:rsidP="000C7534">
        <w:pPr>
          <w:pStyle w:val="Landscapefooter"/>
        </w:pPr>
        <w:r w:rsidRPr="006F61B7">
          <w:rPr>
            <w:noProof/>
            <w:lang w:eastAsia="en-AU"/>
          </w:rPr>
          <mc:AlternateContent>
            <mc:Choice Requires="wps">
              <w:drawing>
                <wp:anchor distT="0" distB="0" distL="114300" distR="114300" simplePos="0" relativeHeight="251491840" behindDoc="0" locked="0" layoutInCell="1" allowOverlap="1" wp14:anchorId="29E8D59F" wp14:editId="7809FD5B">
                  <wp:simplePos x="0" y="0"/>
                  <wp:positionH relativeFrom="column">
                    <wp:posOffset>-635</wp:posOffset>
                  </wp:positionH>
                  <wp:positionV relativeFrom="paragraph">
                    <wp:posOffset>-78105</wp:posOffset>
                  </wp:positionV>
                  <wp:extent cx="9763125" cy="45085"/>
                  <wp:effectExtent l="0" t="0" r="9525" b="0"/>
                  <wp:wrapNone/>
                  <wp:docPr id="33" name="Rectangle 33"/>
                  <wp:cNvGraphicFramePr/>
                  <a:graphic xmlns:a="http://schemas.openxmlformats.org/drawingml/2006/main">
                    <a:graphicData uri="http://schemas.microsoft.com/office/word/2010/wordprocessingShape">
                      <wps:wsp>
                        <wps:cNvSpPr/>
                        <wps:spPr>
                          <a:xfrm>
                            <a:off x="0" y="0"/>
                            <a:ext cx="9763125" cy="4508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0DFCB" id="Rectangle 33" o:spid="_x0000_s1026" style="position:absolute;margin-left:-.05pt;margin-top:-6.15pt;width:768.75pt;height:3.55pt;z-index:25149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" fillcolor="#483a70" stroked="f" strokeweight="2pt"/>
              </w:pict>
            </mc:Fallback>
          </mc:AlternateContent>
        </w:r>
        <w:sdt>
          <w:sdtPr>
            <w:id w:val="-1896112714"/>
            <w:docPartObj>
              <w:docPartGallery w:val="Page Numbers (Bottom of Page)"/>
              <w:docPartUnique/>
            </w:docPartObj>
          </w:sdtPr>
          <w:sdtEndPr>
            <w:rPr>
              <w:noProof/>
            </w:rPr>
          </w:sdtEndPr>
          <w:sdtContent>
            <w:r w:rsidRPr="000C7534">
              <w:t>v2018.</w:t>
            </w:r>
            <w:r>
              <w:t>2</w:t>
            </w:r>
            <w:r>
              <w:tab/>
              <w:t>5 Reporting on security</w:t>
            </w:r>
            <w:r>
              <w:tab/>
            </w:r>
            <w:r w:rsidRPr="000C7534">
              <w:fldChar w:fldCharType="begin"/>
            </w:r>
            <w:r w:rsidRPr="000C7534">
              <w:instrText xml:space="preserve"> REF _Ref513635379 \r \h  \* MERGEFORMAT </w:instrText>
            </w:r>
            <w:r w:rsidRPr="000C7534">
              <w:fldChar w:fldCharType="separate"/>
            </w:r>
            <w:r w:rsidRPr="000C7534">
              <w:t>Annex A</w:t>
            </w:r>
            <w:r w:rsidRPr="000C7534">
              <w:fldChar w:fldCharType="end"/>
            </w:r>
            <w:r w:rsidRPr="000C7534">
              <w:t>-</w:t>
            </w:r>
            <w:r w:rsidRPr="000C7534">
              <w:fldChar w:fldCharType="begin"/>
            </w:r>
            <w:r w:rsidRPr="006F61B7">
              <w:instrText xml:space="preserve"> PAGE   \* MERGEFORMAT </w:instrText>
            </w:r>
            <w:r w:rsidRPr="000C7534">
              <w:fldChar w:fldCharType="separate"/>
            </w:r>
            <w:r w:rsidR="00914F1C">
              <w:rPr>
                <w:noProof/>
              </w:rPr>
              <w:t>6</w:t>
            </w:r>
            <w:r w:rsidRPr="000C7534">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AB219" w14:textId="77777777" w:rsidR="005E5891" w:rsidRDefault="005E5891" w:rsidP="007D070A">
      <w:pPr>
        <w:spacing w:after="0"/>
      </w:pPr>
      <w:r>
        <w:separator/>
      </w:r>
    </w:p>
  </w:footnote>
  <w:footnote w:type="continuationSeparator" w:id="0">
    <w:p w14:paraId="11B1EA60" w14:textId="77777777" w:rsidR="005E5891" w:rsidRDefault="005E5891" w:rsidP="007D070A">
      <w:pPr>
        <w:spacing w:after="0"/>
      </w:pPr>
      <w:r>
        <w:continuationSeparator/>
      </w:r>
    </w:p>
  </w:footnote>
  <w:footnote w:type="continuationNotice" w:id="1">
    <w:p w14:paraId="4C3816EC" w14:textId="77777777" w:rsidR="005E5891" w:rsidRDefault="005E58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9D06" w14:textId="77777777" w:rsidR="00914F1C" w:rsidRDefault="00914F1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E2B1" w14:textId="32312B5C" w:rsidR="001245C3" w:rsidRDefault="001245C3" w:rsidP="002C0F1D">
    <w:pPr>
      <w:pStyle w:val="Header"/>
    </w:pPr>
    <w:r w:rsidRPr="005A60C1">
      <w:t>Protective Security Policy Framework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26622" w14:textId="7E36D091" w:rsidR="001245C3" w:rsidRDefault="001245C3" w:rsidP="00035AFF">
    <w:pPr>
      <w:pStyle w:val="FootnoteText"/>
    </w:pPr>
    <w:r>
      <w:rPr>
        <w:noProof/>
        <w:lang w:eastAsia="en-AU"/>
      </w:rPr>
      <mc:AlternateContent>
        <mc:Choice Requires="wps">
          <w:drawing>
            <wp:anchor distT="0" distB="0" distL="114300" distR="114300" simplePos="0" relativeHeight="251577856" behindDoc="0" locked="0" layoutInCell="1" allowOverlap="1" wp14:anchorId="2643596D" wp14:editId="7B605E06">
              <wp:simplePos x="0" y="0"/>
              <wp:positionH relativeFrom="column">
                <wp:posOffset>1962150</wp:posOffset>
              </wp:positionH>
              <wp:positionV relativeFrom="paragraph">
                <wp:posOffset>1127711</wp:posOffset>
              </wp:positionV>
              <wp:extent cx="4685421" cy="443133"/>
              <wp:effectExtent l="0" t="0" r="0" b="0"/>
              <wp:wrapNone/>
              <wp:docPr id="279" name="Text Box 279"/>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067126"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43596D" id="_x0000_t202" coordsize="21600,21600" o:spt="202" path="m,l,21600r21600,l21600,xe">
              <v:stroke joinstyle="miter"/>
              <v:path gradientshapeok="t" o:connecttype="rect"/>
            </v:shapetype>
            <v:shape id="Text Box 279" o:spid="_x0000_s1027" type="#_x0000_t202" style="position:absolute;margin-left:154.5pt;margin-top:88.8pt;width:368.95pt;height:34.9pt;z-index:25157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" filled="f" stroked="f" strokeweight=".5pt">
              <v:textbox>
                <w:txbxContent>
                  <w:p w14:paraId="4E067126"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565568" behindDoc="1" locked="0" layoutInCell="1" allowOverlap="1" wp14:anchorId="72F45D9E" wp14:editId="3B04075D">
          <wp:simplePos x="0" y="0"/>
          <wp:positionH relativeFrom="column">
            <wp:posOffset>0</wp:posOffset>
          </wp:positionH>
          <wp:positionV relativeFrom="page">
            <wp:posOffset>457200</wp:posOffset>
          </wp:positionV>
          <wp:extent cx="6645600" cy="1288800"/>
          <wp:effectExtent l="0" t="0" r="3175" b="6985"/>
          <wp:wrapTopAndBottom/>
          <wp:docPr id="26" name="Picture 26"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r>
      <w:rPr>
        <w:b/>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4F1EB" w14:textId="77777777" w:rsidR="00102199" w:rsidRDefault="00102199" w:rsidP="002C0F1D">
    <w:pPr>
      <w:pStyle w:val="Header"/>
    </w:pPr>
    <w:r w:rsidRPr="005A60C1">
      <w:t>Protective Security Policy Framework</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AAC2F" w14:textId="77777777" w:rsidR="001245C3" w:rsidRDefault="001245C3" w:rsidP="00FE19D2">
    <w:pPr>
      <w:pStyle w:val="FootnoteText"/>
    </w:pPr>
    <w:r>
      <w:rPr>
        <w:noProof/>
        <w:lang w:eastAsia="en-AU"/>
      </w:rPr>
      <mc:AlternateContent>
        <mc:Choice Requires="wps">
          <w:drawing>
            <wp:anchor distT="0" distB="0" distL="114300" distR="114300" simplePos="0" relativeHeight="251672064" behindDoc="0" locked="0" layoutInCell="1" allowOverlap="1" wp14:anchorId="472C6FD3" wp14:editId="73D6E924">
              <wp:simplePos x="0" y="0"/>
              <wp:positionH relativeFrom="column">
                <wp:posOffset>1962150</wp:posOffset>
              </wp:positionH>
              <wp:positionV relativeFrom="paragraph">
                <wp:posOffset>1127711</wp:posOffset>
              </wp:positionV>
              <wp:extent cx="4685421" cy="443133"/>
              <wp:effectExtent l="0" t="0" r="0" b="0"/>
              <wp:wrapNone/>
              <wp:docPr id="52" name="Text Box 52"/>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113DD6"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72C6FD3" id="_x0000_t202" coordsize="21600,21600" o:spt="202" path="m,l,21600r21600,l21600,xe">
              <v:stroke joinstyle="miter"/>
              <v:path gradientshapeok="t" o:connecttype="rect"/>
            </v:shapetype>
            <v:shape id="Text Box 52" o:spid="_x0000_s1028" type="#_x0000_t202" style="position:absolute;margin-left:154.5pt;margin-top:88.8pt;width:368.95pt;height:34.9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" filled="f" stroked="f" strokeweight=".5pt">
              <v:textbox>
                <w:txbxContent>
                  <w:p w14:paraId="60113DD6"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58752" behindDoc="1" locked="0" layoutInCell="1" allowOverlap="1" wp14:anchorId="148BB6D8" wp14:editId="16BB0BEF">
          <wp:simplePos x="0" y="0"/>
          <wp:positionH relativeFrom="column">
            <wp:posOffset>0</wp:posOffset>
          </wp:positionH>
          <wp:positionV relativeFrom="page">
            <wp:posOffset>457200</wp:posOffset>
          </wp:positionV>
          <wp:extent cx="6645600" cy="1288800"/>
          <wp:effectExtent l="0" t="0" r="3175" b="6985"/>
          <wp:wrapTopAndBottom/>
          <wp:docPr id="9" name="Picture 9"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F678" w14:textId="77777777" w:rsidR="001245C3" w:rsidRDefault="001245C3" w:rsidP="00FE19D2">
    <w:pPr>
      <w:pStyle w:val="FootnoteText"/>
    </w:pPr>
    <w:r>
      <w:rPr>
        <w:noProof/>
        <w:lang w:eastAsia="en-AU"/>
      </w:rPr>
      <mc:AlternateContent>
        <mc:Choice Requires="wps">
          <w:drawing>
            <wp:anchor distT="0" distB="0" distL="114300" distR="114300" simplePos="0" relativeHeight="251645440" behindDoc="0" locked="0" layoutInCell="1" allowOverlap="1" wp14:anchorId="652F0D11" wp14:editId="20C57B0F">
              <wp:simplePos x="0" y="0"/>
              <wp:positionH relativeFrom="column">
                <wp:posOffset>1962150</wp:posOffset>
              </wp:positionH>
              <wp:positionV relativeFrom="paragraph">
                <wp:posOffset>1127711</wp:posOffset>
              </wp:positionV>
              <wp:extent cx="4685421" cy="443133"/>
              <wp:effectExtent l="0" t="0" r="0" b="0"/>
              <wp:wrapNone/>
              <wp:docPr id="40" name="Text Box 40"/>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8C2F6"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2F0D11" id="_x0000_t202" coordsize="21600,21600" o:spt="202" path="m,l,21600r21600,l21600,xe">
              <v:stroke joinstyle="miter"/>
              <v:path gradientshapeok="t" o:connecttype="rect"/>
            </v:shapetype>
            <v:shape id="Text Box 40" o:spid="_x0000_s1030" type="#_x0000_t202" style="position:absolute;margin-left:154.5pt;margin-top:88.8pt;width:368.95pt;height:34.9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" filled="f" stroked="f" strokeweight=".5pt">
              <v:textbox>
                <w:txbxContent>
                  <w:p w14:paraId="14C8C2F6"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41344" behindDoc="1" locked="0" layoutInCell="1" allowOverlap="1" wp14:anchorId="1EDA1A02" wp14:editId="530EC0DF">
          <wp:simplePos x="0" y="0"/>
          <wp:positionH relativeFrom="column">
            <wp:posOffset>0</wp:posOffset>
          </wp:positionH>
          <wp:positionV relativeFrom="page">
            <wp:posOffset>457200</wp:posOffset>
          </wp:positionV>
          <wp:extent cx="6645600" cy="1288800"/>
          <wp:effectExtent l="0" t="0" r="3175" b="6985"/>
          <wp:wrapTopAndBottom/>
          <wp:docPr id="15" name="Picture 15"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7FDA9" w14:textId="77777777" w:rsidR="001245C3" w:rsidRDefault="001245C3" w:rsidP="00FE19D2">
    <w:pPr>
      <w:pStyle w:val="FootnoteText"/>
    </w:pPr>
    <w:r>
      <w:rPr>
        <w:noProof/>
        <w:lang w:eastAsia="en-AU"/>
      </w:rPr>
      <mc:AlternateContent>
        <mc:Choice Requires="wps">
          <w:drawing>
            <wp:anchor distT="0" distB="0" distL="114300" distR="114300" simplePos="0" relativeHeight="251614720" behindDoc="0" locked="0" layoutInCell="1" allowOverlap="1" wp14:anchorId="1E1AEF93" wp14:editId="32497DCD">
              <wp:simplePos x="0" y="0"/>
              <wp:positionH relativeFrom="column">
                <wp:posOffset>1962150</wp:posOffset>
              </wp:positionH>
              <wp:positionV relativeFrom="paragraph">
                <wp:posOffset>1127711</wp:posOffset>
              </wp:positionV>
              <wp:extent cx="4685421" cy="443133"/>
              <wp:effectExtent l="0" t="0" r="0" b="0"/>
              <wp:wrapNone/>
              <wp:docPr id="219" name="Text Box 219"/>
              <wp:cNvGraphicFramePr/>
              <a:graphic xmlns:a="http://schemas.openxmlformats.org/drawingml/2006/main">
                <a:graphicData uri="http://schemas.microsoft.com/office/word/2010/wordprocessingShape">
                  <wps:wsp>
                    <wps:cNvSpPr txBox="1"/>
                    <wps:spPr>
                      <a:xfrm>
                        <a:off x="0" y="0"/>
                        <a:ext cx="4685421" cy="4431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9860A"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1AEF93" id="_x0000_t202" coordsize="21600,21600" o:spt="202" path="m,l,21600r21600,l21600,xe">
              <v:stroke joinstyle="miter"/>
              <v:path gradientshapeok="t" o:connecttype="rect"/>
            </v:shapetype>
            <v:shape id="Text Box 219" o:spid="_x0000_s1031" type="#_x0000_t202" style="position:absolute;margin-left:154.5pt;margin-top:88.8pt;width:368.95pt;height:34.9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" filled="f" stroked="f" strokeweight=".5pt">
              <v:textbox>
                <w:txbxContent>
                  <w:p w14:paraId="28A9860A" w14:textId="77777777" w:rsidR="001245C3" w:rsidRPr="00361D34" w:rsidRDefault="001245C3" w:rsidP="00563082">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603456" behindDoc="1" locked="0" layoutInCell="1" allowOverlap="1" wp14:anchorId="7559DE66" wp14:editId="486BF11F">
          <wp:simplePos x="0" y="0"/>
          <wp:positionH relativeFrom="column">
            <wp:posOffset>0</wp:posOffset>
          </wp:positionH>
          <wp:positionV relativeFrom="page">
            <wp:posOffset>457200</wp:posOffset>
          </wp:positionV>
          <wp:extent cx="6645600" cy="1288800"/>
          <wp:effectExtent l="0" t="0" r="3175" b="6985"/>
          <wp:wrapTopAndBottom/>
          <wp:docPr id="220" name="Picture 220"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600" cy="128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D32F6F2"/>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D4049B"/>
    <w:multiLevelType w:val="hybridMultilevel"/>
    <w:tmpl w:val="FCF252C8"/>
    <w:lvl w:ilvl="0" w:tplc="F9142DD0">
      <w:start w:val="1"/>
      <w:numFmt w:val="lowerRoman"/>
      <w:pStyle w:val="Tablebodybullet2"/>
      <w:lvlText w:val="%1."/>
      <w:lvlJc w:val="right"/>
      <w:pPr>
        <w:ind w:left="1800" w:hanging="360"/>
      </w:pPr>
    </w:lvl>
    <w:lvl w:ilvl="1" w:tplc="08090001">
      <w:start w:val="1"/>
      <w:numFmt w:val="bullet"/>
      <w:pStyle w:val="Tablebodybullet3"/>
      <w:lvlText w:val=""/>
      <w:lvlJc w:val="left"/>
      <w:pPr>
        <w:ind w:left="2520" w:hanging="360"/>
      </w:pPr>
      <w:rPr>
        <w:rFonts w:ascii="Symbol" w:hAnsi="Symbol" w:hint="default"/>
      </w:r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2" w15:restartNumberingAfterBreak="0">
    <w:nsid w:val="022F65BF"/>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4C6557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5134FAB"/>
    <w:multiLevelType w:val="multilevel"/>
    <w:tmpl w:val="B22E10AC"/>
    <w:styleLink w:val="Numberedparagraphs"/>
    <w:lvl w:ilvl="0">
      <w:start w:val="1"/>
      <w:numFmt w:val="decimal"/>
      <w:pStyle w:val="Listbullet1"/>
      <w:lvlText w:val="%1."/>
      <w:lvlJc w:val="left"/>
      <w:pPr>
        <w:ind w:left="9129" w:hanging="340"/>
      </w:pPr>
      <w:rPr>
        <w:rFonts w:hint="default"/>
      </w:rPr>
    </w:lvl>
    <w:lvl w:ilvl="1">
      <w:start w:val="1"/>
      <w:numFmt w:val="lowerLetter"/>
      <w:lvlText w:val="%2."/>
      <w:lvlJc w:val="left"/>
      <w:pPr>
        <w:ind w:left="907" w:hanging="340"/>
      </w:pPr>
      <w:rPr>
        <w:rFonts w:hint="default"/>
      </w:rPr>
    </w:lvl>
    <w:lvl w:ilvl="2">
      <w:start w:val="1"/>
      <w:numFmt w:val="lowerRoman"/>
      <w:lvlText w:val="%3."/>
      <w:lvlJc w:val="right"/>
      <w:pPr>
        <w:ind w:left="1474" w:hanging="340"/>
      </w:pPr>
      <w:rPr>
        <w:rFonts w:hint="default"/>
      </w:rPr>
    </w:lvl>
    <w:lvl w:ilvl="3">
      <w:start w:val="1"/>
      <w:numFmt w:val="upperLetter"/>
      <w:lvlText w:val="%4."/>
      <w:lvlJc w:val="left"/>
      <w:pPr>
        <w:ind w:left="2041" w:hanging="340"/>
      </w:pPr>
      <w:rPr>
        <w:rFonts w:hint="default"/>
      </w:rPr>
    </w:lvl>
    <w:lvl w:ilvl="4">
      <w:start w:val="1"/>
      <w:numFmt w:val="upperRoman"/>
      <w:lvlText w:val="%5."/>
      <w:lvlJc w:val="left"/>
      <w:pPr>
        <w:ind w:left="2608" w:hanging="340"/>
      </w:pPr>
      <w:rPr>
        <w:rFonts w:hint="default"/>
      </w:rPr>
    </w:lvl>
    <w:lvl w:ilvl="5">
      <w:start w:val="1"/>
      <w:numFmt w:val="lowerRoman"/>
      <w:lvlText w:val="%6."/>
      <w:lvlJc w:val="right"/>
      <w:pPr>
        <w:ind w:left="3175" w:hanging="340"/>
      </w:pPr>
      <w:rPr>
        <w:rFonts w:hint="default"/>
      </w:rPr>
    </w:lvl>
    <w:lvl w:ilvl="6">
      <w:start w:val="1"/>
      <w:numFmt w:val="decimal"/>
      <w:lvlText w:val="%7."/>
      <w:lvlJc w:val="left"/>
      <w:pPr>
        <w:ind w:left="3742" w:hanging="340"/>
      </w:pPr>
      <w:rPr>
        <w:rFonts w:hint="default"/>
      </w:rPr>
    </w:lvl>
    <w:lvl w:ilvl="7">
      <w:start w:val="1"/>
      <w:numFmt w:val="lowerLetter"/>
      <w:lvlText w:val="%8."/>
      <w:lvlJc w:val="left"/>
      <w:pPr>
        <w:ind w:left="4309" w:hanging="340"/>
      </w:pPr>
      <w:rPr>
        <w:rFonts w:hint="default"/>
      </w:rPr>
    </w:lvl>
    <w:lvl w:ilvl="8">
      <w:start w:val="1"/>
      <w:numFmt w:val="lowerRoman"/>
      <w:lvlText w:val="%9."/>
      <w:lvlJc w:val="right"/>
      <w:pPr>
        <w:ind w:left="4876" w:hanging="340"/>
      </w:pPr>
      <w:rPr>
        <w:rFonts w:hint="default"/>
      </w:rPr>
    </w:lvl>
  </w:abstractNum>
  <w:abstractNum w:abstractNumId="5" w15:restartNumberingAfterBreak="0">
    <w:nsid w:val="08265C89"/>
    <w:multiLevelType w:val="multilevel"/>
    <w:tmpl w:val="64FCA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11121F"/>
    <w:multiLevelType w:val="hybridMultilevel"/>
    <w:tmpl w:val="B94C1756"/>
    <w:lvl w:ilvl="0" w:tplc="C00E7378">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 w15:restartNumberingAfterBreak="0">
    <w:nsid w:val="096F1958"/>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 w15:restartNumberingAfterBreak="0">
    <w:nsid w:val="0AD94C3F"/>
    <w:multiLevelType w:val="hybridMultilevel"/>
    <w:tmpl w:val="9A9A91AC"/>
    <w:lvl w:ilvl="0" w:tplc="E98AFDBE">
      <w:start w:val="1"/>
      <w:numFmt w:val="bullet"/>
      <w:pStyle w:val="Table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AF516E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AF61EB5"/>
    <w:multiLevelType w:val="hybridMultilevel"/>
    <w:tmpl w:val="530C78AE"/>
    <w:lvl w:ilvl="0" w:tplc="432E93DA">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0B073882"/>
    <w:multiLevelType w:val="hybridMultilevel"/>
    <w:tmpl w:val="5644D360"/>
    <w:lvl w:ilvl="0" w:tplc="0809001B">
      <w:start w:val="1"/>
      <w:numFmt w:val="lowerRoman"/>
      <w:lvlText w:val="%1."/>
      <w:lvlJc w:val="right"/>
      <w:pPr>
        <w:ind w:left="2160" w:hanging="360"/>
      </w:pPr>
    </w:lvl>
    <w:lvl w:ilvl="1" w:tplc="08090019">
      <w:start w:val="1"/>
      <w:numFmt w:val="lowerLetter"/>
      <w:lvlText w:val="%2."/>
      <w:lvlJc w:val="left"/>
      <w:pPr>
        <w:ind w:left="2880" w:hanging="360"/>
      </w:p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CE5A5D"/>
    <w:multiLevelType w:val="hybridMultilevel"/>
    <w:tmpl w:val="D0280872"/>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1F34BF3"/>
    <w:multiLevelType w:val="multilevel"/>
    <w:tmpl w:val="C10EEBF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2963885"/>
    <w:multiLevelType w:val="hybridMultilevel"/>
    <w:tmpl w:val="EF9CD694"/>
    <w:lvl w:ilvl="0" w:tplc="83CA406C">
      <w:start w:val="1"/>
      <w:numFmt w:val="lowerRoman"/>
      <w:lvlText w:val="%1."/>
      <w:lvlJc w:val="right"/>
      <w:pPr>
        <w:ind w:left="1500" w:hanging="360"/>
      </w:p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6" w15:restartNumberingAfterBreak="0">
    <w:nsid w:val="12DB221F"/>
    <w:multiLevelType w:val="hybridMultilevel"/>
    <w:tmpl w:val="7D2A2374"/>
    <w:lvl w:ilvl="0" w:tplc="D7705FF2">
      <w:start w:val="1"/>
      <w:numFmt w:val="bullet"/>
      <w:lvlText w:val=""/>
      <w:lvlJc w:val="left"/>
      <w:pPr>
        <w:ind w:left="993" w:hanging="360"/>
      </w:pPr>
      <w:rPr>
        <w:rFonts w:ascii="Symbol" w:hAnsi="Symbol" w:hint="default"/>
        <w:color w:val="95B3D7" w:themeColor="accent1" w:themeTint="99"/>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17" w15:restartNumberingAfterBreak="0">
    <w:nsid w:val="1499770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8" w15:restartNumberingAfterBreak="0">
    <w:nsid w:val="14D01BA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5A352B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16E03D2E"/>
    <w:multiLevelType w:val="multilevel"/>
    <w:tmpl w:val="8E560E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8C31B5B"/>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BB63F5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3" w15:restartNumberingAfterBreak="0">
    <w:nsid w:val="1BF259D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4" w15:restartNumberingAfterBreak="0">
    <w:nsid w:val="1D836529"/>
    <w:multiLevelType w:val="hybridMultilevel"/>
    <w:tmpl w:val="0B74B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665D7D"/>
    <w:multiLevelType w:val="multilevel"/>
    <w:tmpl w:val="9B6E58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1E710101"/>
    <w:multiLevelType w:val="hybridMultilevel"/>
    <w:tmpl w:val="E0687394"/>
    <w:lvl w:ilvl="0" w:tplc="9FA4D312">
      <w:start w:val="1"/>
      <w:numFmt w:val="lowerLetter"/>
      <w:lvlText w:val="%1."/>
      <w:lvlJc w:val="left"/>
      <w:pPr>
        <w:ind w:left="720" w:hanging="360"/>
      </w:pPr>
      <w:rPr>
        <w:b w:val="0"/>
      </w:rPr>
    </w:lvl>
    <w:lvl w:ilvl="1" w:tplc="0C090013">
      <w:start w:val="1"/>
      <w:numFmt w:val="upp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224D1A94"/>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252C31E9"/>
    <w:multiLevelType w:val="hybridMultilevel"/>
    <w:tmpl w:val="C234BD64"/>
    <w:lvl w:ilvl="0" w:tplc="3CF61D94">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 w15:restartNumberingAfterBreak="0">
    <w:nsid w:val="25684487"/>
    <w:multiLevelType w:val="hybridMultilevel"/>
    <w:tmpl w:val="693EC888"/>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25FE346A"/>
    <w:multiLevelType w:val="hybridMultilevel"/>
    <w:tmpl w:val="0308B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9E1E86"/>
    <w:multiLevelType w:val="multilevel"/>
    <w:tmpl w:val="B22E10AC"/>
    <w:numStyleLink w:val="Numberedparagraphs"/>
  </w:abstractNum>
  <w:abstractNum w:abstractNumId="32" w15:restartNumberingAfterBreak="0">
    <w:nsid w:val="28795378"/>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28C70AF2"/>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4" w15:restartNumberingAfterBreak="0">
    <w:nsid w:val="2C667D53"/>
    <w:multiLevelType w:val="hybridMultilevel"/>
    <w:tmpl w:val="3F5E7596"/>
    <w:lvl w:ilvl="0" w:tplc="08090019">
      <w:start w:val="1"/>
      <w:numFmt w:val="lowerLetter"/>
      <w:lvlText w:val="%1."/>
      <w:lvlJc w:val="left"/>
      <w:pPr>
        <w:ind w:left="1080" w:hanging="360"/>
      </w:pPr>
    </w:lvl>
    <w:lvl w:ilvl="1" w:tplc="60EC93C2">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5" w15:restartNumberingAfterBreak="0">
    <w:nsid w:val="2C7C45EA"/>
    <w:multiLevelType w:val="hybridMultilevel"/>
    <w:tmpl w:val="A698ABEC"/>
    <w:lvl w:ilvl="0" w:tplc="564E4384">
      <w:start w:val="1"/>
      <w:numFmt w:val="decimal"/>
      <w:lvlText w:val="%1."/>
      <w:lvlJc w:val="left"/>
      <w:pPr>
        <w:ind w:left="360" w:hanging="360"/>
      </w:pPr>
      <w:rPr>
        <w:b w:val="0"/>
        <w:i w:val="0"/>
        <w:color w:val="auto"/>
        <w:sz w:val="20"/>
        <w:szCs w:val="20"/>
      </w:rPr>
    </w:lvl>
    <w:lvl w:ilvl="1" w:tplc="0C090001">
      <w:start w:val="1"/>
      <w:numFmt w:val="bullet"/>
      <w:lvlText w:val=""/>
      <w:lvlJc w:val="left"/>
      <w:pPr>
        <w:ind w:left="1080" w:hanging="360"/>
      </w:pPr>
      <w:rPr>
        <w:rFonts w:ascii="Symbol" w:hAnsi="Symbol" w:hint="default"/>
        <w:i w:val="0"/>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6" w15:restartNumberingAfterBreak="0">
    <w:nsid w:val="2EFC2721"/>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7" w15:restartNumberingAfterBreak="0">
    <w:nsid w:val="32B17C87"/>
    <w:multiLevelType w:val="hybridMultilevel"/>
    <w:tmpl w:val="B9C40B3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8" w15:restartNumberingAfterBreak="0">
    <w:nsid w:val="34C704CC"/>
    <w:multiLevelType w:val="hybridMultilevel"/>
    <w:tmpl w:val="4C4215FC"/>
    <w:lvl w:ilvl="0" w:tplc="A274AB4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970F4"/>
    <w:multiLevelType w:val="hybridMultilevel"/>
    <w:tmpl w:val="4F42F49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7">
      <w:start w:val="1"/>
      <w:numFmt w:val="lowerLetter"/>
      <w:lvlText w:val="%3)"/>
      <w:lvlJc w:val="lef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0" w15:restartNumberingAfterBreak="0">
    <w:nsid w:val="35E30921"/>
    <w:multiLevelType w:val="hybridMultilevel"/>
    <w:tmpl w:val="B436177C"/>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41" w15:restartNumberingAfterBreak="0">
    <w:nsid w:val="36A04AD9"/>
    <w:multiLevelType w:val="hybridMultilevel"/>
    <w:tmpl w:val="5F803806"/>
    <w:lvl w:ilvl="0" w:tplc="D75678AC">
      <w:start w:val="1"/>
      <w:numFmt w:val="bullet"/>
      <w:lvlText w:val=""/>
      <w:lvlJc w:val="left"/>
      <w:pPr>
        <w:ind w:left="993" w:hanging="360"/>
      </w:pPr>
      <w:rPr>
        <w:rFonts w:ascii="Symbol" w:hAnsi="Symbol" w:hint="default"/>
      </w:rPr>
    </w:lvl>
    <w:lvl w:ilvl="1" w:tplc="03DA082E">
      <w:start w:val="1"/>
      <w:numFmt w:val="bullet"/>
      <w:lvlText w:val="-"/>
      <w:lvlJc w:val="left"/>
      <w:pPr>
        <w:ind w:left="1440" w:hanging="360"/>
      </w:pPr>
      <w:rPr>
        <w:rFonts w:ascii="Courier New" w:hAnsi="Courier New" w:cs="Times New Roman" w:hint="default"/>
      </w:rPr>
    </w:lvl>
    <w:lvl w:ilvl="2" w:tplc="0C090005">
      <w:start w:val="1"/>
      <w:numFmt w:val="bullet"/>
      <w:pStyle w:val="Dot3"/>
      <w:lvlText w:val=""/>
      <w:lvlJc w:val="left"/>
      <w:pPr>
        <w:ind w:left="2160" w:hanging="360"/>
      </w:pPr>
      <w:rPr>
        <w:rFonts w:ascii="Wingdings" w:hAnsi="Wingdings" w:hint="default"/>
      </w:r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42" w15:restartNumberingAfterBreak="0">
    <w:nsid w:val="36B4553D"/>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3" w15:restartNumberingAfterBreak="0">
    <w:nsid w:val="373A6C93"/>
    <w:multiLevelType w:val="hybridMultilevel"/>
    <w:tmpl w:val="2390C180"/>
    <w:lvl w:ilvl="0" w:tplc="F9142DD0">
      <w:start w:val="1"/>
      <w:numFmt w:val="lowerRoman"/>
      <w:lvlText w:val="%1."/>
      <w:lvlJc w:val="right"/>
      <w:pPr>
        <w:ind w:left="1440" w:hanging="360"/>
      </w:pPr>
    </w:lvl>
    <w:lvl w:ilvl="1" w:tplc="08090001">
      <w:start w:val="1"/>
      <w:numFmt w:val="bullet"/>
      <w:lvlText w:val=""/>
      <w:lvlJc w:val="left"/>
      <w:pPr>
        <w:ind w:left="2160" w:hanging="360"/>
      </w:pPr>
      <w:rPr>
        <w:rFonts w:ascii="Symbol" w:hAnsi="Symbol" w:hint="default"/>
      </w:rPr>
    </w:lvl>
    <w:lvl w:ilvl="2" w:tplc="08090001">
      <w:start w:val="1"/>
      <w:numFmt w:val="bullet"/>
      <w:lvlText w:val=""/>
      <w:lvlJc w:val="left"/>
      <w:pPr>
        <w:ind w:left="2880" w:hanging="180"/>
      </w:pPr>
      <w:rPr>
        <w:rFonts w:ascii="Symbol" w:hAnsi="Symbol" w:hint="default"/>
      </w:r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4" w15:restartNumberingAfterBreak="0">
    <w:nsid w:val="386E0B54"/>
    <w:multiLevelType w:val="hybridMultilevel"/>
    <w:tmpl w:val="6E2ABDBE"/>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39D607A2"/>
    <w:multiLevelType w:val="hybridMultilevel"/>
    <w:tmpl w:val="1F60FEF8"/>
    <w:lvl w:ilvl="0" w:tplc="0C09001B">
      <w:start w:val="1"/>
      <w:numFmt w:val="lowerRoman"/>
      <w:lvlText w:val="%1."/>
      <w:lvlJc w:val="right"/>
      <w:pPr>
        <w:ind w:left="180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1A4470"/>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47" w15:restartNumberingAfterBreak="0">
    <w:nsid w:val="3CA42FC9"/>
    <w:multiLevelType w:val="hybridMultilevel"/>
    <w:tmpl w:val="607A876C"/>
    <w:lvl w:ilvl="0" w:tplc="A520418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8" w15:restartNumberingAfterBreak="0">
    <w:nsid w:val="3CA83939"/>
    <w:multiLevelType w:val="multilevel"/>
    <w:tmpl w:val="E82219B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3CBD711D"/>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0" w15:restartNumberingAfterBreak="0">
    <w:nsid w:val="3DFB0AD5"/>
    <w:multiLevelType w:val="hybridMultilevel"/>
    <w:tmpl w:val="CE5E6EF4"/>
    <w:lvl w:ilvl="0" w:tplc="FA2AA2B0">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1" w15:restartNumberingAfterBreak="0">
    <w:nsid w:val="3F14345A"/>
    <w:multiLevelType w:val="hybridMultilevel"/>
    <w:tmpl w:val="338838E2"/>
    <w:lvl w:ilvl="0" w:tplc="C1D21FE6">
      <w:start w:val="1"/>
      <w:numFmt w:val="decimal"/>
      <w:lvlText w:val="%1."/>
      <w:lvlJc w:val="left"/>
      <w:pPr>
        <w:ind w:left="792" w:hanging="360"/>
      </w:pPr>
    </w:lvl>
    <w:lvl w:ilvl="1" w:tplc="08090019">
      <w:start w:val="1"/>
      <w:numFmt w:val="lowerLetter"/>
      <w:lvlText w:val="%2."/>
      <w:lvlJc w:val="left"/>
      <w:pPr>
        <w:ind w:left="1512" w:hanging="360"/>
      </w:pPr>
    </w:lvl>
    <w:lvl w:ilvl="2" w:tplc="0809001B">
      <w:start w:val="1"/>
      <w:numFmt w:val="lowerRoman"/>
      <w:lvlText w:val="%3."/>
      <w:lvlJc w:val="right"/>
      <w:pPr>
        <w:ind w:left="2232" w:hanging="180"/>
      </w:pPr>
    </w:lvl>
    <w:lvl w:ilvl="3" w:tplc="0809000F">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52" w15:restartNumberingAfterBreak="0">
    <w:nsid w:val="43235ED3"/>
    <w:multiLevelType w:val="hybridMultilevel"/>
    <w:tmpl w:val="FA44CC9C"/>
    <w:lvl w:ilvl="0" w:tplc="FA984D4A">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3" w15:restartNumberingAfterBreak="0">
    <w:nsid w:val="436410F3"/>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4"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55" w15:restartNumberingAfterBreak="0">
    <w:nsid w:val="474B5CD8"/>
    <w:multiLevelType w:val="hybridMultilevel"/>
    <w:tmpl w:val="1960C234"/>
    <w:lvl w:ilvl="0" w:tplc="FEF2365A">
      <w:start w:val="1"/>
      <w:numFmt w:val="lowerRoman"/>
      <w:lvlText w:val="%1."/>
      <w:lvlJc w:val="right"/>
      <w:pPr>
        <w:ind w:left="1800"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6" w15:restartNumberingAfterBreak="0">
    <w:nsid w:val="48396A0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7" w15:restartNumberingAfterBreak="0">
    <w:nsid w:val="48663BB3"/>
    <w:multiLevelType w:val="hybridMultilevel"/>
    <w:tmpl w:val="2BFCD4E2"/>
    <w:lvl w:ilvl="0" w:tplc="6DFCB9B6">
      <w:start w:val="1"/>
      <w:numFmt w:val="lowerRoman"/>
      <w:lvlText w:val="%1."/>
      <w:lvlJc w:val="right"/>
      <w:pPr>
        <w:ind w:left="2203" w:hanging="360"/>
      </w:pPr>
      <w:rPr>
        <w:rFonts w:hint="default"/>
      </w:r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58"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9" w15:restartNumberingAfterBreak="0">
    <w:nsid w:val="504E7A51"/>
    <w:multiLevelType w:val="hybridMultilevel"/>
    <w:tmpl w:val="FFD08BF4"/>
    <w:lvl w:ilvl="0" w:tplc="08090019">
      <w:start w:val="1"/>
      <w:numFmt w:val="lowerLetter"/>
      <w:pStyle w:val="ListBullet2"/>
      <w:lvlText w:val="%1."/>
      <w:lvlJc w:val="left"/>
      <w:pPr>
        <w:ind w:left="720" w:hanging="360"/>
      </w:pPr>
    </w:lvl>
    <w:lvl w:ilvl="1" w:tplc="60EC93C2"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55252C8E"/>
    <w:multiLevelType w:val="hybridMultilevel"/>
    <w:tmpl w:val="F8B6EC70"/>
    <w:lvl w:ilvl="0" w:tplc="158612B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1" w15:restartNumberingAfterBreak="0">
    <w:nsid w:val="55E86C30"/>
    <w:multiLevelType w:val="hybridMultilevel"/>
    <w:tmpl w:val="91142792"/>
    <w:lvl w:ilvl="0" w:tplc="E89C63CA">
      <w:start w:val="1"/>
      <w:numFmt w:val="upperLetter"/>
      <w:lvlText w:val="Annex %1."/>
      <w:lvlJc w:val="left"/>
      <w:pPr>
        <w:ind w:left="644" w:hanging="360"/>
      </w:pPr>
      <w:rPr>
        <w:rFonts w:hint="default"/>
      </w:rPr>
    </w:lvl>
    <w:lvl w:ilvl="1" w:tplc="0C090019">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63" w15:restartNumberingAfterBreak="0">
    <w:nsid w:val="606A7B3A"/>
    <w:multiLevelType w:val="hybridMultilevel"/>
    <w:tmpl w:val="068687EA"/>
    <w:lvl w:ilvl="0" w:tplc="9FDE7630">
      <w:start w:val="1"/>
      <w:numFmt w:val="lowerRoman"/>
      <w:lvlText w:val="%1."/>
      <w:lvlJc w:val="righ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4" w15:restartNumberingAfterBreak="0">
    <w:nsid w:val="62B0511C"/>
    <w:multiLevelType w:val="hybridMultilevel"/>
    <w:tmpl w:val="CC36E40A"/>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5" w15:restartNumberingAfterBreak="0">
    <w:nsid w:val="63A15FB9"/>
    <w:multiLevelType w:val="multilevel"/>
    <w:tmpl w:val="7AEE62D6"/>
    <w:lvl w:ilvl="0">
      <w:start w:val="1"/>
      <w:numFmt w:val="decimal"/>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4764CC8"/>
    <w:multiLevelType w:val="hybridMultilevel"/>
    <w:tmpl w:val="8FCE7210"/>
    <w:lvl w:ilvl="0" w:tplc="564E4384">
      <w:start w:val="1"/>
      <w:numFmt w:val="decimal"/>
      <w:lvlText w:val="%1."/>
      <w:lvlJc w:val="left"/>
      <w:pPr>
        <w:ind w:left="360" w:hanging="360"/>
      </w:pPr>
      <w:rPr>
        <w:b w:val="0"/>
        <w:i w:val="0"/>
        <w:color w:val="auto"/>
        <w:sz w:val="20"/>
        <w:szCs w:val="20"/>
      </w:rPr>
    </w:lvl>
    <w:lvl w:ilvl="1" w:tplc="0C090019">
      <w:start w:val="1"/>
      <w:numFmt w:val="lowerLetter"/>
      <w:lvlText w:val="%2."/>
      <w:lvlJc w:val="left"/>
      <w:pPr>
        <w:ind w:left="1080" w:hanging="360"/>
      </w:pPr>
      <w:rPr>
        <w:rFonts w:hint="default"/>
        <w:b w:val="0"/>
        <w:i w:val="0"/>
      </w:rPr>
    </w:lvl>
    <w:lvl w:ilvl="2" w:tplc="0C090019">
      <w:start w:val="1"/>
      <w:numFmt w:val="lowerLetter"/>
      <w:lvlText w:val="%3."/>
      <w:lvlJc w:val="lef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7" w15:restartNumberingAfterBreak="0">
    <w:nsid w:val="65A77CC3"/>
    <w:multiLevelType w:val="multilevel"/>
    <w:tmpl w:val="DA6E3D06"/>
    <w:lvl w:ilvl="0">
      <w:start w:val="1"/>
      <w:numFmt w:val="upperLetter"/>
      <w:pStyle w:val="Heading2"/>
      <w:lvlText w:val="%1."/>
      <w:lvlJc w:val="left"/>
      <w:pPr>
        <w:ind w:left="432" w:hanging="432"/>
      </w:pPr>
    </w:lvl>
    <w:lvl w:ilvl="1">
      <w:start w:val="1"/>
      <w:numFmt w:val="decimal"/>
      <w:pStyle w:val="Heading3"/>
      <w:lvlText w:val="%1.%2"/>
      <w:lvlJc w:val="left"/>
      <w:pPr>
        <w:ind w:left="718" w:hanging="576"/>
      </w:pPr>
    </w:lvl>
    <w:lvl w:ilvl="2">
      <w:start w:val="1"/>
      <w:numFmt w:val="decimal"/>
      <w:pStyle w:val="Heading4"/>
      <w:lvlText w:val="%1.%2.%3"/>
      <w:lvlJc w:val="left"/>
      <w:pPr>
        <w:ind w:left="4548" w:hanging="720"/>
      </w:pPr>
    </w:lvl>
    <w:lvl w:ilvl="3">
      <w:start w:val="1"/>
      <w:numFmt w:val="decimal"/>
      <w:pStyle w:val="Heading5"/>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8" w15:restartNumberingAfterBreak="0">
    <w:nsid w:val="690E0FE6"/>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9" w15:restartNumberingAfterBreak="0">
    <w:nsid w:val="6E3D69A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0" w15:restartNumberingAfterBreak="0">
    <w:nsid w:val="6F9C0F56"/>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1" w15:restartNumberingAfterBreak="0">
    <w:nsid w:val="72CB1A20"/>
    <w:multiLevelType w:val="hybridMultilevel"/>
    <w:tmpl w:val="FF5C299A"/>
    <w:lvl w:ilvl="0" w:tplc="63F66794">
      <w:start w:val="1"/>
      <w:numFmt w:val="lowerLetter"/>
      <w:lvlText w:val="%1."/>
      <w:lvlJc w:val="left"/>
      <w:pPr>
        <w:ind w:left="1440" w:hanging="360"/>
      </w:pPr>
      <w:rPr>
        <w:rFonts w:hint="default"/>
      </w:r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2" w15:restartNumberingAfterBreak="0">
    <w:nsid w:val="75686220"/>
    <w:multiLevelType w:val="hybridMultilevel"/>
    <w:tmpl w:val="461AA046"/>
    <w:lvl w:ilvl="0" w:tplc="0F348542">
      <w:start w:val="1"/>
      <w:numFmt w:val="lowerLetter"/>
      <w:pStyle w:val="Tablebodybullet1"/>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73" w15:restartNumberingAfterBreak="0">
    <w:nsid w:val="775B3CF1"/>
    <w:multiLevelType w:val="hybridMultilevel"/>
    <w:tmpl w:val="E1702FD8"/>
    <w:lvl w:ilvl="0" w:tplc="E89C2AB0">
      <w:start w:val="1"/>
      <w:numFmt w:val="lowerLetter"/>
      <w:lvlText w:val="%1."/>
      <w:lvlJc w:val="left"/>
      <w:pPr>
        <w:ind w:left="785" w:hanging="360"/>
      </w:pPr>
    </w:lvl>
    <w:lvl w:ilvl="1" w:tplc="60EC93C2">
      <w:start w:val="1"/>
      <w:numFmt w:val="lowerLetter"/>
      <w:lvlText w:val="%2."/>
      <w:lvlJc w:val="left"/>
      <w:pPr>
        <w:ind w:left="1505" w:hanging="360"/>
      </w:pPr>
    </w:lvl>
    <w:lvl w:ilvl="2" w:tplc="0C09001B">
      <w:start w:val="1"/>
      <w:numFmt w:val="lowerRoman"/>
      <w:lvlText w:val="%3."/>
      <w:lvlJc w:val="right"/>
      <w:pPr>
        <w:ind w:left="2225" w:hanging="180"/>
      </w:pPr>
    </w:lvl>
    <w:lvl w:ilvl="3" w:tplc="0C09000F" w:tentative="1">
      <w:start w:val="1"/>
      <w:numFmt w:val="decimal"/>
      <w:lvlText w:val="%4."/>
      <w:lvlJc w:val="left"/>
      <w:pPr>
        <w:ind w:left="2945" w:hanging="360"/>
      </w:pPr>
    </w:lvl>
    <w:lvl w:ilvl="4" w:tplc="0C090019" w:tentative="1">
      <w:start w:val="1"/>
      <w:numFmt w:val="lowerLetter"/>
      <w:lvlText w:val="%5."/>
      <w:lvlJc w:val="left"/>
      <w:pPr>
        <w:ind w:left="3665" w:hanging="360"/>
      </w:pPr>
    </w:lvl>
    <w:lvl w:ilvl="5" w:tplc="0C09001B" w:tentative="1">
      <w:start w:val="1"/>
      <w:numFmt w:val="lowerRoman"/>
      <w:lvlText w:val="%6."/>
      <w:lvlJc w:val="right"/>
      <w:pPr>
        <w:ind w:left="4385" w:hanging="180"/>
      </w:pPr>
    </w:lvl>
    <w:lvl w:ilvl="6" w:tplc="0C09000F" w:tentative="1">
      <w:start w:val="1"/>
      <w:numFmt w:val="decimal"/>
      <w:lvlText w:val="%7."/>
      <w:lvlJc w:val="left"/>
      <w:pPr>
        <w:ind w:left="5105" w:hanging="360"/>
      </w:pPr>
    </w:lvl>
    <w:lvl w:ilvl="7" w:tplc="0C090019" w:tentative="1">
      <w:start w:val="1"/>
      <w:numFmt w:val="lowerLetter"/>
      <w:lvlText w:val="%8."/>
      <w:lvlJc w:val="left"/>
      <w:pPr>
        <w:ind w:left="5825" w:hanging="360"/>
      </w:pPr>
    </w:lvl>
    <w:lvl w:ilvl="8" w:tplc="0C09001B" w:tentative="1">
      <w:start w:val="1"/>
      <w:numFmt w:val="lowerRoman"/>
      <w:lvlText w:val="%9."/>
      <w:lvlJc w:val="right"/>
      <w:pPr>
        <w:ind w:left="6545" w:hanging="180"/>
      </w:pPr>
    </w:lvl>
  </w:abstractNum>
  <w:abstractNum w:abstractNumId="74" w15:restartNumberingAfterBreak="0">
    <w:nsid w:val="77B36092"/>
    <w:multiLevelType w:val="hybridMultilevel"/>
    <w:tmpl w:val="6B201E06"/>
    <w:lvl w:ilvl="0" w:tplc="0809001B">
      <w:start w:val="1"/>
      <w:numFmt w:val="lowerRoman"/>
      <w:lvlText w:val="%1."/>
      <w:lvlJc w:val="right"/>
      <w:pPr>
        <w:ind w:left="1800" w:hanging="360"/>
      </w:pPr>
    </w:lvl>
    <w:lvl w:ilvl="1" w:tplc="60EC93C2">
      <w:start w:val="1"/>
      <w:numFmt w:val="lowerLetter"/>
      <w:lvlText w:val="%2."/>
      <w:lvlJc w:val="left"/>
      <w:pPr>
        <w:ind w:left="2520" w:hanging="360"/>
      </w:pPr>
    </w:lvl>
    <w:lvl w:ilvl="2" w:tplc="0C09001B">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75" w15:restartNumberingAfterBreak="0">
    <w:nsid w:val="788902D7"/>
    <w:multiLevelType w:val="multilevel"/>
    <w:tmpl w:val="B22E10AC"/>
    <w:numStyleLink w:val="Numberedparagraphs"/>
  </w:abstractNum>
  <w:abstractNum w:abstractNumId="76" w15:restartNumberingAfterBreak="0">
    <w:nsid w:val="789363F9"/>
    <w:multiLevelType w:val="hybridMultilevel"/>
    <w:tmpl w:val="4A669666"/>
    <w:lvl w:ilvl="0" w:tplc="D4BCE588">
      <w:start w:val="1"/>
      <w:numFmt w:val="lowerLetter"/>
      <w:lvlText w:val="%1."/>
      <w:lvlJc w:val="left"/>
      <w:pPr>
        <w:ind w:left="1440" w:hanging="360"/>
      </w:pPr>
    </w:lvl>
    <w:lvl w:ilvl="1" w:tplc="60EC93C2">
      <w:start w:val="1"/>
      <w:numFmt w:val="lowerLetter"/>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7" w15:restartNumberingAfterBreak="0">
    <w:nsid w:val="7B9264F2"/>
    <w:multiLevelType w:val="hybridMultilevel"/>
    <w:tmpl w:val="C9D46B74"/>
    <w:lvl w:ilvl="0" w:tplc="0C09001B">
      <w:start w:val="1"/>
      <w:numFmt w:val="lowerRoman"/>
      <w:lvlText w:val="%1."/>
      <w:lvlJc w:val="right"/>
      <w:pPr>
        <w:ind w:left="1836" w:hanging="180"/>
      </w:pPr>
    </w:lvl>
    <w:lvl w:ilvl="1" w:tplc="08090019" w:tentative="1">
      <w:start w:val="1"/>
      <w:numFmt w:val="lowerLetter"/>
      <w:lvlText w:val="%2."/>
      <w:lvlJc w:val="left"/>
      <w:pPr>
        <w:ind w:left="1476" w:hanging="360"/>
      </w:pPr>
    </w:lvl>
    <w:lvl w:ilvl="2" w:tplc="0809001B" w:tentative="1">
      <w:start w:val="1"/>
      <w:numFmt w:val="lowerRoman"/>
      <w:lvlText w:val="%3."/>
      <w:lvlJc w:val="right"/>
      <w:pPr>
        <w:ind w:left="2196" w:hanging="180"/>
      </w:pPr>
    </w:lvl>
    <w:lvl w:ilvl="3" w:tplc="0809000F" w:tentative="1">
      <w:start w:val="1"/>
      <w:numFmt w:val="decimal"/>
      <w:lvlText w:val="%4."/>
      <w:lvlJc w:val="left"/>
      <w:pPr>
        <w:ind w:left="2916" w:hanging="360"/>
      </w:pPr>
    </w:lvl>
    <w:lvl w:ilvl="4" w:tplc="08090019" w:tentative="1">
      <w:start w:val="1"/>
      <w:numFmt w:val="lowerLetter"/>
      <w:lvlText w:val="%5."/>
      <w:lvlJc w:val="left"/>
      <w:pPr>
        <w:ind w:left="3636" w:hanging="360"/>
      </w:pPr>
    </w:lvl>
    <w:lvl w:ilvl="5" w:tplc="0809001B" w:tentative="1">
      <w:start w:val="1"/>
      <w:numFmt w:val="lowerRoman"/>
      <w:lvlText w:val="%6."/>
      <w:lvlJc w:val="right"/>
      <w:pPr>
        <w:ind w:left="4356" w:hanging="180"/>
      </w:pPr>
    </w:lvl>
    <w:lvl w:ilvl="6" w:tplc="0809000F" w:tentative="1">
      <w:start w:val="1"/>
      <w:numFmt w:val="decimal"/>
      <w:lvlText w:val="%7."/>
      <w:lvlJc w:val="left"/>
      <w:pPr>
        <w:ind w:left="5076" w:hanging="360"/>
      </w:pPr>
    </w:lvl>
    <w:lvl w:ilvl="7" w:tplc="08090019" w:tentative="1">
      <w:start w:val="1"/>
      <w:numFmt w:val="lowerLetter"/>
      <w:lvlText w:val="%8."/>
      <w:lvlJc w:val="left"/>
      <w:pPr>
        <w:ind w:left="5796" w:hanging="360"/>
      </w:pPr>
    </w:lvl>
    <w:lvl w:ilvl="8" w:tplc="0809001B" w:tentative="1">
      <w:start w:val="1"/>
      <w:numFmt w:val="lowerRoman"/>
      <w:lvlText w:val="%9."/>
      <w:lvlJc w:val="right"/>
      <w:pPr>
        <w:ind w:left="6516" w:hanging="180"/>
      </w:pPr>
    </w:lvl>
  </w:abstractNum>
  <w:abstractNum w:abstractNumId="78" w15:restartNumberingAfterBreak="0">
    <w:nsid w:val="7D9F1035"/>
    <w:multiLevelType w:val="hybridMultilevel"/>
    <w:tmpl w:val="9D52C928"/>
    <w:lvl w:ilvl="0" w:tplc="08090001">
      <w:start w:val="1"/>
      <w:numFmt w:val="bullet"/>
      <w:lvlText w:val=""/>
      <w:lvlJc w:val="left"/>
      <w:pPr>
        <w:ind w:left="780" w:hanging="360"/>
      </w:pPr>
      <w:rPr>
        <w:rFonts w:ascii="Symbol" w:hAnsi="Symbol" w:hint="default"/>
      </w:rPr>
    </w:lvl>
    <w:lvl w:ilvl="1" w:tplc="0809001B">
      <w:start w:val="1"/>
      <w:numFmt w:val="lowerRoman"/>
      <w:lvlText w:val="%2."/>
      <w:lvlJc w:val="right"/>
      <w:pPr>
        <w:ind w:left="1500" w:hanging="360"/>
      </w:pPr>
      <w:rPr>
        <w:rFonts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65"/>
  </w:num>
  <w:num w:numId="2">
    <w:abstractNumId w:val="12"/>
  </w:num>
  <w:num w:numId="3">
    <w:abstractNumId w:val="67"/>
  </w:num>
  <w:num w:numId="4">
    <w:abstractNumId w:val="72"/>
  </w:num>
  <w:num w:numId="5">
    <w:abstractNumId w:val="1"/>
  </w:num>
  <w:num w:numId="6">
    <w:abstractNumId w:val="58"/>
  </w:num>
  <w:num w:numId="7">
    <w:abstractNumId w:val="59"/>
  </w:num>
  <w:num w:numId="8">
    <w:abstractNumId w:val="54"/>
  </w:num>
  <w:num w:numId="9">
    <w:abstractNumId w:val="62"/>
  </w:num>
  <w:num w:numId="10">
    <w:abstractNumId w:val="39"/>
  </w:num>
  <w:num w:numId="11">
    <w:abstractNumId w:val="35"/>
  </w:num>
  <w:num w:numId="12">
    <w:abstractNumId w:val="59"/>
    <w:lvlOverride w:ilvl="0">
      <w:startOverride w:val="1"/>
    </w:lvlOverride>
  </w:num>
  <w:num w:numId="13">
    <w:abstractNumId w:val="59"/>
    <w:lvlOverride w:ilvl="0">
      <w:startOverride w:val="1"/>
    </w:lvlOverride>
  </w:num>
  <w:num w:numId="14">
    <w:abstractNumId w:val="59"/>
    <w:lvlOverride w:ilvl="0">
      <w:startOverride w:val="1"/>
    </w:lvlOverride>
  </w:num>
  <w:num w:numId="15">
    <w:abstractNumId w:val="16"/>
  </w:num>
  <w:num w:numId="16">
    <w:abstractNumId w:val="8"/>
  </w:num>
  <w:num w:numId="17">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9"/>
  </w:num>
  <w:num w:numId="19">
    <w:abstractNumId w:val="72"/>
    <w:lvlOverride w:ilvl="0">
      <w:startOverride w:val="1"/>
    </w:lvlOverride>
  </w:num>
  <w:num w:numId="20">
    <w:abstractNumId w:val="72"/>
    <w:lvlOverride w:ilvl="0">
      <w:startOverride w:val="1"/>
    </w:lvlOverride>
  </w:num>
  <w:num w:numId="21">
    <w:abstractNumId w:val="1"/>
    <w:lvlOverride w:ilvl="0">
      <w:startOverride w:val="1"/>
    </w:lvlOverride>
  </w:num>
  <w:num w:numId="22">
    <w:abstractNumId w:val="59"/>
    <w:lvlOverride w:ilvl="0">
      <w:startOverride w:val="1"/>
    </w:lvlOverride>
  </w:num>
  <w:num w:numId="23">
    <w:abstractNumId w:val="27"/>
  </w:num>
  <w:num w:numId="24">
    <w:abstractNumId w:val="65"/>
  </w:num>
  <w:num w:numId="25">
    <w:abstractNumId w:val="59"/>
    <w:lvlOverride w:ilvl="0">
      <w:startOverride w:val="1"/>
    </w:lvlOverride>
  </w:num>
  <w:num w:numId="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0"/>
  </w:num>
  <w:num w:numId="29">
    <w:abstractNumId w:val="61"/>
  </w:num>
  <w:num w:numId="30">
    <w:abstractNumId w:val="32"/>
  </w:num>
  <w:num w:numId="31">
    <w:abstractNumId w:val="64"/>
  </w:num>
  <w:num w:numId="32">
    <w:abstractNumId w:val="65"/>
  </w:num>
  <w:num w:numId="33">
    <w:abstractNumId w:val="66"/>
  </w:num>
  <w:num w:numId="34">
    <w:abstractNumId w:val="59"/>
  </w:num>
  <w:num w:numId="35">
    <w:abstractNumId w:val="59"/>
    <w:lvlOverride w:ilvl="0">
      <w:startOverride w:val="1"/>
    </w:lvlOverride>
  </w:num>
  <w:num w:numId="36">
    <w:abstractNumId w:val="59"/>
  </w:num>
  <w:num w:numId="37">
    <w:abstractNumId w:val="65"/>
  </w:num>
  <w:num w:numId="38">
    <w:abstractNumId w:val="72"/>
    <w:lvlOverride w:ilvl="0">
      <w:startOverride w:val="1"/>
    </w:lvlOverride>
  </w:num>
  <w:num w:numId="39">
    <w:abstractNumId w:val="67"/>
  </w:num>
  <w:num w:numId="40">
    <w:abstractNumId w:val="25"/>
  </w:num>
  <w:num w:numId="41">
    <w:abstractNumId w:val="20"/>
  </w:num>
  <w:num w:numId="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7"/>
  </w:num>
  <w:num w:numId="44">
    <w:abstractNumId w:val="65"/>
  </w:num>
  <w:num w:numId="45">
    <w:abstractNumId w:val="38"/>
  </w:num>
  <w:num w:numId="46">
    <w:abstractNumId w:val="38"/>
    <w:lvlOverride w:ilvl="0">
      <w:startOverride w:val="1"/>
    </w:lvlOverride>
  </w:num>
  <w:num w:numId="47">
    <w:abstractNumId w:val="59"/>
  </w:num>
  <w:num w:numId="48">
    <w:abstractNumId w:val="59"/>
    <w:lvlOverride w:ilvl="0">
      <w:startOverride w:val="1"/>
    </w:lvlOverride>
  </w:num>
  <w:num w:numId="49">
    <w:abstractNumId w:val="0"/>
  </w:num>
  <w:num w:numId="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num>
  <w:num w:numId="53">
    <w:abstractNumId w:val="65"/>
  </w:num>
  <w:num w:numId="54">
    <w:abstractNumId w:val="67"/>
  </w:num>
  <w:num w:numId="55">
    <w:abstractNumId w:val="67"/>
  </w:num>
  <w:num w:numId="56">
    <w:abstractNumId w:val="65"/>
  </w:num>
  <w:num w:numId="57">
    <w:abstractNumId w:val="65"/>
  </w:num>
  <w:num w:numId="58">
    <w:abstractNumId w:val="65"/>
  </w:num>
  <w:num w:numId="59">
    <w:abstractNumId w:val="59"/>
  </w:num>
  <w:num w:numId="60">
    <w:abstractNumId w:val="65"/>
  </w:num>
  <w:num w:numId="61">
    <w:abstractNumId w:val="59"/>
  </w:num>
  <w:num w:numId="62">
    <w:abstractNumId w:val="59"/>
  </w:num>
  <w:num w:numId="63">
    <w:abstractNumId w:val="59"/>
    <w:lvlOverride w:ilvl="0">
      <w:startOverride w:val="1"/>
    </w:lvlOverride>
  </w:num>
  <w:num w:numId="64">
    <w:abstractNumId w:val="59"/>
    <w:lvlOverride w:ilvl="0">
      <w:startOverride w:val="1"/>
    </w:lvlOverride>
  </w:num>
  <w:num w:numId="65">
    <w:abstractNumId w:val="59"/>
  </w:num>
  <w:num w:numId="66">
    <w:abstractNumId w:val="59"/>
  </w:num>
  <w:num w:numId="67">
    <w:abstractNumId w:val="59"/>
  </w:num>
  <w:num w:numId="68">
    <w:abstractNumId w:val="59"/>
  </w:num>
  <w:num w:numId="69">
    <w:abstractNumId w:val="59"/>
  </w:num>
  <w:num w:numId="70">
    <w:abstractNumId w:val="59"/>
  </w:num>
  <w:num w:numId="71">
    <w:abstractNumId w:val="59"/>
  </w:num>
  <w:num w:numId="72">
    <w:abstractNumId w:val="59"/>
  </w:num>
  <w:num w:numId="73">
    <w:abstractNumId w:val="59"/>
    <w:lvlOverride w:ilvl="0">
      <w:startOverride w:val="1"/>
    </w:lvlOverride>
  </w:num>
  <w:num w:numId="74">
    <w:abstractNumId w:val="59"/>
  </w:num>
  <w:num w:numId="75">
    <w:abstractNumId w:val="59"/>
  </w:num>
  <w:num w:numId="76">
    <w:abstractNumId w:val="59"/>
  </w:num>
  <w:num w:numId="77">
    <w:abstractNumId w:val="59"/>
  </w:num>
  <w:num w:numId="78">
    <w:abstractNumId w:val="59"/>
  </w:num>
  <w:num w:numId="79">
    <w:abstractNumId w:val="59"/>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num>
  <w:num w:numId="82">
    <w:abstractNumId w:val="59"/>
    <w:lvlOverride w:ilvl="0">
      <w:startOverride w:val="1"/>
    </w:lvlOverride>
  </w:num>
  <w:num w:numId="83">
    <w:abstractNumId w:val="65"/>
  </w:num>
  <w:num w:numId="84">
    <w:abstractNumId w:val="59"/>
  </w:num>
  <w:num w:numId="85">
    <w:abstractNumId w:val="67"/>
  </w:num>
  <w:num w:numId="86">
    <w:abstractNumId w:val="67"/>
  </w:num>
  <w:num w:numId="87">
    <w:abstractNumId w:val="77"/>
  </w:num>
  <w:num w:numId="88">
    <w:abstractNumId w:val="13"/>
  </w:num>
  <w:num w:numId="89">
    <w:abstractNumId w:val="45"/>
  </w:num>
  <w:num w:numId="90">
    <w:abstractNumId w:val="67"/>
  </w:num>
  <w:num w:numId="91">
    <w:abstractNumId w:val="67"/>
  </w:num>
  <w:num w:numId="92">
    <w:abstractNumId w:val="67"/>
  </w:num>
  <w:num w:numId="93">
    <w:abstractNumId w:val="67"/>
  </w:num>
  <w:num w:numId="94">
    <w:abstractNumId w:val="67"/>
  </w:num>
  <w:num w:numId="95">
    <w:abstractNumId w:val="67"/>
  </w:num>
  <w:num w:numId="96">
    <w:abstractNumId w:val="67"/>
  </w:num>
  <w:num w:numId="97">
    <w:abstractNumId w:val="67"/>
  </w:num>
  <w:num w:numId="98">
    <w:abstractNumId w:val="67"/>
  </w:num>
  <w:num w:numId="99">
    <w:abstractNumId w:val="65"/>
  </w:num>
  <w:num w:numId="100">
    <w:abstractNumId w:val="48"/>
  </w:num>
  <w:num w:numId="101">
    <w:abstractNumId w:val="78"/>
  </w:num>
  <w:num w:numId="102">
    <w:abstractNumId w:val="9"/>
  </w:num>
  <w:num w:numId="103">
    <w:abstractNumId w:val="65"/>
  </w:num>
  <w:num w:numId="104">
    <w:abstractNumId w:val="65"/>
  </w:num>
  <w:num w:numId="105">
    <w:abstractNumId w:val="59"/>
  </w:num>
  <w:num w:numId="106">
    <w:abstractNumId w:val="59"/>
    <w:lvlOverride w:ilvl="0">
      <w:startOverride w:val="1"/>
    </w:lvlOverride>
  </w:num>
  <w:num w:numId="107">
    <w:abstractNumId w:val="78"/>
    <w:lvlOverride w:ilvl="0">
      <w:startOverride w:val="1"/>
    </w:lvlOverride>
  </w:num>
  <w:num w:numId="108">
    <w:abstractNumId w:val="15"/>
  </w:num>
  <w:num w:numId="109">
    <w:abstractNumId w:val="15"/>
    <w:lvlOverride w:ilvl="0">
      <w:startOverride w:val="1"/>
    </w:lvlOverride>
  </w:num>
  <w:num w:numId="110">
    <w:abstractNumId w:val="15"/>
    <w:lvlOverride w:ilvl="0">
      <w:startOverride w:val="1"/>
    </w:lvlOverride>
  </w:num>
  <w:num w:numId="111">
    <w:abstractNumId w:val="15"/>
  </w:num>
  <w:num w:numId="112">
    <w:abstractNumId w:val="15"/>
  </w:num>
  <w:num w:numId="113">
    <w:abstractNumId w:val="65"/>
  </w:num>
  <w:num w:numId="114">
    <w:abstractNumId w:val="65"/>
  </w:num>
  <w:num w:numId="115">
    <w:abstractNumId w:val="65"/>
  </w:num>
  <w:num w:numId="116">
    <w:abstractNumId w:val="15"/>
  </w:num>
  <w:num w:numId="117">
    <w:abstractNumId w:val="65"/>
  </w:num>
  <w:num w:numId="118">
    <w:abstractNumId w:val="15"/>
    <w:lvlOverride w:ilvl="0">
      <w:startOverride w:val="1"/>
    </w:lvlOverride>
  </w:num>
  <w:num w:numId="119">
    <w:abstractNumId w:val="67"/>
  </w:num>
  <w:num w:numId="120">
    <w:abstractNumId w:val="67"/>
  </w:num>
  <w:num w:numId="121">
    <w:abstractNumId w:val="67"/>
  </w:num>
  <w:num w:numId="122">
    <w:abstractNumId w:val="67"/>
  </w:num>
  <w:num w:numId="123">
    <w:abstractNumId w:val="15"/>
  </w:num>
  <w:num w:numId="124">
    <w:abstractNumId w:val="15"/>
  </w:num>
  <w:num w:numId="125">
    <w:abstractNumId w:val="15"/>
  </w:num>
  <w:num w:numId="126">
    <w:abstractNumId w:val="15"/>
  </w:num>
  <w:num w:numId="127">
    <w:abstractNumId w:val="15"/>
  </w:num>
  <w:num w:numId="128">
    <w:abstractNumId w:val="73"/>
  </w:num>
  <w:num w:numId="129">
    <w:abstractNumId w:val="73"/>
    <w:lvlOverride w:ilvl="0">
      <w:startOverride w:val="1"/>
    </w:lvlOverride>
  </w:num>
  <w:num w:numId="130">
    <w:abstractNumId w:val="73"/>
  </w:num>
  <w:num w:numId="131">
    <w:abstractNumId w:val="73"/>
  </w:num>
  <w:num w:numId="132">
    <w:abstractNumId w:val="73"/>
  </w:num>
  <w:num w:numId="133">
    <w:abstractNumId w:val="73"/>
  </w:num>
  <w:num w:numId="134">
    <w:abstractNumId w:val="73"/>
  </w:num>
  <w:num w:numId="135">
    <w:abstractNumId w:val="73"/>
  </w:num>
  <w:num w:numId="136">
    <w:abstractNumId w:val="73"/>
  </w:num>
  <w:num w:numId="137">
    <w:abstractNumId w:val="73"/>
  </w:num>
  <w:num w:numId="138">
    <w:abstractNumId w:val="73"/>
  </w:num>
  <w:num w:numId="139">
    <w:abstractNumId w:val="73"/>
  </w:num>
  <w:num w:numId="140">
    <w:abstractNumId w:val="73"/>
  </w:num>
  <w:num w:numId="141">
    <w:abstractNumId w:val="73"/>
  </w:num>
  <w:num w:numId="142">
    <w:abstractNumId w:val="65"/>
  </w:num>
  <w:num w:numId="143">
    <w:abstractNumId w:val="63"/>
  </w:num>
  <w:num w:numId="144">
    <w:abstractNumId w:val="73"/>
  </w:num>
  <w:num w:numId="145">
    <w:abstractNumId w:val="73"/>
  </w:num>
  <w:num w:numId="146">
    <w:abstractNumId w:val="73"/>
  </w:num>
  <w:num w:numId="147">
    <w:abstractNumId w:val="73"/>
  </w:num>
  <w:num w:numId="148">
    <w:abstractNumId w:val="73"/>
  </w:num>
  <w:num w:numId="149">
    <w:abstractNumId w:val="73"/>
  </w:num>
  <w:num w:numId="150">
    <w:abstractNumId w:val="73"/>
  </w:num>
  <w:num w:numId="151">
    <w:abstractNumId w:val="73"/>
  </w:num>
  <w:num w:numId="152">
    <w:abstractNumId w:val="6"/>
  </w:num>
  <w:num w:numId="153">
    <w:abstractNumId w:val="6"/>
    <w:lvlOverride w:ilvl="0">
      <w:startOverride w:val="1"/>
    </w:lvlOverride>
  </w:num>
  <w:num w:numId="154">
    <w:abstractNumId w:val="6"/>
  </w:num>
  <w:num w:numId="155">
    <w:abstractNumId w:val="59"/>
    <w:lvlOverride w:ilvl="0">
      <w:startOverride w:val="1"/>
    </w:lvlOverride>
  </w:num>
  <w:num w:numId="156">
    <w:abstractNumId w:val="59"/>
  </w:num>
  <w:num w:numId="157">
    <w:abstractNumId w:val="59"/>
  </w:num>
  <w:num w:numId="158">
    <w:abstractNumId w:val="59"/>
  </w:num>
  <w:num w:numId="159">
    <w:abstractNumId w:val="59"/>
  </w:num>
  <w:num w:numId="160">
    <w:abstractNumId w:val="23"/>
  </w:num>
  <w:num w:numId="161">
    <w:abstractNumId w:val="59"/>
  </w:num>
  <w:num w:numId="162">
    <w:abstractNumId w:val="42"/>
  </w:num>
  <w:num w:numId="163">
    <w:abstractNumId w:val="67"/>
  </w:num>
  <w:num w:numId="164">
    <w:abstractNumId w:val="59"/>
  </w:num>
  <w:num w:numId="165">
    <w:abstractNumId w:val="46"/>
  </w:num>
  <w:num w:numId="166">
    <w:abstractNumId w:val="59"/>
  </w:num>
  <w:num w:numId="167">
    <w:abstractNumId w:val="59"/>
  </w:num>
  <w:num w:numId="168">
    <w:abstractNumId w:val="59"/>
  </w:num>
  <w:num w:numId="169">
    <w:abstractNumId w:val="59"/>
  </w:num>
  <w:num w:numId="170">
    <w:abstractNumId w:val="59"/>
  </w:num>
  <w:num w:numId="171">
    <w:abstractNumId w:val="74"/>
  </w:num>
  <w:num w:numId="172">
    <w:abstractNumId w:val="59"/>
  </w:num>
  <w:num w:numId="173">
    <w:abstractNumId w:val="59"/>
  </w:num>
  <w:num w:numId="174">
    <w:abstractNumId w:val="59"/>
  </w:num>
  <w:num w:numId="175">
    <w:abstractNumId w:val="59"/>
  </w:num>
  <w:num w:numId="176">
    <w:abstractNumId w:val="59"/>
  </w:num>
  <w:num w:numId="177">
    <w:abstractNumId w:val="59"/>
  </w:num>
  <w:num w:numId="178">
    <w:abstractNumId w:val="47"/>
  </w:num>
  <w:num w:numId="179">
    <w:abstractNumId w:val="47"/>
    <w:lvlOverride w:ilvl="0">
      <w:startOverride w:val="1"/>
    </w:lvlOverride>
  </w:num>
  <w:num w:numId="180">
    <w:abstractNumId w:val="47"/>
  </w:num>
  <w:num w:numId="181">
    <w:abstractNumId w:val="47"/>
  </w:num>
  <w:num w:numId="182">
    <w:abstractNumId w:val="47"/>
  </w:num>
  <w:num w:numId="183">
    <w:abstractNumId w:val="47"/>
  </w:num>
  <w:num w:numId="184">
    <w:abstractNumId w:val="33"/>
  </w:num>
  <w:num w:numId="185">
    <w:abstractNumId w:val="47"/>
  </w:num>
  <w:num w:numId="186">
    <w:abstractNumId w:val="47"/>
  </w:num>
  <w:num w:numId="187">
    <w:abstractNumId w:val="47"/>
  </w:num>
  <w:num w:numId="188">
    <w:abstractNumId w:val="47"/>
  </w:num>
  <w:num w:numId="189">
    <w:abstractNumId w:val="47"/>
  </w:num>
  <w:num w:numId="190">
    <w:abstractNumId w:val="47"/>
  </w:num>
  <w:num w:numId="191">
    <w:abstractNumId w:val="47"/>
  </w:num>
  <w:num w:numId="192">
    <w:abstractNumId w:val="47"/>
  </w:num>
  <w:num w:numId="193">
    <w:abstractNumId w:val="34"/>
  </w:num>
  <w:num w:numId="194">
    <w:abstractNumId w:val="47"/>
    <w:lvlOverride w:ilvl="0">
      <w:startOverride w:val="1"/>
    </w:lvlOverride>
  </w:num>
  <w:num w:numId="195">
    <w:abstractNumId w:val="47"/>
  </w:num>
  <w:num w:numId="196">
    <w:abstractNumId w:val="47"/>
  </w:num>
  <w:num w:numId="197">
    <w:abstractNumId w:val="47"/>
  </w:num>
  <w:num w:numId="198">
    <w:abstractNumId w:val="47"/>
    <w:lvlOverride w:ilvl="0">
      <w:startOverride w:val="1"/>
    </w:lvlOverride>
  </w:num>
  <w:num w:numId="199">
    <w:abstractNumId w:val="47"/>
  </w:num>
  <w:num w:numId="200">
    <w:abstractNumId w:val="47"/>
  </w:num>
  <w:num w:numId="201">
    <w:abstractNumId w:val="47"/>
  </w:num>
  <w:num w:numId="202">
    <w:abstractNumId w:val="47"/>
    <w:lvlOverride w:ilvl="0">
      <w:startOverride w:val="1"/>
    </w:lvlOverride>
  </w:num>
  <w:num w:numId="203">
    <w:abstractNumId w:val="47"/>
    <w:lvlOverride w:ilvl="0">
      <w:startOverride w:val="1"/>
    </w:lvlOverride>
  </w:num>
  <w:num w:numId="204">
    <w:abstractNumId w:val="47"/>
    <w:lvlOverride w:ilvl="0">
      <w:startOverride w:val="1"/>
    </w:lvlOverride>
  </w:num>
  <w:num w:numId="205">
    <w:abstractNumId w:val="47"/>
  </w:num>
  <w:num w:numId="206">
    <w:abstractNumId w:val="47"/>
    <w:lvlOverride w:ilvl="0">
      <w:startOverride w:val="1"/>
    </w:lvlOverride>
  </w:num>
  <w:num w:numId="207">
    <w:abstractNumId w:val="47"/>
    <w:lvlOverride w:ilvl="0">
      <w:startOverride w:val="1"/>
    </w:lvlOverride>
  </w:num>
  <w:num w:numId="208">
    <w:abstractNumId w:val="47"/>
    <w:lvlOverride w:ilvl="0">
      <w:startOverride w:val="1"/>
    </w:lvlOverride>
  </w:num>
  <w:num w:numId="209">
    <w:abstractNumId w:val="47"/>
    <w:lvlOverride w:ilvl="0">
      <w:startOverride w:val="1"/>
    </w:lvlOverride>
  </w:num>
  <w:num w:numId="210">
    <w:abstractNumId w:val="47"/>
  </w:num>
  <w:num w:numId="211">
    <w:abstractNumId w:val="47"/>
  </w:num>
  <w:num w:numId="212">
    <w:abstractNumId w:val="47"/>
  </w:num>
  <w:num w:numId="213">
    <w:abstractNumId w:val="47"/>
  </w:num>
  <w:num w:numId="214">
    <w:abstractNumId w:val="47"/>
  </w:num>
  <w:num w:numId="215">
    <w:abstractNumId w:val="47"/>
    <w:lvlOverride w:ilvl="0">
      <w:startOverride w:val="1"/>
    </w:lvlOverride>
  </w:num>
  <w:num w:numId="216">
    <w:abstractNumId w:val="59"/>
  </w:num>
  <w:num w:numId="217">
    <w:abstractNumId w:val="59"/>
  </w:num>
  <w:num w:numId="218">
    <w:abstractNumId w:val="59"/>
  </w:num>
  <w:num w:numId="219">
    <w:abstractNumId w:val="71"/>
  </w:num>
  <w:num w:numId="220">
    <w:abstractNumId w:val="71"/>
    <w:lvlOverride w:ilvl="0">
      <w:startOverride w:val="1"/>
    </w:lvlOverride>
  </w:num>
  <w:num w:numId="221">
    <w:abstractNumId w:val="71"/>
  </w:num>
  <w:num w:numId="222">
    <w:abstractNumId w:val="65"/>
  </w:num>
  <w:num w:numId="223">
    <w:abstractNumId w:val="65"/>
  </w:num>
  <w:num w:numId="224">
    <w:abstractNumId w:val="65"/>
  </w:num>
  <w:num w:numId="225">
    <w:abstractNumId w:val="65"/>
  </w:num>
  <w:num w:numId="226">
    <w:abstractNumId w:val="11"/>
  </w:num>
  <w:num w:numId="227">
    <w:abstractNumId w:val="51"/>
  </w:num>
  <w:num w:numId="228">
    <w:abstractNumId w:val="71"/>
    <w:lvlOverride w:ilvl="0">
      <w:startOverride w:val="2"/>
    </w:lvlOverride>
  </w:num>
  <w:num w:numId="229">
    <w:abstractNumId w:val="71"/>
    <w:lvlOverride w:ilvl="0">
      <w:startOverride w:val="2"/>
    </w:lvlOverride>
  </w:num>
  <w:num w:numId="230">
    <w:abstractNumId w:val="71"/>
  </w:num>
  <w:num w:numId="231">
    <w:abstractNumId w:val="52"/>
  </w:num>
  <w:num w:numId="232">
    <w:abstractNumId w:val="52"/>
    <w:lvlOverride w:ilvl="0">
      <w:startOverride w:val="1"/>
    </w:lvlOverride>
  </w:num>
  <w:num w:numId="233">
    <w:abstractNumId w:val="52"/>
    <w:lvlOverride w:ilvl="0">
      <w:startOverride w:val="2"/>
    </w:lvlOverride>
  </w:num>
  <w:num w:numId="234">
    <w:abstractNumId w:val="52"/>
    <w:lvlOverride w:ilvl="0">
      <w:startOverride w:val="2"/>
    </w:lvlOverride>
  </w:num>
  <w:num w:numId="235">
    <w:abstractNumId w:val="52"/>
    <w:lvlOverride w:ilvl="0">
      <w:startOverride w:val="2"/>
    </w:lvlOverride>
  </w:num>
  <w:num w:numId="236">
    <w:abstractNumId w:val="52"/>
    <w:lvlOverride w:ilvl="0">
      <w:startOverride w:val="2"/>
    </w:lvlOverride>
  </w:num>
  <w:num w:numId="237">
    <w:abstractNumId w:val="52"/>
    <w:lvlOverride w:ilvl="0">
      <w:startOverride w:val="1"/>
    </w:lvlOverride>
  </w:num>
  <w:num w:numId="238">
    <w:abstractNumId w:val="36"/>
  </w:num>
  <w:num w:numId="239">
    <w:abstractNumId w:val="52"/>
    <w:lvlOverride w:ilvl="0">
      <w:startOverride w:val="1"/>
    </w:lvlOverride>
  </w:num>
  <w:num w:numId="240">
    <w:abstractNumId w:val="52"/>
    <w:lvlOverride w:ilvl="0">
      <w:startOverride w:val="2"/>
    </w:lvlOverride>
  </w:num>
  <w:num w:numId="241">
    <w:abstractNumId w:val="43"/>
  </w:num>
  <w:num w:numId="242">
    <w:abstractNumId w:val="55"/>
  </w:num>
  <w:num w:numId="243">
    <w:abstractNumId w:val="55"/>
  </w:num>
  <w:num w:numId="244">
    <w:abstractNumId w:val="55"/>
    <w:lvlOverride w:ilvl="0">
      <w:startOverride w:val="4"/>
    </w:lvlOverride>
  </w:num>
  <w:num w:numId="245">
    <w:abstractNumId w:val="55"/>
  </w:num>
  <w:num w:numId="246">
    <w:abstractNumId w:val="55"/>
  </w:num>
  <w:num w:numId="247">
    <w:abstractNumId w:val="51"/>
  </w:num>
  <w:num w:numId="248">
    <w:abstractNumId w:val="51"/>
    <w:lvlOverride w:ilvl="0">
      <w:startOverride w:val="1"/>
    </w:lvlOverride>
  </w:num>
  <w:num w:numId="249">
    <w:abstractNumId w:val="51"/>
  </w:num>
  <w:num w:numId="250">
    <w:abstractNumId w:val="55"/>
  </w:num>
  <w:num w:numId="251">
    <w:abstractNumId w:val="76"/>
  </w:num>
  <w:num w:numId="252">
    <w:abstractNumId w:val="55"/>
  </w:num>
  <w:num w:numId="253">
    <w:abstractNumId w:val="51"/>
  </w:num>
  <w:num w:numId="254">
    <w:abstractNumId w:val="55"/>
  </w:num>
  <w:num w:numId="255">
    <w:abstractNumId w:val="7"/>
  </w:num>
  <w:num w:numId="256">
    <w:abstractNumId w:val="55"/>
  </w:num>
  <w:num w:numId="257">
    <w:abstractNumId w:val="55"/>
  </w:num>
  <w:num w:numId="258">
    <w:abstractNumId w:val="60"/>
  </w:num>
  <w:num w:numId="259">
    <w:abstractNumId w:val="55"/>
  </w:num>
  <w:num w:numId="260">
    <w:abstractNumId w:val="55"/>
  </w:num>
  <w:num w:numId="261">
    <w:abstractNumId w:val="55"/>
  </w:num>
  <w:num w:numId="262">
    <w:abstractNumId w:val="55"/>
  </w:num>
  <w:num w:numId="263">
    <w:abstractNumId w:val="55"/>
  </w:num>
  <w:num w:numId="264">
    <w:abstractNumId w:val="72"/>
    <w:lvlOverride w:ilvl="0">
      <w:startOverride w:val="1"/>
    </w:lvlOverride>
  </w:num>
  <w:num w:numId="265">
    <w:abstractNumId w:val="72"/>
  </w:num>
  <w:num w:numId="266">
    <w:abstractNumId w:val="63"/>
  </w:num>
  <w:num w:numId="267">
    <w:abstractNumId w:val="50"/>
  </w:num>
  <w:num w:numId="268">
    <w:abstractNumId w:val="50"/>
    <w:lvlOverride w:ilvl="0">
      <w:startOverride w:val="1"/>
    </w:lvlOverride>
  </w:num>
  <w:num w:numId="269">
    <w:abstractNumId w:val="50"/>
  </w:num>
  <w:num w:numId="270">
    <w:abstractNumId w:val="50"/>
  </w:num>
  <w:num w:numId="271">
    <w:abstractNumId w:val="50"/>
  </w:num>
  <w:num w:numId="272">
    <w:abstractNumId w:val="50"/>
  </w:num>
  <w:num w:numId="273">
    <w:abstractNumId w:val="50"/>
  </w:num>
  <w:num w:numId="274">
    <w:abstractNumId w:val="50"/>
  </w:num>
  <w:num w:numId="275">
    <w:abstractNumId w:val="50"/>
    <w:lvlOverride w:ilvl="0">
      <w:startOverride w:val="1"/>
    </w:lvlOverride>
  </w:num>
  <w:num w:numId="276">
    <w:abstractNumId w:val="50"/>
  </w:num>
  <w:num w:numId="277">
    <w:abstractNumId w:val="50"/>
  </w:num>
  <w:num w:numId="278">
    <w:abstractNumId w:val="50"/>
    <w:lvlOverride w:ilvl="0">
      <w:startOverride w:val="1"/>
    </w:lvlOverride>
  </w:num>
  <w:num w:numId="279">
    <w:abstractNumId w:val="51"/>
  </w:num>
  <w:num w:numId="280">
    <w:abstractNumId w:val="51"/>
  </w:num>
  <w:num w:numId="281">
    <w:abstractNumId w:val="51"/>
  </w:num>
  <w:num w:numId="282">
    <w:abstractNumId w:val="51"/>
  </w:num>
  <w:num w:numId="283">
    <w:abstractNumId w:val="37"/>
  </w:num>
  <w:num w:numId="284">
    <w:abstractNumId w:val="50"/>
    <w:lvlOverride w:ilvl="0">
      <w:startOverride w:val="2"/>
    </w:lvlOverride>
  </w:num>
  <w:num w:numId="285">
    <w:abstractNumId w:val="51"/>
    <w:lvlOverride w:ilvl="0">
      <w:startOverride w:val="1"/>
    </w:lvlOverride>
  </w:num>
  <w:num w:numId="286">
    <w:abstractNumId w:val="51"/>
    <w:lvlOverride w:ilvl="0">
      <w:startOverride w:val="1"/>
    </w:lvlOverride>
  </w:num>
  <w:num w:numId="287">
    <w:abstractNumId w:val="50"/>
    <w:lvlOverride w:ilvl="0">
      <w:startOverride w:val="2"/>
    </w:lvlOverride>
  </w:num>
  <w:num w:numId="288">
    <w:abstractNumId w:val="50"/>
  </w:num>
  <w:num w:numId="289">
    <w:abstractNumId w:val="50"/>
  </w:num>
  <w:num w:numId="290">
    <w:abstractNumId w:val="1"/>
  </w:num>
  <w:num w:numId="291">
    <w:abstractNumId w:val="1"/>
  </w:num>
  <w:num w:numId="292">
    <w:abstractNumId w:val="1"/>
  </w:num>
  <w:num w:numId="293">
    <w:abstractNumId w:val="1"/>
  </w:num>
  <w:num w:numId="294">
    <w:abstractNumId w:val="1"/>
  </w:num>
  <w:num w:numId="295">
    <w:abstractNumId w:val="1"/>
  </w:num>
  <w:num w:numId="296">
    <w:abstractNumId w:val="50"/>
  </w:num>
  <w:num w:numId="297">
    <w:abstractNumId w:val="50"/>
  </w:num>
  <w:num w:numId="298">
    <w:abstractNumId w:val="17"/>
  </w:num>
  <w:num w:numId="299">
    <w:abstractNumId w:val="50"/>
  </w:num>
  <w:num w:numId="300">
    <w:abstractNumId w:val="50"/>
  </w:num>
  <w:num w:numId="301">
    <w:abstractNumId w:val="50"/>
  </w:num>
  <w:num w:numId="302">
    <w:abstractNumId w:val="50"/>
  </w:num>
  <w:num w:numId="303">
    <w:abstractNumId w:val="50"/>
  </w:num>
  <w:num w:numId="304">
    <w:abstractNumId w:val="50"/>
  </w:num>
  <w:num w:numId="305">
    <w:abstractNumId w:val="53"/>
  </w:num>
  <w:num w:numId="306">
    <w:abstractNumId w:val="50"/>
  </w:num>
  <w:num w:numId="307">
    <w:abstractNumId w:val="50"/>
  </w:num>
  <w:num w:numId="308">
    <w:abstractNumId w:val="50"/>
  </w:num>
  <w:num w:numId="309">
    <w:abstractNumId w:val="50"/>
  </w:num>
  <w:num w:numId="310">
    <w:abstractNumId w:val="50"/>
  </w:num>
  <w:num w:numId="311">
    <w:abstractNumId w:val="50"/>
  </w:num>
  <w:num w:numId="312">
    <w:abstractNumId w:val="57"/>
  </w:num>
  <w:num w:numId="313">
    <w:abstractNumId w:val="49"/>
  </w:num>
  <w:num w:numId="314">
    <w:abstractNumId w:val="57"/>
  </w:num>
  <w:num w:numId="315">
    <w:abstractNumId w:val="57"/>
  </w:num>
  <w:num w:numId="316">
    <w:abstractNumId w:val="57"/>
  </w:num>
  <w:num w:numId="317">
    <w:abstractNumId w:val="57"/>
  </w:num>
  <w:num w:numId="318">
    <w:abstractNumId w:val="57"/>
  </w:num>
  <w:num w:numId="319">
    <w:abstractNumId w:val="57"/>
  </w:num>
  <w:num w:numId="320">
    <w:abstractNumId w:val="57"/>
  </w:num>
  <w:num w:numId="321">
    <w:abstractNumId w:val="57"/>
  </w:num>
  <w:num w:numId="322">
    <w:abstractNumId w:val="57"/>
  </w:num>
  <w:num w:numId="323">
    <w:abstractNumId w:val="57"/>
  </w:num>
  <w:num w:numId="324">
    <w:abstractNumId w:val="51"/>
    <w:lvlOverride w:ilvl="0">
      <w:startOverride w:val="1"/>
    </w:lvlOverride>
  </w:num>
  <w:num w:numId="325">
    <w:abstractNumId w:val="57"/>
  </w:num>
  <w:num w:numId="326">
    <w:abstractNumId w:val="57"/>
  </w:num>
  <w:num w:numId="327">
    <w:abstractNumId w:val="57"/>
    <w:lvlOverride w:ilvl="0">
      <w:startOverride w:val="1"/>
    </w:lvlOverride>
  </w:num>
  <w:num w:numId="328">
    <w:abstractNumId w:val="57"/>
  </w:num>
  <w:num w:numId="329">
    <w:abstractNumId w:val="22"/>
  </w:num>
  <w:num w:numId="330">
    <w:abstractNumId w:val="57"/>
  </w:num>
  <w:num w:numId="331">
    <w:abstractNumId w:val="57"/>
  </w:num>
  <w:num w:numId="332">
    <w:abstractNumId w:val="28"/>
  </w:num>
  <w:num w:numId="333">
    <w:abstractNumId w:val="28"/>
    <w:lvlOverride w:ilvl="0">
      <w:startOverride w:val="1"/>
    </w:lvlOverride>
  </w:num>
  <w:num w:numId="334">
    <w:abstractNumId w:val="28"/>
  </w:num>
  <w:num w:numId="335">
    <w:abstractNumId w:val="47"/>
    <w:lvlOverride w:ilvl="0">
      <w:startOverride w:val="1"/>
    </w:lvlOverride>
  </w:num>
  <w:num w:numId="336">
    <w:abstractNumId w:val="47"/>
    <w:lvlOverride w:ilvl="0">
      <w:startOverride w:val="1"/>
    </w:lvlOverride>
  </w:num>
  <w:num w:numId="337">
    <w:abstractNumId w:val="2"/>
  </w:num>
  <w:num w:numId="338">
    <w:abstractNumId w:val="47"/>
    <w:lvlOverride w:ilvl="0">
      <w:startOverride w:val="2"/>
    </w:lvlOverride>
  </w:num>
  <w:num w:numId="339">
    <w:abstractNumId w:val="47"/>
    <w:lvlOverride w:ilvl="0">
      <w:startOverride w:val="2"/>
    </w:lvlOverride>
  </w:num>
  <w:num w:numId="340">
    <w:abstractNumId w:val="47"/>
    <w:lvlOverride w:ilvl="0">
      <w:startOverride w:val="1"/>
    </w:lvlOverride>
  </w:num>
  <w:num w:numId="341">
    <w:abstractNumId w:val="65"/>
  </w:num>
  <w:num w:numId="342">
    <w:abstractNumId w:val="59"/>
  </w:num>
  <w:num w:numId="343">
    <w:abstractNumId w:val="54"/>
  </w:num>
  <w:num w:numId="344">
    <w:abstractNumId w:val="62"/>
  </w:num>
  <w:num w:numId="345">
    <w:abstractNumId w:val="4"/>
  </w:num>
  <w:num w:numId="346">
    <w:abstractNumId w:val="75"/>
  </w:num>
  <w:num w:numId="347">
    <w:abstractNumId w:val="31"/>
  </w:num>
  <w:num w:numId="348">
    <w:abstractNumId w:val="44"/>
  </w:num>
  <w:num w:numId="349">
    <w:abstractNumId w:val="21"/>
  </w:num>
  <w:num w:numId="350">
    <w:abstractNumId w:val="14"/>
  </w:num>
  <w:num w:numId="351">
    <w:abstractNumId w:val="5"/>
  </w:num>
  <w:num w:numId="352">
    <w:abstractNumId w:val="24"/>
  </w:num>
  <w:num w:numId="353">
    <w:abstractNumId w:val="72"/>
  </w:num>
  <w:num w:numId="354">
    <w:abstractNumId w:val="40"/>
  </w:num>
  <w:num w:numId="355">
    <w:abstractNumId w:val="30"/>
  </w:num>
  <w:num w:numId="356">
    <w:abstractNumId w:val="31"/>
  </w:num>
  <w:num w:numId="357">
    <w:abstractNumId w:val="31"/>
  </w:num>
  <w:num w:numId="358">
    <w:abstractNumId w:val="29"/>
  </w:num>
  <w:num w:numId="359">
    <w:abstractNumId w:val="69"/>
  </w:num>
  <w:num w:numId="360">
    <w:abstractNumId w:val="19"/>
  </w:num>
  <w:num w:numId="361">
    <w:abstractNumId w:val="56"/>
  </w:num>
  <w:num w:numId="362">
    <w:abstractNumId w:val="3"/>
  </w:num>
  <w:num w:numId="363">
    <w:abstractNumId w:val="68"/>
  </w:num>
  <w:num w:numId="364">
    <w:abstractNumId w:val="18"/>
  </w:num>
  <w:num w:numId="365">
    <w:abstractNumId w:val="26"/>
  </w:num>
  <w:num w:numId="3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31"/>
  </w:num>
  <w:numIdMacAtCleanup w:val="3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50C"/>
    <w:rsid w:val="000040BD"/>
    <w:rsid w:val="00006EE9"/>
    <w:rsid w:val="00014266"/>
    <w:rsid w:val="00023B91"/>
    <w:rsid w:val="00027192"/>
    <w:rsid w:val="00032AA3"/>
    <w:rsid w:val="00033E1E"/>
    <w:rsid w:val="00035AFF"/>
    <w:rsid w:val="00042085"/>
    <w:rsid w:val="000443FC"/>
    <w:rsid w:val="00060F41"/>
    <w:rsid w:val="00062FE9"/>
    <w:rsid w:val="00063411"/>
    <w:rsid w:val="00064B0A"/>
    <w:rsid w:val="000679A3"/>
    <w:rsid w:val="000737A2"/>
    <w:rsid w:val="0008534F"/>
    <w:rsid w:val="00086166"/>
    <w:rsid w:val="00094652"/>
    <w:rsid w:val="000A6C5C"/>
    <w:rsid w:val="000B60A9"/>
    <w:rsid w:val="000B6BFA"/>
    <w:rsid w:val="000C0C1A"/>
    <w:rsid w:val="000C5591"/>
    <w:rsid w:val="000C7534"/>
    <w:rsid w:val="000E39EF"/>
    <w:rsid w:val="000F26A0"/>
    <w:rsid w:val="000F5E1B"/>
    <w:rsid w:val="00101C41"/>
    <w:rsid w:val="00102199"/>
    <w:rsid w:val="001039E5"/>
    <w:rsid w:val="00104039"/>
    <w:rsid w:val="001074B2"/>
    <w:rsid w:val="00110149"/>
    <w:rsid w:val="00116E26"/>
    <w:rsid w:val="001245C3"/>
    <w:rsid w:val="00126EC2"/>
    <w:rsid w:val="0013045F"/>
    <w:rsid w:val="00130B0F"/>
    <w:rsid w:val="00130FA8"/>
    <w:rsid w:val="001311A0"/>
    <w:rsid w:val="00145856"/>
    <w:rsid w:val="00150B3B"/>
    <w:rsid w:val="00172B0E"/>
    <w:rsid w:val="001777C9"/>
    <w:rsid w:val="00185284"/>
    <w:rsid w:val="0018654A"/>
    <w:rsid w:val="0019164A"/>
    <w:rsid w:val="0019550C"/>
    <w:rsid w:val="001A281D"/>
    <w:rsid w:val="001A66C9"/>
    <w:rsid w:val="001B1808"/>
    <w:rsid w:val="001B1B3A"/>
    <w:rsid w:val="001B38C2"/>
    <w:rsid w:val="001B3F71"/>
    <w:rsid w:val="001B444A"/>
    <w:rsid w:val="001B59A9"/>
    <w:rsid w:val="001C54E9"/>
    <w:rsid w:val="001D0232"/>
    <w:rsid w:val="001D4B8B"/>
    <w:rsid w:val="001D7A9D"/>
    <w:rsid w:val="001F1CCB"/>
    <w:rsid w:val="002002FE"/>
    <w:rsid w:val="002041F2"/>
    <w:rsid w:val="0020423B"/>
    <w:rsid w:val="00204C8C"/>
    <w:rsid w:val="00205D30"/>
    <w:rsid w:val="00206C34"/>
    <w:rsid w:val="00217FE0"/>
    <w:rsid w:val="00220E33"/>
    <w:rsid w:val="00226BC2"/>
    <w:rsid w:val="00227A31"/>
    <w:rsid w:val="002339FB"/>
    <w:rsid w:val="002369BB"/>
    <w:rsid w:val="00240CC0"/>
    <w:rsid w:val="002423C0"/>
    <w:rsid w:val="00245E01"/>
    <w:rsid w:val="0025087B"/>
    <w:rsid w:val="002521E0"/>
    <w:rsid w:val="002616C8"/>
    <w:rsid w:val="00262F94"/>
    <w:rsid w:val="002709DD"/>
    <w:rsid w:val="00273D0E"/>
    <w:rsid w:val="0028039E"/>
    <w:rsid w:val="0028047D"/>
    <w:rsid w:val="002808C3"/>
    <w:rsid w:val="002828F3"/>
    <w:rsid w:val="00282BBB"/>
    <w:rsid w:val="00295994"/>
    <w:rsid w:val="002A3B34"/>
    <w:rsid w:val="002A62FC"/>
    <w:rsid w:val="002A6B4E"/>
    <w:rsid w:val="002B0434"/>
    <w:rsid w:val="002B0C02"/>
    <w:rsid w:val="002B74C0"/>
    <w:rsid w:val="002C0F1D"/>
    <w:rsid w:val="002C54BC"/>
    <w:rsid w:val="002C77DE"/>
    <w:rsid w:val="002D0D7F"/>
    <w:rsid w:val="002D0E4E"/>
    <w:rsid w:val="002D3D9D"/>
    <w:rsid w:val="002D6620"/>
    <w:rsid w:val="002D7246"/>
    <w:rsid w:val="002D7D8A"/>
    <w:rsid w:val="002E2CCD"/>
    <w:rsid w:val="002E6B2A"/>
    <w:rsid w:val="002F0D65"/>
    <w:rsid w:val="002F2BCA"/>
    <w:rsid w:val="002F3974"/>
    <w:rsid w:val="002F3E69"/>
    <w:rsid w:val="002F60C8"/>
    <w:rsid w:val="002F6FC7"/>
    <w:rsid w:val="00306902"/>
    <w:rsid w:val="00307674"/>
    <w:rsid w:val="003171E8"/>
    <w:rsid w:val="003200AA"/>
    <w:rsid w:val="00321AAA"/>
    <w:rsid w:val="0033030C"/>
    <w:rsid w:val="00332B32"/>
    <w:rsid w:val="0034070E"/>
    <w:rsid w:val="003445F1"/>
    <w:rsid w:val="00351883"/>
    <w:rsid w:val="00352828"/>
    <w:rsid w:val="00355A71"/>
    <w:rsid w:val="00361D34"/>
    <w:rsid w:val="00362877"/>
    <w:rsid w:val="0036554D"/>
    <w:rsid w:val="00365688"/>
    <w:rsid w:val="00371F04"/>
    <w:rsid w:val="0037250A"/>
    <w:rsid w:val="003768FE"/>
    <w:rsid w:val="00377082"/>
    <w:rsid w:val="00377B83"/>
    <w:rsid w:val="00384037"/>
    <w:rsid w:val="003859C2"/>
    <w:rsid w:val="00397AE5"/>
    <w:rsid w:val="003A74DA"/>
    <w:rsid w:val="003B1104"/>
    <w:rsid w:val="003B20BF"/>
    <w:rsid w:val="003B70EB"/>
    <w:rsid w:val="003C47FF"/>
    <w:rsid w:val="003C5426"/>
    <w:rsid w:val="003D3F5E"/>
    <w:rsid w:val="003E673A"/>
    <w:rsid w:val="003F0694"/>
    <w:rsid w:val="003F3BE2"/>
    <w:rsid w:val="00410A68"/>
    <w:rsid w:val="0041576D"/>
    <w:rsid w:val="00416951"/>
    <w:rsid w:val="00426D43"/>
    <w:rsid w:val="004276D0"/>
    <w:rsid w:val="00437071"/>
    <w:rsid w:val="00441F54"/>
    <w:rsid w:val="0044340A"/>
    <w:rsid w:val="0044706B"/>
    <w:rsid w:val="004540EF"/>
    <w:rsid w:val="00457E28"/>
    <w:rsid w:val="0046024C"/>
    <w:rsid w:val="00462B0D"/>
    <w:rsid w:val="00467FEC"/>
    <w:rsid w:val="004743DC"/>
    <w:rsid w:val="004802DB"/>
    <w:rsid w:val="0048136B"/>
    <w:rsid w:val="004855BB"/>
    <w:rsid w:val="00486F3A"/>
    <w:rsid w:val="00494ED2"/>
    <w:rsid w:val="00496800"/>
    <w:rsid w:val="00496F4B"/>
    <w:rsid w:val="00497766"/>
    <w:rsid w:val="004A696C"/>
    <w:rsid w:val="004B0D09"/>
    <w:rsid w:val="004B26F8"/>
    <w:rsid w:val="004B3318"/>
    <w:rsid w:val="004C3B94"/>
    <w:rsid w:val="004C42AA"/>
    <w:rsid w:val="004C6EE0"/>
    <w:rsid w:val="004D0C20"/>
    <w:rsid w:val="004D3F0B"/>
    <w:rsid w:val="004D59E8"/>
    <w:rsid w:val="004D654D"/>
    <w:rsid w:val="004E62DC"/>
    <w:rsid w:val="004F2F54"/>
    <w:rsid w:val="00512BA2"/>
    <w:rsid w:val="00516DDE"/>
    <w:rsid w:val="005223EA"/>
    <w:rsid w:val="00524A40"/>
    <w:rsid w:val="00524FEB"/>
    <w:rsid w:val="005260E5"/>
    <w:rsid w:val="0052791D"/>
    <w:rsid w:val="005305FF"/>
    <w:rsid w:val="00531917"/>
    <w:rsid w:val="005319DF"/>
    <w:rsid w:val="00544EA7"/>
    <w:rsid w:val="005454A3"/>
    <w:rsid w:val="00545CDB"/>
    <w:rsid w:val="00555668"/>
    <w:rsid w:val="00557656"/>
    <w:rsid w:val="00563082"/>
    <w:rsid w:val="005672A4"/>
    <w:rsid w:val="005706F5"/>
    <w:rsid w:val="0057492D"/>
    <w:rsid w:val="00577087"/>
    <w:rsid w:val="00583024"/>
    <w:rsid w:val="00583A09"/>
    <w:rsid w:val="00597995"/>
    <w:rsid w:val="005A60C1"/>
    <w:rsid w:val="005B028C"/>
    <w:rsid w:val="005B215D"/>
    <w:rsid w:val="005B4C8C"/>
    <w:rsid w:val="005C3697"/>
    <w:rsid w:val="005C3B2D"/>
    <w:rsid w:val="005D3A6B"/>
    <w:rsid w:val="005D40E8"/>
    <w:rsid w:val="005D61E1"/>
    <w:rsid w:val="005E5891"/>
    <w:rsid w:val="005F056C"/>
    <w:rsid w:val="005F46FF"/>
    <w:rsid w:val="005F4EE5"/>
    <w:rsid w:val="005F5A2A"/>
    <w:rsid w:val="00611595"/>
    <w:rsid w:val="006209F5"/>
    <w:rsid w:val="00621CC6"/>
    <w:rsid w:val="0062327A"/>
    <w:rsid w:val="00630EE5"/>
    <w:rsid w:val="006311CC"/>
    <w:rsid w:val="0063688B"/>
    <w:rsid w:val="00641FF5"/>
    <w:rsid w:val="006428DE"/>
    <w:rsid w:val="00650A9E"/>
    <w:rsid w:val="00655260"/>
    <w:rsid w:val="0066183D"/>
    <w:rsid w:val="0066520D"/>
    <w:rsid w:val="0066668F"/>
    <w:rsid w:val="0067047E"/>
    <w:rsid w:val="00671002"/>
    <w:rsid w:val="00673060"/>
    <w:rsid w:val="006735D7"/>
    <w:rsid w:val="0067413E"/>
    <w:rsid w:val="0068552B"/>
    <w:rsid w:val="00693A88"/>
    <w:rsid w:val="006A396B"/>
    <w:rsid w:val="006A5552"/>
    <w:rsid w:val="006C2355"/>
    <w:rsid w:val="006C4952"/>
    <w:rsid w:val="006C6589"/>
    <w:rsid w:val="006D15C4"/>
    <w:rsid w:val="006D41E7"/>
    <w:rsid w:val="006D7632"/>
    <w:rsid w:val="006E7E94"/>
    <w:rsid w:val="006F137A"/>
    <w:rsid w:val="006F61B7"/>
    <w:rsid w:val="00704D85"/>
    <w:rsid w:val="007111A5"/>
    <w:rsid w:val="0071153B"/>
    <w:rsid w:val="0071398A"/>
    <w:rsid w:val="007147BC"/>
    <w:rsid w:val="007163EB"/>
    <w:rsid w:val="00724DBE"/>
    <w:rsid w:val="00740427"/>
    <w:rsid w:val="007423F9"/>
    <w:rsid w:val="00743006"/>
    <w:rsid w:val="00744BAF"/>
    <w:rsid w:val="00750FC7"/>
    <w:rsid w:val="00750FD4"/>
    <w:rsid w:val="00751F3E"/>
    <w:rsid w:val="0075565E"/>
    <w:rsid w:val="00765800"/>
    <w:rsid w:val="00781B2E"/>
    <w:rsid w:val="00794775"/>
    <w:rsid w:val="00795D95"/>
    <w:rsid w:val="007A0098"/>
    <w:rsid w:val="007A01AA"/>
    <w:rsid w:val="007A0D74"/>
    <w:rsid w:val="007B450D"/>
    <w:rsid w:val="007B781E"/>
    <w:rsid w:val="007C0F54"/>
    <w:rsid w:val="007C53A8"/>
    <w:rsid w:val="007D070A"/>
    <w:rsid w:val="007D36E9"/>
    <w:rsid w:val="007D5FBA"/>
    <w:rsid w:val="007E3DA6"/>
    <w:rsid w:val="007F3694"/>
    <w:rsid w:val="00807FF7"/>
    <w:rsid w:val="00812306"/>
    <w:rsid w:val="008166A6"/>
    <w:rsid w:val="00827056"/>
    <w:rsid w:val="00834406"/>
    <w:rsid w:val="008412D4"/>
    <w:rsid w:val="00843C80"/>
    <w:rsid w:val="008458E3"/>
    <w:rsid w:val="0084642E"/>
    <w:rsid w:val="0084741E"/>
    <w:rsid w:val="0085342F"/>
    <w:rsid w:val="008546A9"/>
    <w:rsid w:val="008570BC"/>
    <w:rsid w:val="008621BF"/>
    <w:rsid w:val="00866850"/>
    <w:rsid w:val="00873867"/>
    <w:rsid w:val="0087406C"/>
    <w:rsid w:val="0087572E"/>
    <w:rsid w:val="00876A04"/>
    <w:rsid w:val="008936B3"/>
    <w:rsid w:val="0089707A"/>
    <w:rsid w:val="008A099D"/>
    <w:rsid w:val="008A3606"/>
    <w:rsid w:val="008A4E60"/>
    <w:rsid w:val="008A5731"/>
    <w:rsid w:val="008B3F3E"/>
    <w:rsid w:val="008B6A10"/>
    <w:rsid w:val="008B6C40"/>
    <w:rsid w:val="008B7F53"/>
    <w:rsid w:val="008D128C"/>
    <w:rsid w:val="008E0329"/>
    <w:rsid w:val="008E1890"/>
    <w:rsid w:val="008E295D"/>
    <w:rsid w:val="008F36E8"/>
    <w:rsid w:val="00910484"/>
    <w:rsid w:val="00914F1C"/>
    <w:rsid w:val="009205EC"/>
    <w:rsid w:val="00927E27"/>
    <w:rsid w:val="00944990"/>
    <w:rsid w:val="0096501A"/>
    <w:rsid w:val="00965C45"/>
    <w:rsid w:val="00965FAB"/>
    <w:rsid w:val="009665D1"/>
    <w:rsid w:val="00967181"/>
    <w:rsid w:val="00970E6A"/>
    <w:rsid w:val="0097232E"/>
    <w:rsid w:val="009730E8"/>
    <w:rsid w:val="009737F7"/>
    <w:rsid w:val="0097745A"/>
    <w:rsid w:val="00983239"/>
    <w:rsid w:val="00992713"/>
    <w:rsid w:val="00992E24"/>
    <w:rsid w:val="009B25B5"/>
    <w:rsid w:val="009B4F82"/>
    <w:rsid w:val="009B603E"/>
    <w:rsid w:val="009B6D82"/>
    <w:rsid w:val="009B6DDA"/>
    <w:rsid w:val="009B797F"/>
    <w:rsid w:val="009D13D0"/>
    <w:rsid w:val="009D2CDA"/>
    <w:rsid w:val="009E20A7"/>
    <w:rsid w:val="009E5ADA"/>
    <w:rsid w:val="009E7B04"/>
    <w:rsid w:val="009F2390"/>
    <w:rsid w:val="00A0021F"/>
    <w:rsid w:val="00A00F40"/>
    <w:rsid w:val="00A013AF"/>
    <w:rsid w:val="00A01CB4"/>
    <w:rsid w:val="00A02C1D"/>
    <w:rsid w:val="00A05362"/>
    <w:rsid w:val="00A05E45"/>
    <w:rsid w:val="00A1001A"/>
    <w:rsid w:val="00A108FA"/>
    <w:rsid w:val="00A12751"/>
    <w:rsid w:val="00A13317"/>
    <w:rsid w:val="00A22D4E"/>
    <w:rsid w:val="00A230ED"/>
    <w:rsid w:val="00A3129A"/>
    <w:rsid w:val="00A3467A"/>
    <w:rsid w:val="00A349E7"/>
    <w:rsid w:val="00A45A64"/>
    <w:rsid w:val="00A56325"/>
    <w:rsid w:val="00A56AAB"/>
    <w:rsid w:val="00A56DEC"/>
    <w:rsid w:val="00A6021A"/>
    <w:rsid w:val="00A60ACF"/>
    <w:rsid w:val="00A62F80"/>
    <w:rsid w:val="00A6771C"/>
    <w:rsid w:val="00A72038"/>
    <w:rsid w:val="00A742F1"/>
    <w:rsid w:val="00A744B8"/>
    <w:rsid w:val="00A871FF"/>
    <w:rsid w:val="00AA1DE8"/>
    <w:rsid w:val="00AA4EDD"/>
    <w:rsid w:val="00AB3C25"/>
    <w:rsid w:val="00AB6319"/>
    <w:rsid w:val="00AC28BE"/>
    <w:rsid w:val="00AC51DB"/>
    <w:rsid w:val="00AD18EF"/>
    <w:rsid w:val="00AD3390"/>
    <w:rsid w:val="00AD33B8"/>
    <w:rsid w:val="00AD3EDD"/>
    <w:rsid w:val="00AD68FC"/>
    <w:rsid w:val="00AE5BAA"/>
    <w:rsid w:val="00AE7601"/>
    <w:rsid w:val="00AF0947"/>
    <w:rsid w:val="00AF20F3"/>
    <w:rsid w:val="00AF27C7"/>
    <w:rsid w:val="00B12627"/>
    <w:rsid w:val="00B20BB4"/>
    <w:rsid w:val="00B2380D"/>
    <w:rsid w:val="00B23C49"/>
    <w:rsid w:val="00B26D15"/>
    <w:rsid w:val="00B309EC"/>
    <w:rsid w:val="00B33810"/>
    <w:rsid w:val="00B42499"/>
    <w:rsid w:val="00B5296B"/>
    <w:rsid w:val="00B5653A"/>
    <w:rsid w:val="00B61A11"/>
    <w:rsid w:val="00B649DD"/>
    <w:rsid w:val="00B66BAA"/>
    <w:rsid w:val="00B708C1"/>
    <w:rsid w:val="00B77338"/>
    <w:rsid w:val="00B813E6"/>
    <w:rsid w:val="00B81EF6"/>
    <w:rsid w:val="00B834B7"/>
    <w:rsid w:val="00B90F2D"/>
    <w:rsid w:val="00B92F22"/>
    <w:rsid w:val="00B95357"/>
    <w:rsid w:val="00B96C26"/>
    <w:rsid w:val="00BA0DAA"/>
    <w:rsid w:val="00BA20FE"/>
    <w:rsid w:val="00BB5CF1"/>
    <w:rsid w:val="00BB650C"/>
    <w:rsid w:val="00BB6EC0"/>
    <w:rsid w:val="00BC2BE7"/>
    <w:rsid w:val="00BC32FC"/>
    <w:rsid w:val="00BC3715"/>
    <w:rsid w:val="00BC3B6D"/>
    <w:rsid w:val="00BD596B"/>
    <w:rsid w:val="00BD69D6"/>
    <w:rsid w:val="00BD72FB"/>
    <w:rsid w:val="00BE011E"/>
    <w:rsid w:val="00BE09D4"/>
    <w:rsid w:val="00BE38CA"/>
    <w:rsid w:val="00BE5585"/>
    <w:rsid w:val="00BF48A7"/>
    <w:rsid w:val="00C014C9"/>
    <w:rsid w:val="00C02377"/>
    <w:rsid w:val="00C02F49"/>
    <w:rsid w:val="00C122F4"/>
    <w:rsid w:val="00C13A8D"/>
    <w:rsid w:val="00C166C3"/>
    <w:rsid w:val="00C17DDF"/>
    <w:rsid w:val="00C21E4F"/>
    <w:rsid w:val="00C2709A"/>
    <w:rsid w:val="00C35965"/>
    <w:rsid w:val="00C413E0"/>
    <w:rsid w:val="00C42142"/>
    <w:rsid w:val="00C46416"/>
    <w:rsid w:val="00C47626"/>
    <w:rsid w:val="00C52D6F"/>
    <w:rsid w:val="00C54F8A"/>
    <w:rsid w:val="00C56172"/>
    <w:rsid w:val="00C638DF"/>
    <w:rsid w:val="00C64B44"/>
    <w:rsid w:val="00C716C8"/>
    <w:rsid w:val="00C7594F"/>
    <w:rsid w:val="00C90614"/>
    <w:rsid w:val="00C974B3"/>
    <w:rsid w:val="00CA0B96"/>
    <w:rsid w:val="00CA305B"/>
    <w:rsid w:val="00CA59EA"/>
    <w:rsid w:val="00CA6920"/>
    <w:rsid w:val="00CA70D5"/>
    <w:rsid w:val="00CA7A03"/>
    <w:rsid w:val="00CB2453"/>
    <w:rsid w:val="00CC1CF6"/>
    <w:rsid w:val="00CC476D"/>
    <w:rsid w:val="00CC521C"/>
    <w:rsid w:val="00CD187F"/>
    <w:rsid w:val="00CD2794"/>
    <w:rsid w:val="00CD7B8C"/>
    <w:rsid w:val="00CE020E"/>
    <w:rsid w:val="00CE04BC"/>
    <w:rsid w:val="00CE1B3A"/>
    <w:rsid w:val="00CE1D87"/>
    <w:rsid w:val="00CE5F5D"/>
    <w:rsid w:val="00CF03DB"/>
    <w:rsid w:val="00CF39ED"/>
    <w:rsid w:val="00CF5893"/>
    <w:rsid w:val="00CF5BDF"/>
    <w:rsid w:val="00CF6672"/>
    <w:rsid w:val="00D06CDC"/>
    <w:rsid w:val="00D100D1"/>
    <w:rsid w:val="00D13C90"/>
    <w:rsid w:val="00D144F1"/>
    <w:rsid w:val="00D15088"/>
    <w:rsid w:val="00D170F2"/>
    <w:rsid w:val="00D2190F"/>
    <w:rsid w:val="00D23885"/>
    <w:rsid w:val="00D24E4D"/>
    <w:rsid w:val="00D3113C"/>
    <w:rsid w:val="00D354C0"/>
    <w:rsid w:val="00D35EC7"/>
    <w:rsid w:val="00D375DB"/>
    <w:rsid w:val="00D41536"/>
    <w:rsid w:val="00D434A6"/>
    <w:rsid w:val="00D47E88"/>
    <w:rsid w:val="00D5136A"/>
    <w:rsid w:val="00D575DF"/>
    <w:rsid w:val="00D61220"/>
    <w:rsid w:val="00D63E71"/>
    <w:rsid w:val="00D66989"/>
    <w:rsid w:val="00D66AED"/>
    <w:rsid w:val="00D679F9"/>
    <w:rsid w:val="00D67F01"/>
    <w:rsid w:val="00D70F28"/>
    <w:rsid w:val="00D74084"/>
    <w:rsid w:val="00D76FEB"/>
    <w:rsid w:val="00D81BAD"/>
    <w:rsid w:val="00D857B2"/>
    <w:rsid w:val="00D8743A"/>
    <w:rsid w:val="00D9331D"/>
    <w:rsid w:val="00DA1006"/>
    <w:rsid w:val="00DA260F"/>
    <w:rsid w:val="00DA5924"/>
    <w:rsid w:val="00DA5FD9"/>
    <w:rsid w:val="00DA6AB4"/>
    <w:rsid w:val="00DA7E1C"/>
    <w:rsid w:val="00DB1FE9"/>
    <w:rsid w:val="00DB3BF5"/>
    <w:rsid w:val="00DC2EEA"/>
    <w:rsid w:val="00DC4297"/>
    <w:rsid w:val="00DC6306"/>
    <w:rsid w:val="00DC6685"/>
    <w:rsid w:val="00DC7D5D"/>
    <w:rsid w:val="00DD5F08"/>
    <w:rsid w:val="00DD6774"/>
    <w:rsid w:val="00DE000A"/>
    <w:rsid w:val="00DE5ECB"/>
    <w:rsid w:val="00DF59C3"/>
    <w:rsid w:val="00DF71AC"/>
    <w:rsid w:val="00E127AD"/>
    <w:rsid w:val="00E27F29"/>
    <w:rsid w:val="00E303C1"/>
    <w:rsid w:val="00E316DC"/>
    <w:rsid w:val="00E33997"/>
    <w:rsid w:val="00E413ED"/>
    <w:rsid w:val="00E507DF"/>
    <w:rsid w:val="00E51F22"/>
    <w:rsid w:val="00E56A7A"/>
    <w:rsid w:val="00E60002"/>
    <w:rsid w:val="00E75D3F"/>
    <w:rsid w:val="00E85E8A"/>
    <w:rsid w:val="00E90818"/>
    <w:rsid w:val="00E95BE6"/>
    <w:rsid w:val="00EA3691"/>
    <w:rsid w:val="00EA61B4"/>
    <w:rsid w:val="00EB0847"/>
    <w:rsid w:val="00EB1DA8"/>
    <w:rsid w:val="00EC12CE"/>
    <w:rsid w:val="00EC1436"/>
    <w:rsid w:val="00EC1552"/>
    <w:rsid w:val="00EC1BDD"/>
    <w:rsid w:val="00EC34E8"/>
    <w:rsid w:val="00EC512B"/>
    <w:rsid w:val="00ED1C02"/>
    <w:rsid w:val="00ED458B"/>
    <w:rsid w:val="00EE0CF7"/>
    <w:rsid w:val="00EE6EA0"/>
    <w:rsid w:val="00EF27A5"/>
    <w:rsid w:val="00EF2DA8"/>
    <w:rsid w:val="00F00558"/>
    <w:rsid w:val="00F03E13"/>
    <w:rsid w:val="00F044F9"/>
    <w:rsid w:val="00F07D04"/>
    <w:rsid w:val="00F17906"/>
    <w:rsid w:val="00F22CE3"/>
    <w:rsid w:val="00F23887"/>
    <w:rsid w:val="00F35B1D"/>
    <w:rsid w:val="00F42CD4"/>
    <w:rsid w:val="00F552E9"/>
    <w:rsid w:val="00F562E4"/>
    <w:rsid w:val="00F5676A"/>
    <w:rsid w:val="00F5763E"/>
    <w:rsid w:val="00F5794F"/>
    <w:rsid w:val="00F60BF2"/>
    <w:rsid w:val="00F62A59"/>
    <w:rsid w:val="00F726D2"/>
    <w:rsid w:val="00F801B2"/>
    <w:rsid w:val="00F81F31"/>
    <w:rsid w:val="00F84521"/>
    <w:rsid w:val="00F92FDC"/>
    <w:rsid w:val="00FA1601"/>
    <w:rsid w:val="00FA54B2"/>
    <w:rsid w:val="00FB0098"/>
    <w:rsid w:val="00FB01C5"/>
    <w:rsid w:val="00FB5CFE"/>
    <w:rsid w:val="00FC4202"/>
    <w:rsid w:val="00FC4673"/>
    <w:rsid w:val="00FD241F"/>
    <w:rsid w:val="00FD3957"/>
    <w:rsid w:val="00FD4A3C"/>
    <w:rsid w:val="00FD6231"/>
    <w:rsid w:val="00FE19D2"/>
    <w:rsid w:val="00FE3294"/>
    <w:rsid w:val="00FE4DB5"/>
    <w:rsid w:val="00FF18D4"/>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7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0C1"/>
    <w:pPr>
      <w:spacing w:after="120" w:line="240" w:lineRule="auto"/>
    </w:pPr>
    <w:rPr>
      <w:rFonts w:ascii="Calibri" w:eastAsia="Calibri" w:hAnsi="Calibri" w:cs="Calibri"/>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5A60C1"/>
    <w:pPr>
      <w:keepNext/>
      <w:numPr>
        <w:ilvl w:val="1"/>
        <w:numId w:val="3"/>
      </w:numPr>
      <w:spacing w:before="240" w:after="60"/>
      <w:ind w:left="567"/>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5A60C1"/>
    <w:pPr>
      <w:numPr>
        <w:ilvl w:val="2"/>
      </w:numPr>
      <w:ind w:left="709"/>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5A60C1"/>
    <w:pPr>
      <w:keepNext/>
      <w:keepLines/>
      <w:numPr>
        <w:ilvl w:val="3"/>
        <w:numId w:val="3"/>
      </w:numPr>
      <w:spacing w:before="200"/>
      <w:ind w:left="862" w:hanging="862"/>
      <w:outlineLvl w:val="4"/>
    </w:pPr>
    <w:rPr>
      <w:rFonts w:asciiTheme="minorHAnsi" w:eastAsiaTheme="majorEastAsia" w:hAnsiTheme="minorHAnsi" w:cstheme="majorBidi"/>
      <w:b/>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0C1"/>
    <w:pPr>
      <w:tabs>
        <w:tab w:val="center" w:pos="4513"/>
        <w:tab w:val="right" w:pos="9026"/>
      </w:tabs>
      <w:spacing w:after="0"/>
    </w:pPr>
    <w:rPr>
      <w:sz w:val="20"/>
      <w:szCs w:val="20"/>
    </w:rPr>
  </w:style>
  <w:style w:type="character" w:customStyle="1" w:styleId="HeaderChar">
    <w:name w:val="Header Char"/>
    <w:basedOn w:val="DefaultParagraphFont"/>
    <w:link w:val="Header"/>
    <w:uiPriority w:val="99"/>
    <w:rsid w:val="00743006"/>
    <w:rPr>
      <w:rFonts w:ascii="Calibri" w:eastAsia="Calibri" w:hAnsi="Calibri" w:cs="Calibri"/>
      <w:kern w:val="40"/>
      <w:sz w:val="20"/>
      <w:szCs w:val="20"/>
    </w:rPr>
  </w:style>
  <w:style w:type="paragraph" w:styleId="Footer">
    <w:name w:val="footer"/>
    <w:basedOn w:val="Normal"/>
    <w:link w:val="FooterChar"/>
    <w:uiPriority w:val="99"/>
    <w:unhideWhenUsed/>
    <w:qFormat/>
    <w:rsid w:val="005A60C1"/>
    <w:pPr>
      <w:tabs>
        <w:tab w:val="center" w:pos="5233"/>
        <w:tab w:val="right" w:pos="10467"/>
      </w:tabs>
      <w:spacing w:after="0"/>
    </w:pPr>
    <w:rPr>
      <w:sz w:val="18"/>
    </w:rPr>
  </w:style>
  <w:style w:type="character" w:customStyle="1" w:styleId="FooterChar">
    <w:name w:val="Footer Char"/>
    <w:basedOn w:val="DefaultParagraphFont"/>
    <w:link w:val="Footer"/>
    <w:uiPriority w:val="99"/>
    <w:rsid w:val="00743006"/>
    <w:rPr>
      <w:rFonts w:ascii="Calibri" w:eastAsia="Calibri" w:hAnsi="Calibri" w:cs="Calibri"/>
      <w:kern w:val="40"/>
      <w:sz w:val="18"/>
    </w:rPr>
  </w:style>
  <w:style w:type="character" w:customStyle="1" w:styleId="Heading1Char">
    <w:name w:val="Heading 1 Char"/>
    <w:aliases w:val="Policy Name Char"/>
    <w:basedOn w:val="DefaultParagraphFont"/>
    <w:link w:val="Heading1"/>
    <w:uiPriority w:val="9"/>
    <w:rsid w:val="00743006"/>
    <w:rPr>
      <w:rFonts w:ascii="Calibri" w:eastAsia="SimSun" w:hAnsi="Calibri" w:cs="Angsana New"/>
      <w:b/>
      <w:bCs/>
      <w:color w:val="404040"/>
      <w:kern w:val="32"/>
      <w:sz w:val="52"/>
      <w:szCs w:val="52"/>
    </w:rPr>
  </w:style>
  <w:style w:type="character" w:customStyle="1" w:styleId="Heading2Char">
    <w:name w:val="Heading 2 Char"/>
    <w:aliases w:val="Content Heading 1 Section name Char"/>
    <w:basedOn w:val="DefaultParagraphFont"/>
    <w:link w:val="Heading2"/>
    <w:uiPriority w:val="9"/>
    <w:rsid w:val="00743006"/>
    <w:rPr>
      <w:rFonts w:ascii="Calibri" w:eastAsia="SimSun" w:hAnsi="Calibri" w:cs="Angsana New"/>
      <w:b/>
      <w:bCs/>
      <w:iCs/>
      <w:color w:val="463A70"/>
      <w:kern w:val="40"/>
      <w:sz w:val="40"/>
      <w:szCs w:val="48"/>
    </w:rPr>
  </w:style>
  <w:style w:type="character" w:customStyle="1" w:styleId="Heading3Char">
    <w:name w:val="Heading 3 Char"/>
    <w:aliases w:val="Content Heading 2 Char"/>
    <w:basedOn w:val="DefaultParagraphFont"/>
    <w:link w:val="Heading3"/>
    <w:uiPriority w:val="9"/>
    <w:rsid w:val="00295994"/>
    <w:rPr>
      <w:rFonts w:ascii="Calibri" w:eastAsia="SimSun" w:hAnsi="Calibri" w:cs="Angsana New"/>
      <w:b/>
      <w:bCs/>
      <w:color w:val="404040"/>
      <w:kern w:val="40"/>
      <w:sz w:val="32"/>
      <w:szCs w:val="32"/>
    </w:rPr>
  </w:style>
  <w:style w:type="character" w:customStyle="1" w:styleId="Heading4Char">
    <w:name w:val="Heading 4 Char"/>
    <w:aliases w:val="Content Heading 3 Sub-heading Char"/>
    <w:basedOn w:val="DefaultParagraphFont"/>
    <w:link w:val="Heading4"/>
    <w:uiPriority w:val="9"/>
    <w:rsid w:val="00E303C1"/>
    <w:rPr>
      <w:rFonts w:ascii="Calibri" w:eastAsia="SimSun" w:hAnsi="Calibri" w:cs="Angsana New"/>
      <w:b/>
      <w:bCs/>
      <w:color w:val="595959" w:themeColor="text1" w:themeTint="A6"/>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Normal"/>
    <w:qFormat/>
    <w:rsid w:val="005A60C1"/>
    <w:pPr>
      <w:numPr>
        <w:numId w:val="347"/>
      </w:numPr>
      <w:ind w:left="340"/>
    </w:pPr>
  </w:style>
  <w:style w:type="paragraph" w:styleId="ListBullet2">
    <w:name w:val="List Bullet 2"/>
    <w:basedOn w:val="ListBullet"/>
    <w:uiPriority w:val="99"/>
    <w:unhideWhenUsed/>
    <w:qFormat/>
    <w:rsid w:val="005A60C1"/>
    <w:pPr>
      <w:numPr>
        <w:numId w:val="342"/>
      </w:numPr>
      <w:contextualSpacing w:val="0"/>
    </w:pPr>
  </w:style>
  <w:style w:type="paragraph" w:styleId="ListBullet">
    <w:name w:val="List Bullet"/>
    <w:aliases w:val="List Bullet 1"/>
    <w:basedOn w:val="Normal"/>
    <w:uiPriority w:val="99"/>
    <w:unhideWhenUsed/>
    <w:rsid w:val="00B26D15"/>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5A60C1"/>
    <w:pPr>
      <w:autoSpaceDE w:val="0"/>
      <w:autoSpaceDN w:val="0"/>
      <w:adjustRightInd w:val="0"/>
      <w:spacing w:after="0" w:line="288" w:lineRule="auto"/>
      <w:textAlignment w:val="center"/>
    </w:pPr>
    <w:rPr>
      <w:rFonts w:ascii="Times New Roman" w:eastAsiaTheme="minorHAnsi" w:hAnsi="Times New Roman" w:cs="Times New Roman"/>
      <w:color w:val="0000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B26D15"/>
    <w:pPr>
      <w:numPr>
        <w:numId w:val="343"/>
      </w:numPr>
    </w:pPr>
  </w:style>
  <w:style w:type="paragraph" w:styleId="ListBullet4">
    <w:name w:val="List Bullet 4"/>
    <w:basedOn w:val="Normal"/>
    <w:uiPriority w:val="99"/>
    <w:unhideWhenUsed/>
    <w:qFormat/>
    <w:rsid w:val="00B26D15"/>
    <w:pPr>
      <w:numPr>
        <w:numId w:val="344"/>
      </w:numPr>
    </w:pPr>
  </w:style>
  <w:style w:type="character" w:customStyle="1" w:styleId="Heading5Char">
    <w:name w:val="Heading 5 Char"/>
    <w:aliases w:val="Content heading 4 Minor heading Char"/>
    <w:basedOn w:val="DefaultParagraphFont"/>
    <w:link w:val="Heading5"/>
    <w:uiPriority w:val="9"/>
    <w:rsid w:val="00CA59EA"/>
    <w:rPr>
      <w:rFonts w:eastAsiaTheme="majorEastAsia" w:cstheme="majorBidi"/>
      <w:b/>
      <w:color w:val="243F60" w:themeColor="accent1" w:themeShade="7F"/>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26D15"/>
    <w:pPr>
      <w:numPr>
        <w:numId w:val="0"/>
      </w:numPr>
      <w:ind w:left="864"/>
    </w:pPr>
    <w:rPr>
      <w:i/>
    </w:rPr>
  </w:style>
  <w:style w:type="character" w:customStyle="1" w:styleId="QuoteChar">
    <w:name w:val="Quote Char"/>
    <w:basedOn w:val="DefaultParagraphFont"/>
    <w:link w:val="Quote"/>
    <w:uiPriority w:val="29"/>
    <w:rsid w:val="00743006"/>
    <w:rPr>
      <w:rFonts w:ascii="Calibri" w:eastAsia="Calibri" w:hAnsi="Calibri" w:cs="Calibri"/>
      <w:i/>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743006"/>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5A60C1"/>
    <w:pPr>
      <w:numPr>
        <w:numId w:val="4"/>
      </w:numPr>
    </w:pPr>
    <w:rPr>
      <w:bCs w:val="0"/>
    </w:rPr>
  </w:style>
  <w:style w:type="paragraph" w:customStyle="1" w:styleId="Tablebodybullet2">
    <w:name w:val="Table body bullet 2"/>
    <w:basedOn w:val="Tablebodybullet1"/>
    <w:qFormat/>
    <w:rsid w:val="005A60C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116E26"/>
    <w:pPr>
      <w:spacing w:after="0"/>
    </w:pPr>
    <w:rPr>
      <w:sz w:val="20"/>
      <w:szCs w:val="20"/>
    </w:rPr>
  </w:style>
  <w:style w:type="character" w:customStyle="1" w:styleId="FootnoteTextChar">
    <w:name w:val="Footnote Text Char"/>
    <w:basedOn w:val="DefaultParagraphFont"/>
    <w:link w:val="FootnoteText"/>
    <w:uiPriority w:val="99"/>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A60C1"/>
    <w:rPr>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743006"/>
    <w:pPr>
      <w:keepNext/>
      <w:jc w:val="left"/>
    </w:pPr>
    <w:rPr>
      <w:b/>
    </w:rPr>
  </w:style>
  <w:style w:type="paragraph" w:customStyle="1" w:styleId="Casestudytext">
    <w:name w:val="Case study text"/>
    <w:basedOn w:val="Figuretext"/>
    <w:rsid w:val="005A60C1"/>
    <w:pPr>
      <w:pBdr>
        <w:top w:val="single" w:sz="12" w:space="1" w:color="463A70"/>
        <w:left w:val="single" w:sz="12" w:space="4" w:color="463A70"/>
        <w:bottom w:val="single" w:sz="12" w:space="1" w:color="463A70"/>
        <w:right w:val="single" w:sz="12" w:space="4" w:color="463A70"/>
      </w:pBdr>
      <w:shd w:val="clear" w:color="auto" w:fill="E5DFEC" w:themeFill="accent4" w:themeFillTint="33"/>
      <w:spacing w:after="12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ind w:left="0"/>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99"/>
    <w:qFormat/>
    <w:rsid w:val="005A60C1"/>
    <w:pPr>
      <w:tabs>
        <w:tab w:val="left" w:pos="567"/>
      </w:tabs>
      <w:autoSpaceDE w:val="0"/>
      <w:autoSpaceDN w:val="0"/>
      <w:adjustRightInd w:val="0"/>
      <w:spacing w:before="240" w:after="0"/>
      <w:ind w:left="720"/>
      <w:contextualSpacing/>
    </w:pPr>
    <w:rPr>
      <w:rFonts w:cs="Times New Roman"/>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99"/>
    <w:locked/>
    <w:rsid w:val="00BB650C"/>
    <w:rPr>
      <w:rFonts w:ascii="Calibri" w:eastAsia="Calibri" w:hAnsi="Calibri" w:cs="Times New Roman"/>
    </w:rPr>
  </w:style>
  <w:style w:type="character" w:styleId="CommentReference">
    <w:name w:val="annotation reference"/>
    <w:basedOn w:val="DefaultParagraphFont"/>
    <w:uiPriority w:val="99"/>
    <w:semiHidden/>
    <w:unhideWhenUsed/>
    <w:rsid w:val="00AD3EDD"/>
    <w:rPr>
      <w:sz w:val="16"/>
      <w:szCs w:val="16"/>
    </w:rPr>
  </w:style>
  <w:style w:type="paragraph" w:styleId="CommentText">
    <w:name w:val="annotation text"/>
    <w:basedOn w:val="Normal"/>
    <w:link w:val="CommentTextChar"/>
    <w:uiPriority w:val="99"/>
    <w:semiHidden/>
    <w:unhideWhenUsed/>
    <w:rsid w:val="005A60C1"/>
    <w:pPr>
      <w:tabs>
        <w:tab w:val="left" w:pos="567"/>
      </w:tabs>
      <w:autoSpaceDE w:val="0"/>
      <w:autoSpaceDN w:val="0"/>
      <w:adjustRightInd w:val="0"/>
      <w:spacing w:before="240" w:after="0"/>
    </w:pPr>
    <w:rPr>
      <w:rFonts w:cs="Times New Roman"/>
      <w:kern w:val="0"/>
      <w:sz w:val="20"/>
      <w:szCs w:val="20"/>
    </w:rPr>
  </w:style>
  <w:style w:type="character" w:customStyle="1" w:styleId="CommentTextChar">
    <w:name w:val="Comment Text Char"/>
    <w:basedOn w:val="DefaultParagraphFont"/>
    <w:link w:val="CommentText"/>
    <w:uiPriority w:val="99"/>
    <w:semiHidden/>
    <w:rsid w:val="00AD3EDD"/>
    <w:rPr>
      <w:rFonts w:ascii="Calibri" w:eastAsia="Calibri" w:hAnsi="Calibri" w:cs="Times New Roman"/>
      <w:sz w:val="20"/>
      <w:szCs w:val="20"/>
    </w:rPr>
  </w:style>
  <w:style w:type="paragraph" w:styleId="NormalWeb">
    <w:name w:val="Normal (Web)"/>
    <w:basedOn w:val="Normal"/>
    <w:uiPriority w:val="99"/>
    <w:unhideWhenUsed/>
    <w:rsid w:val="005A60C1"/>
    <w:pPr>
      <w:spacing w:before="100" w:beforeAutospacing="1" w:after="100" w:afterAutospacing="1"/>
    </w:pPr>
    <w:rPr>
      <w:rFonts w:ascii="Times New Roman" w:eastAsiaTheme="minorEastAsia" w:hAnsi="Times New Roman" w:cs="Times New Roman"/>
      <w:kern w:val="0"/>
      <w:sz w:val="24"/>
      <w:szCs w:val="24"/>
      <w:lang w:eastAsia="en-AU"/>
    </w:rPr>
  </w:style>
  <w:style w:type="numbering" w:customStyle="1" w:styleId="Numberedparagraphs">
    <w:name w:val="Numbered paragraphs"/>
    <w:uiPriority w:val="99"/>
    <w:rsid w:val="00145856"/>
    <w:pPr>
      <w:numPr>
        <w:numId w:val="345"/>
      </w:numPr>
    </w:pPr>
  </w:style>
  <w:style w:type="paragraph" w:customStyle="1" w:styleId="Dot1">
    <w:name w:val="Dot 1"/>
    <w:basedOn w:val="Normal"/>
    <w:link w:val="Dot1Char"/>
    <w:qFormat/>
    <w:rsid w:val="005A60C1"/>
    <w:pPr>
      <w:spacing w:before="120" w:after="0"/>
    </w:pPr>
    <w:rPr>
      <w:rFonts w:eastAsiaTheme="minorHAnsi" w:cs="Times New Roman"/>
      <w:kern w:val="0"/>
      <w:lang w:eastAsia="en-AU"/>
    </w:rPr>
  </w:style>
  <w:style w:type="paragraph" w:customStyle="1" w:styleId="Tablebullet">
    <w:name w:val="Table bullet"/>
    <w:basedOn w:val="Normal"/>
    <w:link w:val="TablebulletChar"/>
    <w:uiPriority w:val="99"/>
    <w:qFormat/>
    <w:rsid w:val="005A60C1"/>
    <w:pPr>
      <w:framePr w:hSpace="180" w:wrap="around" w:vAnchor="page" w:hAnchor="margin" w:y="2295"/>
      <w:numPr>
        <w:numId w:val="16"/>
      </w:numPr>
      <w:tabs>
        <w:tab w:val="left" w:pos="284"/>
      </w:tabs>
      <w:spacing w:after="0"/>
      <w:ind w:left="0" w:firstLine="0"/>
    </w:pPr>
    <w:rPr>
      <w:rFonts w:ascii="Arial Narrow" w:eastAsia="Times New Roman" w:hAnsi="Arial Narrow" w:cs="Times New Roman"/>
      <w:b/>
      <w:bCs/>
      <w:color w:val="365F91"/>
      <w:kern w:val="0"/>
      <w:sz w:val="18"/>
      <w:szCs w:val="21"/>
      <w:lang w:bidi="en-US"/>
    </w:rPr>
  </w:style>
  <w:style w:type="character" w:customStyle="1" w:styleId="TablebulletChar">
    <w:name w:val="Table bullet Char"/>
    <w:link w:val="Tablebullet"/>
    <w:uiPriority w:val="99"/>
    <w:rsid w:val="00B61A11"/>
    <w:rPr>
      <w:rFonts w:ascii="Arial Narrow" w:eastAsia="Times New Roman" w:hAnsi="Arial Narrow" w:cs="Times New Roman"/>
      <w:b/>
      <w:bCs/>
      <w:color w:val="365F91"/>
      <w:sz w:val="18"/>
      <w:szCs w:val="21"/>
      <w:lang w:bidi="en-US"/>
    </w:rPr>
  </w:style>
  <w:style w:type="character" w:customStyle="1" w:styleId="Dot1Char">
    <w:name w:val="Dot 1 Char"/>
    <w:link w:val="Dot1"/>
    <w:locked/>
    <w:rsid w:val="00B26D15"/>
    <w:rPr>
      <w:rFonts w:ascii="Calibri" w:hAnsi="Calibri" w:cs="Times New Roman"/>
      <w:lang w:eastAsia="en-AU"/>
    </w:rPr>
  </w:style>
  <w:style w:type="character" w:customStyle="1" w:styleId="Dot2Char">
    <w:name w:val="Dot 2 Char"/>
    <w:basedOn w:val="DefaultParagraphFont"/>
    <w:link w:val="Dot2"/>
    <w:locked/>
    <w:rsid w:val="00B26D15"/>
    <w:rPr>
      <w:rFonts w:ascii="Calibri" w:hAnsi="Calibri"/>
    </w:rPr>
  </w:style>
  <w:style w:type="paragraph" w:customStyle="1" w:styleId="Dot3">
    <w:name w:val="Dot 3"/>
    <w:basedOn w:val="Normal"/>
    <w:uiPriority w:val="99"/>
    <w:rsid w:val="005A60C1"/>
    <w:pPr>
      <w:numPr>
        <w:ilvl w:val="2"/>
        <w:numId w:val="17"/>
      </w:numPr>
      <w:spacing w:before="120" w:after="0"/>
      <w:ind w:left="-3622" w:hanging="425"/>
    </w:pPr>
    <w:rPr>
      <w:rFonts w:eastAsiaTheme="minorHAnsi" w:cs="Times New Roman"/>
      <w:kern w:val="0"/>
    </w:rPr>
  </w:style>
  <w:style w:type="table" w:customStyle="1" w:styleId="LightShading-Accent41">
    <w:name w:val="Light Shading - Accent 41"/>
    <w:basedOn w:val="TableNormal"/>
    <w:next w:val="LightShading-Accent4"/>
    <w:uiPriority w:val="60"/>
    <w:rsid w:val="0075565E"/>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CommentSubject">
    <w:name w:val="annotation subject"/>
    <w:basedOn w:val="CommentText"/>
    <w:next w:val="CommentText"/>
    <w:link w:val="CommentSubjectChar"/>
    <w:uiPriority w:val="99"/>
    <w:semiHidden/>
    <w:unhideWhenUsed/>
    <w:rsid w:val="001A281D"/>
    <w:pPr>
      <w:tabs>
        <w:tab w:val="clear" w:pos="567"/>
      </w:tabs>
      <w:autoSpaceDE/>
      <w:autoSpaceDN/>
      <w:adjustRightInd/>
      <w:spacing w:before="0" w:after="120"/>
    </w:pPr>
    <w:rPr>
      <w:rFonts w:cs="Calibri"/>
      <w:b/>
      <w:bCs/>
      <w:w w:val="105"/>
      <w:kern w:val="40"/>
    </w:rPr>
  </w:style>
  <w:style w:type="character" w:customStyle="1" w:styleId="CommentSubjectChar">
    <w:name w:val="Comment Subject Char"/>
    <w:basedOn w:val="CommentTextChar"/>
    <w:link w:val="CommentSubject"/>
    <w:uiPriority w:val="99"/>
    <w:semiHidden/>
    <w:rsid w:val="001A281D"/>
    <w:rPr>
      <w:rFonts w:ascii="Calibri" w:eastAsia="Calibri" w:hAnsi="Calibri" w:cs="Calibri"/>
      <w:b/>
      <w:bCs/>
      <w:w w:val="105"/>
      <w:kern w:val="40"/>
      <w:sz w:val="20"/>
      <w:szCs w:val="20"/>
    </w:rPr>
  </w:style>
  <w:style w:type="character" w:styleId="FollowedHyperlink">
    <w:name w:val="FollowedHyperlink"/>
    <w:basedOn w:val="DefaultParagraphFont"/>
    <w:uiPriority w:val="99"/>
    <w:semiHidden/>
    <w:unhideWhenUsed/>
    <w:rsid w:val="002808C3"/>
    <w:rPr>
      <w:color w:val="800080" w:themeColor="followedHyperlink"/>
      <w:u w:val="single"/>
    </w:rPr>
  </w:style>
  <w:style w:type="table" w:customStyle="1" w:styleId="LightShading-Accent42">
    <w:name w:val="Light Shading - Accent 42"/>
    <w:basedOn w:val="TableNormal"/>
    <w:next w:val="LightShading-Accent4"/>
    <w:uiPriority w:val="60"/>
    <w:rsid w:val="0087386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43">
    <w:name w:val="Light Shading - Accent 43"/>
    <w:basedOn w:val="TableNormal"/>
    <w:next w:val="LightShading-Accent4"/>
    <w:uiPriority w:val="60"/>
    <w:semiHidden/>
    <w:unhideWhenUsed/>
    <w:rsid w:val="00AB3C25"/>
    <w:pPr>
      <w:spacing w:after="0" w:line="240" w:lineRule="auto"/>
    </w:pPr>
    <w:rPr>
      <w:color w:val="5F497A" w:themeColor="accent4" w:themeShade="BF"/>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Dot2">
    <w:name w:val="Dot 2"/>
    <w:basedOn w:val="Normal"/>
    <w:link w:val="Dot2Char"/>
    <w:qFormat/>
    <w:rsid w:val="005A60C1"/>
    <w:pPr>
      <w:spacing w:before="120" w:after="0"/>
    </w:pPr>
    <w:rPr>
      <w:rFonts w:eastAsiaTheme="minorHAnsi" w:cstheme="minorBidi"/>
      <w:kern w:val="0"/>
    </w:rPr>
  </w:style>
  <w:style w:type="paragraph" w:styleId="Revision">
    <w:name w:val="Revision"/>
    <w:hidden/>
    <w:uiPriority w:val="99"/>
    <w:semiHidden/>
    <w:rsid w:val="00765800"/>
    <w:pPr>
      <w:spacing w:after="0" w:line="240" w:lineRule="auto"/>
    </w:pPr>
    <w:rPr>
      <w:rFonts w:ascii="Calibri" w:eastAsia="Calibri" w:hAnsi="Calibri" w:cs="Calibri"/>
      <w:kern w:val="40"/>
    </w:rPr>
  </w:style>
  <w:style w:type="paragraph" w:customStyle="1" w:styleId="Landscapefooter">
    <w:name w:val="Landscape footer"/>
    <w:basedOn w:val="Footer"/>
    <w:qFormat/>
    <w:rsid w:val="003A74DA"/>
    <w:pPr>
      <w:tabs>
        <w:tab w:val="clear" w:pos="5233"/>
        <w:tab w:val="clear" w:pos="10467"/>
        <w:tab w:val="center" w:pos="7655"/>
        <w:tab w:val="right" w:pos="15309"/>
      </w:tabs>
    </w:pPr>
  </w:style>
  <w:style w:type="table" w:styleId="GridTable6Colorful-Accent4">
    <w:name w:val="Grid Table 6 Colorful Accent 4"/>
    <w:basedOn w:val="TableNormal"/>
    <w:uiPriority w:val="51"/>
    <w:rsid w:val="00E303C1"/>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2308">
      <w:bodyDiv w:val="1"/>
      <w:marLeft w:val="0"/>
      <w:marRight w:val="0"/>
      <w:marTop w:val="0"/>
      <w:marBottom w:val="0"/>
      <w:divBdr>
        <w:top w:val="none" w:sz="0" w:space="0" w:color="auto"/>
        <w:left w:val="none" w:sz="0" w:space="0" w:color="auto"/>
        <w:bottom w:val="none" w:sz="0" w:space="0" w:color="auto"/>
        <w:right w:val="none" w:sz="0" w:space="0" w:color="auto"/>
      </w:divBdr>
      <w:divsChild>
        <w:div w:id="1370105418">
          <w:marLeft w:val="0"/>
          <w:marRight w:val="0"/>
          <w:marTop w:val="0"/>
          <w:marBottom w:val="0"/>
          <w:divBdr>
            <w:top w:val="none" w:sz="0" w:space="0" w:color="auto"/>
            <w:left w:val="none" w:sz="0" w:space="0" w:color="auto"/>
            <w:bottom w:val="none" w:sz="0" w:space="0" w:color="auto"/>
            <w:right w:val="none" w:sz="0" w:space="0" w:color="auto"/>
          </w:divBdr>
          <w:divsChild>
            <w:div w:id="59712583">
              <w:marLeft w:val="0"/>
              <w:marRight w:val="0"/>
              <w:marTop w:val="0"/>
              <w:marBottom w:val="0"/>
              <w:divBdr>
                <w:top w:val="none" w:sz="0" w:space="0" w:color="auto"/>
                <w:left w:val="none" w:sz="0" w:space="0" w:color="auto"/>
                <w:bottom w:val="none" w:sz="0" w:space="0" w:color="auto"/>
                <w:right w:val="none" w:sz="0" w:space="0" w:color="auto"/>
              </w:divBdr>
              <w:divsChild>
                <w:div w:id="883324249">
                  <w:marLeft w:val="0"/>
                  <w:marRight w:val="0"/>
                  <w:marTop w:val="0"/>
                  <w:marBottom w:val="0"/>
                  <w:divBdr>
                    <w:top w:val="none" w:sz="0" w:space="0" w:color="auto"/>
                    <w:left w:val="none" w:sz="0" w:space="0" w:color="auto"/>
                    <w:bottom w:val="none" w:sz="0" w:space="0" w:color="auto"/>
                    <w:right w:val="none" w:sz="0" w:space="0" w:color="auto"/>
                  </w:divBdr>
                  <w:divsChild>
                    <w:div w:id="118572532">
                      <w:marLeft w:val="0"/>
                      <w:marRight w:val="0"/>
                      <w:marTop w:val="0"/>
                      <w:marBottom w:val="0"/>
                      <w:divBdr>
                        <w:top w:val="none" w:sz="0" w:space="0" w:color="auto"/>
                        <w:left w:val="none" w:sz="0" w:space="0" w:color="auto"/>
                        <w:bottom w:val="none" w:sz="0" w:space="0" w:color="auto"/>
                        <w:right w:val="none" w:sz="0" w:space="0" w:color="auto"/>
                      </w:divBdr>
                      <w:divsChild>
                        <w:div w:id="1410998301">
                          <w:marLeft w:val="0"/>
                          <w:marRight w:val="0"/>
                          <w:marTop w:val="0"/>
                          <w:marBottom w:val="0"/>
                          <w:divBdr>
                            <w:top w:val="none" w:sz="0" w:space="0" w:color="auto"/>
                            <w:left w:val="none" w:sz="0" w:space="0" w:color="auto"/>
                            <w:bottom w:val="none" w:sz="0" w:space="0" w:color="auto"/>
                            <w:right w:val="none" w:sz="0" w:space="0" w:color="auto"/>
                          </w:divBdr>
                          <w:divsChild>
                            <w:div w:id="127864698">
                              <w:marLeft w:val="0"/>
                              <w:marRight w:val="0"/>
                              <w:marTop w:val="0"/>
                              <w:marBottom w:val="0"/>
                              <w:divBdr>
                                <w:top w:val="none" w:sz="0" w:space="0" w:color="auto"/>
                                <w:left w:val="none" w:sz="0" w:space="0" w:color="auto"/>
                                <w:bottom w:val="none" w:sz="0" w:space="0" w:color="auto"/>
                                <w:right w:val="none" w:sz="0" w:space="0" w:color="auto"/>
                              </w:divBdr>
                              <w:divsChild>
                                <w:div w:id="600185478">
                                  <w:marLeft w:val="0"/>
                                  <w:marRight w:val="0"/>
                                  <w:marTop w:val="0"/>
                                  <w:marBottom w:val="0"/>
                                  <w:divBdr>
                                    <w:top w:val="none" w:sz="0" w:space="0" w:color="auto"/>
                                    <w:left w:val="none" w:sz="0" w:space="0" w:color="auto"/>
                                    <w:bottom w:val="none" w:sz="0" w:space="0" w:color="auto"/>
                                    <w:right w:val="none" w:sz="0" w:space="0" w:color="auto"/>
                                  </w:divBdr>
                                  <w:divsChild>
                                    <w:div w:id="277421486">
                                      <w:marLeft w:val="0"/>
                                      <w:marRight w:val="0"/>
                                      <w:marTop w:val="0"/>
                                      <w:marBottom w:val="0"/>
                                      <w:divBdr>
                                        <w:top w:val="none" w:sz="0" w:space="0" w:color="auto"/>
                                        <w:left w:val="none" w:sz="0" w:space="0" w:color="auto"/>
                                        <w:bottom w:val="none" w:sz="0" w:space="0" w:color="auto"/>
                                        <w:right w:val="none" w:sz="0" w:space="0" w:color="auto"/>
                                      </w:divBdr>
                                      <w:divsChild>
                                        <w:div w:id="1162740636">
                                          <w:marLeft w:val="0"/>
                                          <w:marRight w:val="0"/>
                                          <w:marTop w:val="0"/>
                                          <w:marBottom w:val="0"/>
                                          <w:divBdr>
                                            <w:top w:val="none" w:sz="0" w:space="0" w:color="auto"/>
                                            <w:left w:val="none" w:sz="0" w:space="0" w:color="auto"/>
                                            <w:bottom w:val="none" w:sz="0" w:space="0" w:color="auto"/>
                                            <w:right w:val="none" w:sz="0" w:space="0" w:color="auto"/>
                                          </w:divBdr>
                                          <w:divsChild>
                                            <w:div w:id="1950356443">
                                              <w:marLeft w:val="0"/>
                                              <w:marRight w:val="0"/>
                                              <w:marTop w:val="0"/>
                                              <w:marBottom w:val="0"/>
                                              <w:divBdr>
                                                <w:top w:val="none" w:sz="0" w:space="0" w:color="auto"/>
                                                <w:left w:val="none" w:sz="0" w:space="0" w:color="auto"/>
                                                <w:bottom w:val="none" w:sz="0" w:space="0" w:color="auto"/>
                                                <w:right w:val="none" w:sz="0" w:space="0" w:color="auto"/>
                                              </w:divBdr>
                                              <w:divsChild>
                                                <w:div w:id="1159885678">
                                                  <w:marLeft w:val="0"/>
                                                  <w:marRight w:val="0"/>
                                                  <w:marTop w:val="0"/>
                                                  <w:marBottom w:val="0"/>
                                                  <w:divBdr>
                                                    <w:top w:val="none" w:sz="0" w:space="0" w:color="auto"/>
                                                    <w:left w:val="none" w:sz="0" w:space="0" w:color="auto"/>
                                                    <w:bottom w:val="none" w:sz="0" w:space="0" w:color="auto"/>
                                                    <w:right w:val="none" w:sz="0" w:space="0" w:color="auto"/>
                                                  </w:divBdr>
                                                  <w:divsChild>
                                                    <w:div w:id="1139104953">
                                                      <w:marLeft w:val="0"/>
                                                      <w:marRight w:val="0"/>
                                                      <w:marTop w:val="0"/>
                                                      <w:marBottom w:val="0"/>
                                                      <w:divBdr>
                                                        <w:top w:val="none" w:sz="0" w:space="0" w:color="auto"/>
                                                        <w:left w:val="none" w:sz="0" w:space="0" w:color="auto"/>
                                                        <w:bottom w:val="none" w:sz="0" w:space="0" w:color="auto"/>
                                                        <w:right w:val="none" w:sz="0" w:space="0" w:color="auto"/>
                                                      </w:divBdr>
                                                      <w:divsChild>
                                                        <w:div w:id="181871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16351021">
      <w:bodyDiv w:val="1"/>
      <w:marLeft w:val="0"/>
      <w:marRight w:val="0"/>
      <w:marTop w:val="0"/>
      <w:marBottom w:val="0"/>
      <w:divBdr>
        <w:top w:val="none" w:sz="0" w:space="0" w:color="auto"/>
        <w:left w:val="none" w:sz="0" w:space="0" w:color="auto"/>
        <w:bottom w:val="none" w:sz="0" w:space="0" w:color="auto"/>
        <w:right w:val="none" w:sz="0" w:space="0" w:color="auto"/>
      </w:divBdr>
      <w:divsChild>
        <w:div w:id="518159372">
          <w:marLeft w:val="0"/>
          <w:marRight w:val="0"/>
          <w:marTop w:val="0"/>
          <w:marBottom w:val="0"/>
          <w:divBdr>
            <w:top w:val="none" w:sz="0" w:space="0" w:color="auto"/>
            <w:left w:val="none" w:sz="0" w:space="0" w:color="auto"/>
            <w:bottom w:val="none" w:sz="0" w:space="0" w:color="auto"/>
            <w:right w:val="none" w:sz="0" w:space="0" w:color="auto"/>
          </w:divBdr>
          <w:divsChild>
            <w:div w:id="328675539">
              <w:marLeft w:val="0"/>
              <w:marRight w:val="0"/>
              <w:marTop w:val="0"/>
              <w:marBottom w:val="0"/>
              <w:divBdr>
                <w:top w:val="none" w:sz="0" w:space="0" w:color="auto"/>
                <w:left w:val="none" w:sz="0" w:space="0" w:color="auto"/>
                <w:bottom w:val="none" w:sz="0" w:space="0" w:color="auto"/>
                <w:right w:val="none" w:sz="0" w:space="0" w:color="auto"/>
              </w:divBdr>
              <w:divsChild>
                <w:div w:id="46613889">
                  <w:marLeft w:val="0"/>
                  <w:marRight w:val="0"/>
                  <w:marTop w:val="0"/>
                  <w:marBottom w:val="0"/>
                  <w:divBdr>
                    <w:top w:val="none" w:sz="0" w:space="0" w:color="auto"/>
                    <w:left w:val="none" w:sz="0" w:space="0" w:color="auto"/>
                    <w:bottom w:val="none" w:sz="0" w:space="0" w:color="auto"/>
                    <w:right w:val="none" w:sz="0" w:space="0" w:color="auto"/>
                  </w:divBdr>
                  <w:divsChild>
                    <w:div w:id="1397121995">
                      <w:marLeft w:val="0"/>
                      <w:marRight w:val="0"/>
                      <w:marTop w:val="0"/>
                      <w:marBottom w:val="0"/>
                      <w:divBdr>
                        <w:top w:val="none" w:sz="0" w:space="0" w:color="auto"/>
                        <w:left w:val="none" w:sz="0" w:space="0" w:color="auto"/>
                        <w:bottom w:val="none" w:sz="0" w:space="0" w:color="auto"/>
                        <w:right w:val="none" w:sz="0" w:space="0" w:color="auto"/>
                      </w:divBdr>
                      <w:divsChild>
                        <w:div w:id="1716736415">
                          <w:marLeft w:val="0"/>
                          <w:marRight w:val="0"/>
                          <w:marTop w:val="0"/>
                          <w:marBottom w:val="0"/>
                          <w:divBdr>
                            <w:top w:val="none" w:sz="0" w:space="0" w:color="auto"/>
                            <w:left w:val="none" w:sz="0" w:space="0" w:color="auto"/>
                            <w:bottom w:val="none" w:sz="0" w:space="0" w:color="auto"/>
                            <w:right w:val="none" w:sz="0" w:space="0" w:color="auto"/>
                          </w:divBdr>
                          <w:divsChild>
                            <w:div w:id="74792650">
                              <w:marLeft w:val="0"/>
                              <w:marRight w:val="0"/>
                              <w:marTop w:val="0"/>
                              <w:marBottom w:val="0"/>
                              <w:divBdr>
                                <w:top w:val="none" w:sz="0" w:space="0" w:color="auto"/>
                                <w:left w:val="none" w:sz="0" w:space="0" w:color="auto"/>
                                <w:bottom w:val="none" w:sz="0" w:space="0" w:color="auto"/>
                                <w:right w:val="none" w:sz="0" w:space="0" w:color="auto"/>
                              </w:divBdr>
                              <w:divsChild>
                                <w:div w:id="113837510">
                                  <w:marLeft w:val="0"/>
                                  <w:marRight w:val="0"/>
                                  <w:marTop w:val="0"/>
                                  <w:marBottom w:val="0"/>
                                  <w:divBdr>
                                    <w:top w:val="none" w:sz="0" w:space="0" w:color="auto"/>
                                    <w:left w:val="none" w:sz="0" w:space="0" w:color="auto"/>
                                    <w:bottom w:val="none" w:sz="0" w:space="0" w:color="auto"/>
                                    <w:right w:val="none" w:sz="0" w:space="0" w:color="auto"/>
                                  </w:divBdr>
                                  <w:divsChild>
                                    <w:div w:id="1789664148">
                                      <w:marLeft w:val="0"/>
                                      <w:marRight w:val="0"/>
                                      <w:marTop w:val="0"/>
                                      <w:marBottom w:val="0"/>
                                      <w:divBdr>
                                        <w:top w:val="none" w:sz="0" w:space="0" w:color="auto"/>
                                        <w:left w:val="none" w:sz="0" w:space="0" w:color="auto"/>
                                        <w:bottom w:val="none" w:sz="0" w:space="0" w:color="auto"/>
                                        <w:right w:val="none" w:sz="0" w:space="0" w:color="auto"/>
                                      </w:divBdr>
                                      <w:divsChild>
                                        <w:div w:id="1387949013">
                                          <w:marLeft w:val="0"/>
                                          <w:marRight w:val="0"/>
                                          <w:marTop w:val="0"/>
                                          <w:marBottom w:val="0"/>
                                          <w:divBdr>
                                            <w:top w:val="none" w:sz="0" w:space="0" w:color="auto"/>
                                            <w:left w:val="none" w:sz="0" w:space="0" w:color="auto"/>
                                            <w:bottom w:val="none" w:sz="0" w:space="0" w:color="auto"/>
                                            <w:right w:val="none" w:sz="0" w:space="0" w:color="auto"/>
                                          </w:divBdr>
                                          <w:divsChild>
                                            <w:div w:id="1807624547">
                                              <w:marLeft w:val="0"/>
                                              <w:marRight w:val="0"/>
                                              <w:marTop w:val="0"/>
                                              <w:marBottom w:val="0"/>
                                              <w:divBdr>
                                                <w:top w:val="none" w:sz="0" w:space="0" w:color="auto"/>
                                                <w:left w:val="none" w:sz="0" w:space="0" w:color="auto"/>
                                                <w:bottom w:val="none" w:sz="0" w:space="0" w:color="auto"/>
                                                <w:right w:val="none" w:sz="0" w:space="0" w:color="auto"/>
                                              </w:divBdr>
                                              <w:divsChild>
                                                <w:div w:id="1171679299">
                                                  <w:marLeft w:val="0"/>
                                                  <w:marRight w:val="0"/>
                                                  <w:marTop w:val="0"/>
                                                  <w:marBottom w:val="0"/>
                                                  <w:divBdr>
                                                    <w:top w:val="none" w:sz="0" w:space="0" w:color="auto"/>
                                                    <w:left w:val="none" w:sz="0" w:space="0" w:color="auto"/>
                                                    <w:bottom w:val="none" w:sz="0" w:space="0" w:color="auto"/>
                                                    <w:right w:val="none" w:sz="0" w:space="0" w:color="auto"/>
                                                  </w:divBdr>
                                                  <w:divsChild>
                                                    <w:div w:id="886065045">
                                                      <w:marLeft w:val="0"/>
                                                      <w:marRight w:val="0"/>
                                                      <w:marTop w:val="0"/>
                                                      <w:marBottom w:val="0"/>
                                                      <w:divBdr>
                                                        <w:top w:val="none" w:sz="0" w:space="0" w:color="auto"/>
                                                        <w:left w:val="none" w:sz="0" w:space="0" w:color="auto"/>
                                                        <w:bottom w:val="none" w:sz="0" w:space="0" w:color="auto"/>
                                                        <w:right w:val="none" w:sz="0" w:space="0" w:color="auto"/>
                                                      </w:divBdr>
                                                      <w:divsChild>
                                                        <w:div w:id="160807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93629879">
      <w:bodyDiv w:val="1"/>
      <w:marLeft w:val="0"/>
      <w:marRight w:val="0"/>
      <w:marTop w:val="0"/>
      <w:marBottom w:val="0"/>
      <w:divBdr>
        <w:top w:val="none" w:sz="0" w:space="0" w:color="auto"/>
        <w:left w:val="none" w:sz="0" w:space="0" w:color="auto"/>
        <w:bottom w:val="none" w:sz="0" w:space="0" w:color="auto"/>
        <w:right w:val="none" w:sz="0" w:space="0" w:color="auto"/>
      </w:divBdr>
      <w:divsChild>
        <w:div w:id="332758156">
          <w:marLeft w:val="0"/>
          <w:marRight w:val="0"/>
          <w:marTop w:val="0"/>
          <w:marBottom w:val="0"/>
          <w:divBdr>
            <w:top w:val="none" w:sz="0" w:space="0" w:color="auto"/>
            <w:left w:val="none" w:sz="0" w:space="0" w:color="auto"/>
            <w:bottom w:val="none" w:sz="0" w:space="0" w:color="auto"/>
            <w:right w:val="none" w:sz="0" w:space="0" w:color="auto"/>
          </w:divBdr>
          <w:divsChild>
            <w:div w:id="756948454">
              <w:marLeft w:val="0"/>
              <w:marRight w:val="0"/>
              <w:marTop w:val="0"/>
              <w:marBottom w:val="0"/>
              <w:divBdr>
                <w:top w:val="none" w:sz="0" w:space="0" w:color="auto"/>
                <w:left w:val="none" w:sz="0" w:space="0" w:color="auto"/>
                <w:bottom w:val="none" w:sz="0" w:space="0" w:color="auto"/>
                <w:right w:val="none" w:sz="0" w:space="0" w:color="auto"/>
              </w:divBdr>
              <w:divsChild>
                <w:div w:id="1154101089">
                  <w:marLeft w:val="0"/>
                  <w:marRight w:val="0"/>
                  <w:marTop w:val="0"/>
                  <w:marBottom w:val="0"/>
                  <w:divBdr>
                    <w:top w:val="none" w:sz="0" w:space="0" w:color="auto"/>
                    <w:left w:val="none" w:sz="0" w:space="0" w:color="auto"/>
                    <w:bottom w:val="none" w:sz="0" w:space="0" w:color="auto"/>
                    <w:right w:val="none" w:sz="0" w:space="0" w:color="auto"/>
                  </w:divBdr>
                  <w:divsChild>
                    <w:div w:id="510067484">
                      <w:marLeft w:val="0"/>
                      <w:marRight w:val="0"/>
                      <w:marTop w:val="0"/>
                      <w:marBottom w:val="0"/>
                      <w:divBdr>
                        <w:top w:val="none" w:sz="0" w:space="0" w:color="auto"/>
                        <w:left w:val="none" w:sz="0" w:space="0" w:color="auto"/>
                        <w:bottom w:val="none" w:sz="0" w:space="0" w:color="auto"/>
                        <w:right w:val="none" w:sz="0" w:space="0" w:color="auto"/>
                      </w:divBdr>
                      <w:divsChild>
                        <w:div w:id="943535485">
                          <w:marLeft w:val="0"/>
                          <w:marRight w:val="0"/>
                          <w:marTop w:val="0"/>
                          <w:marBottom w:val="0"/>
                          <w:divBdr>
                            <w:top w:val="none" w:sz="0" w:space="0" w:color="auto"/>
                            <w:left w:val="none" w:sz="0" w:space="0" w:color="auto"/>
                            <w:bottom w:val="none" w:sz="0" w:space="0" w:color="auto"/>
                            <w:right w:val="none" w:sz="0" w:space="0" w:color="auto"/>
                          </w:divBdr>
                          <w:divsChild>
                            <w:div w:id="886071304">
                              <w:marLeft w:val="0"/>
                              <w:marRight w:val="0"/>
                              <w:marTop w:val="0"/>
                              <w:marBottom w:val="0"/>
                              <w:divBdr>
                                <w:top w:val="none" w:sz="0" w:space="0" w:color="auto"/>
                                <w:left w:val="none" w:sz="0" w:space="0" w:color="auto"/>
                                <w:bottom w:val="none" w:sz="0" w:space="0" w:color="auto"/>
                                <w:right w:val="none" w:sz="0" w:space="0" w:color="auto"/>
                              </w:divBdr>
                              <w:divsChild>
                                <w:div w:id="1663120539">
                                  <w:marLeft w:val="0"/>
                                  <w:marRight w:val="0"/>
                                  <w:marTop w:val="0"/>
                                  <w:marBottom w:val="0"/>
                                  <w:divBdr>
                                    <w:top w:val="none" w:sz="0" w:space="0" w:color="auto"/>
                                    <w:left w:val="none" w:sz="0" w:space="0" w:color="auto"/>
                                    <w:bottom w:val="none" w:sz="0" w:space="0" w:color="auto"/>
                                    <w:right w:val="none" w:sz="0" w:space="0" w:color="auto"/>
                                  </w:divBdr>
                                  <w:divsChild>
                                    <w:div w:id="1228418214">
                                      <w:marLeft w:val="0"/>
                                      <w:marRight w:val="0"/>
                                      <w:marTop w:val="0"/>
                                      <w:marBottom w:val="0"/>
                                      <w:divBdr>
                                        <w:top w:val="none" w:sz="0" w:space="0" w:color="auto"/>
                                        <w:left w:val="none" w:sz="0" w:space="0" w:color="auto"/>
                                        <w:bottom w:val="none" w:sz="0" w:space="0" w:color="auto"/>
                                        <w:right w:val="none" w:sz="0" w:space="0" w:color="auto"/>
                                      </w:divBdr>
                                      <w:divsChild>
                                        <w:div w:id="2107724734">
                                          <w:marLeft w:val="0"/>
                                          <w:marRight w:val="0"/>
                                          <w:marTop w:val="0"/>
                                          <w:marBottom w:val="0"/>
                                          <w:divBdr>
                                            <w:top w:val="none" w:sz="0" w:space="0" w:color="auto"/>
                                            <w:left w:val="none" w:sz="0" w:space="0" w:color="auto"/>
                                            <w:bottom w:val="none" w:sz="0" w:space="0" w:color="auto"/>
                                            <w:right w:val="none" w:sz="0" w:space="0" w:color="auto"/>
                                          </w:divBdr>
                                          <w:divsChild>
                                            <w:div w:id="809633258">
                                              <w:marLeft w:val="0"/>
                                              <w:marRight w:val="0"/>
                                              <w:marTop w:val="0"/>
                                              <w:marBottom w:val="0"/>
                                              <w:divBdr>
                                                <w:top w:val="none" w:sz="0" w:space="0" w:color="auto"/>
                                                <w:left w:val="none" w:sz="0" w:space="0" w:color="auto"/>
                                                <w:bottom w:val="none" w:sz="0" w:space="0" w:color="auto"/>
                                                <w:right w:val="none" w:sz="0" w:space="0" w:color="auto"/>
                                              </w:divBdr>
                                              <w:divsChild>
                                                <w:div w:id="252007398">
                                                  <w:marLeft w:val="0"/>
                                                  <w:marRight w:val="0"/>
                                                  <w:marTop w:val="0"/>
                                                  <w:marBottom w:val="0"/>
                                                  <w:divBdr>
                                                    <w:top w:val="none" w:sz="0" w:space="0" w:color="auto"/>
                                                    <w:left w:val="none" w:sz="0" w:space="0" w:color="auto"/>
                                                    <w:bottom w:val="none" w:sz="0" w:space="0" w:color="auto"/>
                                                    <w:right w:val="none" w:sz="0" w:space="0" w:color="auto"/>
                                                  </w:divBdr>
                                                  <w:divsChild>
                                                    <w:div w:id="17964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9235221">
      <w:bodyDiv w:val="1"/>
      <w:marLeft w:val="0"/>
      <w:marRight w:val="0"/>
      <w:marTop w:val="0"/>
      <w:marBottom w:val="0"/>
      <w:divBdr>
        <w:top w:val="none" w:sz="0" w:space="0" w:color="auto"/>
        <w:left w:val="none" w:sz="0" w:space="0" w:color="auto"/>
        <w:bottom w:val="none" w:sz="0" w:space="0" w:color="auto"/>
        <w:right w:val="none" w:sz="0" w:space="0" w:color="auto"/>
      </w:divBdr>
    </w:div>
    <w:div w:id="761530297">
      <w:bodyDiv w:val="1"/>
      <w:marLeft w:val="0"/>
      <w:marRight w:val="0"/>
      <w:marTop w:val="0"/>
      <w:marBottom w:val="0"/>
      <w:divBdr>
        <w:top w:val="none" w:sz="0" w:space="0" w:color="auto"/>
        <w:left w:val="none" w:sz="0" w:space="0" w:color="auto"/>
        <w:bottom w:val="none" w:sz="0" w:space="0" w:color="auto"/>
        <w:right w:val="none" w:sz="0" w:space="0" w:color="auto"/>
      </w:divBdr>
    </w:div>
    <w:div w:id="1273830069">
      <w:bodyDiv w:val="1"/>
      <w:marLeft w:val="0"/>
      <w:marRight w:val="0"/>
      <w:marTop w:val="0"/>
      <w:marBottom w:val="0"/>
      <w:divBdr>
        <w:top w:val="none" w:sz="0" w:space="0" w:color="auto"/>
        <w:left w:val="none" w:sz="0" w:space="0" w:color="auto"/>
        <w:bottom w:val="none" w:sz="0" w:space="0" w:color="auto"/>
        <w:right w:val="none" w:sz="0" w:space="0" w:color="auto"/>
      </w:divBdr>
      <w:divsChild>
        <w:div w:id="169563034">
          <w:marLeft w:val="0"/>
          <w:marRight w:val="0"/>
          <w:marTop w:val="0"/>
          <w:marBottom w:val="0"/>
          <w:divBdr>
            <w:top w:val="none" w:sz="0" w:space="0" w:color="auto"/>
            <w:left w:val="none" w:sz="0" w:space="0" w:color="auto"/>
            <w:bottom w:val="none" w:sz="0" w:space="0" w:color="auto"/>
            <w:right w:val="none" w:sz="0" w:space="0" w:color="auto"/>
          </w:divBdr>
          <w:divsChild>
            <w:div w:id="1639530481">
              <w:marLeft w:val="0"/>
              <w:marRight w:val="0"/>
              <w:marTop w:val="0"/>
              <w:marBottom w:val="0"/>
              <w:divBdr>
                <w:top w:val="none" w:sz="0" w:space="0" w:color="auto"/>
                <w:left w:val="none" w:sz="0" w:space="0" w:color="auto"/>
                <w:bottom w:val="none" w:sz="0" w:space="0" w:color="auto"/>
                <w:right w:val="none" w:sz="0" w:space="0" w:color="auto"/>
              </w:divBdr>
              <w:divsChild>
                <w:div w:id="174615345">
                  <w:marLeft w:val="0"/>
                  <w:marRight w:val="0"/>
                  <w:marTop w:val="0"/>
                  <w:marBottom w:val="0"/>
                  <w:divBdr>
                    <w:top w:val="none" w:sz="0" w:space="0" w:color="auto"/>
                    <w:left w:val="none" w:sz="0" w:space="0" w:color="auto"/>
                    <w:bottom w:val="none" w:sz="0" w:space="0" w:color="auto"/>
                    <w:right w:val="none" w:sz="0" w:space="0" w:color="auto"/>
                  </w:divBdr>
                  <w:divsChild>
                    <w:div w:id="2052726903">
                      <w:marLeft w:val="0"/>
                      <w:marRight w:val="0"/>
                      <w:marTop w:val="0"/>
                      <w:marBottom w:val="0"/>
                      <w:divBdr>
                        <w:top w:val="none" w:sz="0" w:space="0" w:color="auto"/>
                        <w:left w:val="none" w:sz="0" w:space="0" w:color="auto"/>
                        <w:bottom w:val="none" w:sz="0" w:space="0" w:color="auto"/>
                        <w:right w:val="none" w:sz="0" w:space="0" w:color="auto"/>
                      </w:divBdr>
                      <w:divsChild>
                        <w:div w:id="643241949">
                          <w:marLeft w:val="0"/>
                          <w:marRight w:val="0"/>
                          <w:marTop w:val="0"/>
                          <w:marBottom w:val="0"/>
                          <w:divBdr>
                            <w:top w:val="none" w:sz="0" w:space="0" w:color="auto"/>
                            <w:left w:val="none" w:sz="0" w:space="0" w:color="auto"/>
                            <w:bottom w:val="none" w:sz="0" w:space="0" w:color="auto"/>
                            <w:right w:val="none" w:sz="0" w:space="0" w:color="auto"/>
                          </w:divBdr>
                          <w:divsChild>
                            <w:div w:id="1194616063">
                              <w:marLeft w:val="0"/>
                              <w:marRight w:val="0"/>
                              <w:marTop w:val="0"/>
                              <w:marBottom w:val="0"/>
                              <w:divBdr>
                                <w:top w:val="none" w:sz="0" w:space="0" w:color="auto"/>
                                <w:left w:val="none" w:sz="0" w:space="0" w:color="auto"/>
                                <w:bottom w:val="none" w:sz="0" w:space="0" w:color="auto"/>
                                <w:right w:val="none" w:sz="0" w:space="0" w:color="auto"/>
                              </w:divBdr>
                              <w:divsChild>
                                <w:div w:id="1613706212">
                                  <w:marLeft w:val="0"/>
                                  <w:marRight w:val="0"/>
                                  <w:marTop w:val="0"/>
                                  <w:marBottom w:val="0"/>
                                  <w:divBdr>
                                    <w:top w:val="none" w:sz="0" w:space="0" w:color="auto"/>
                                    <w:left w:val="none" w:sz="0" w:space="0" w:color="auto"/>
                                    <w:bottom w:val="none" w:sz="0" w:space="0" w:color="auto"/>
                                    <w:right w:val="none" w:sz="0" w:space="0" w:color="auto"/>
                                  </w:divBdr>
                                  <w:divsChild>
                                    <w:div w:id="1679237745">
                                      <w:marLeft w:val="0"/>
                                      <w:marRight w:val="0"/>
                                      <w:marTop w:val="0"/>
                                      <w:marBottom w:val="0"/>
                                      <w:divBdr>
                                        <w:top w:val="none" w:sz="0" w:space="0" w:color="auto"/>
                                        <w:left w:val="none" w:sz="0" w:space="0" w:color="auto"/>
                                        <w:bottom w:val="none" w:sz="0" w:space="0" w:color="auto"/>
                                        <w:right w:val="none" w:sz="0" w:space="0" w:color="auto"/>
                                      </w:divBdr>
                                      <w:divsChild>
                                        <w:div w:id="640963706">
                                          <w:marLeft w:val="0"/>
                                          <w:marRight w:val="0"/>
                                          <w:marTop w:val="0"/>
                                          <w:marBottom w:val="0"/>
                                          <w:divBdr>
                                            <w:top w:val="none" w:sz="0" w:space="0" w:color="auto"/>
                                            <w:left w:val="none" w:sz="0" w:space="0" w:color="auto"/>
                                            <w:bottom w:val="none" w:sz="0" w:space="0" w:color="auto"/>
                                            <w:right w:val="none" w:sz="0" w:space="0" w:color="auto"/>
                                          </w:divBdr>
                                          <w:divsChild>
                                            <w:div w:id="161163811">
                                              <w:marLeft w:val="0"/>
                                              <w:marRight w:val="0"/>
                                              <w:marTop w:val="0"/>
                                              <w:marBottom w:val="0"/>
                                              <w:divBdr>
                                                <w:top w:val="none" w:sz="0" w:space="0" w:color="auto"/>
                                                <w:left w:val="none" w:sz="0" w:space="0" w:color="auto"/>
                                                <w:bottom w:val="none" w:sz="0" w:space="0" w:color="auto"/>
                                                <w:right w:val="none" w:sz="0" w:space="0" w:color="auto"/>
                                              </w:divBdr>
                                              <w:divsChild>
                                                <w:div w:id="968391652">
                                                  <w:marLeft w:val="0"/>
                                                  <w:marRight w:val="0"/>
                                                  <w:marTop w:val="0"/>
                                                  <w:marBottom w:val="0"/>
                                                  <w:divBdr>
                                                    <w:top w:val="none" w:sz="0" w:space="0" w:color="auto"/>
                                                    <w:left w:val="none" w:sz="0" w:space="0" w:color="auto"/>
                                                    <w:bottom w:val="none" w:sz="0" w:space="0" w:color="auto"/>
                                                    <w:right w:val="none" w:sz="0" w:space="0" w:color="auto"/>
                                                  </w:divBdr>
                                                  <w:divsChild>
                                                    <w:div w:id="1248539690">
                                                      <w:marLeft w:val="0"/>
                                                      <w:marRight w:val="0"/>
                                                      <w:marTop w:val="0"/>
                                                      <w:marBottom w:val="0"/>
                                                      <w:divBdr>
                                                        <w:top w:val="none" w:sz="0" w:space="0" w:color="auto"/>
                                                        <w:left w:val="none" w:sz="0" w:space="0" w:color="auto"/>
                                                        <w:bottom w:val="none" w:sz="0" w:space="0" w:color="auto"/>
                                                        <w:right w:val="none" w:sz="0" w:space="0" w:color="auto"/>
                                                      </w:divBdr>
                                                      <w:divsChild>
                                                        <w:div w:id="144684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7963029">
      <w:bodyDiv w:val="1"/>
      <w:marLeft w:val="0"/>
      <w:marRight w:val="0"/>
      <w:marTop w:val="0"/>
      <w:marBottom w:val="0"/>
      <w:divBdr>
        <w:top w:val="none" w:sz="0" w:space="0" w:color="auto"/>
        <w:left w:val="none" w:sz="0" w:space="0" w:color="auto"/>
        <w:bottom w:val="none" w:sz="0" w:space="0" w:color="auto"/>
        <w:right w:val="none" w:sz="0" w:space="0" w:color="auto"/>
      </w:divBdr>
      <w:divsChild>
        <w:div w:id="594896792">
          <w:marLeft w:val="0"/>
          <w:marRight w:val="0"/>
          <w:marTop w:val="0"/>
          <w:marBottom w:val="0"/>
          <w:divBdr>
            <w:top w:val="none" w:sz="0" w:space="0" w:color="auto"/>
            <w:left w:val="none" w:sz="0" w:space="0" w:color="auto"/>
            <w:bottom w:val="none" w:sz="0" w:space="0" w:color="auto"/>
            <w:right w:val="none" w:sz="0" w:space="0" w:color="auto"/>
          </w:divBdr>
          <w:divsChild>
            <w:div w:id="1005474656">
              <w:marLeft w:val="0"/>
              <w:marRight w:val="0"/>
              <w:marTop w:val="0"/>
              <w:marBottom w:val="0"/>
              <w:divBdr>
                <w:top w:val="none" w:sz="0" w:space="0" w:color="auto"/>
                <w:left w:val="none" w:sz="0" w:space="0" w:color="auto"/>
                <w:bottom w:val="none" w:sz="0" w:space="0" w:color="auto"/>
                <w:right w:val="none" w:sz="0" w:space="0" w:color="auto"/>
              </w:divBdr>
              <w:divsChild>
                <w:div w:id="871189577">
                  <w:marLeft w:val="0"/>
                  <w:marRight w:val="0"/>
                  <w:marTop w:val="0"/>
                  <w:marBottom w:val="0"/>
                  <w:divBdr>
                    <w:top w:val="none" w:sz="0" w:space="0" w:color="auto"/>
                    <w:left w:val="none" w:sz="0" w:space="0" w:color="auto"/>
                    <w:bottom w:val="none" w:sz="0" w:space="0" w:color="auto"/>
                    <w:right w:val="none" w:sz="0" w:space="0" w:color="auto"/>
                  </w:divBdr>
                  <w:divsChild>
                    <w:div w:id="1207182934">
                      <w:marLeft w:val="0"/>
                      <w:marRight w:val="0"/>
                      <w:marTop w:val="0"/>
                      <w:marBottom w:val="0"/>
                      <w:divBdr>
                        <w:top w:val="none" w:sz="0" w:space="0" w:color="auto"/>
                        <w:left w:val="none" w:sz="0" w:space="0" w:color="auto"/>
                        <w:bottom w:val="none" w:sz="0" w:space="0" w:color="auto"/>
                        <w:right w:val="none" w:sz="0" w:space="0" w:color="auto"/>
                      </w:divBdr>
                      <w:divsChild>
                        <w:div w:id="668144189">
                          <w:marLeft w:val="0"/>
                          <w:marRight w:val="0"/>
                          <w:marTop w:val="0"/>
                          <w:marBottom w:val="0"/>
                          <w:divBdr>
                            <w:top w:val="none" w:sz="0" w:space="0" w:color="auto"/>
                            <w:left w:val="none" w:sz="0" w:space="0" w:color="auto"/>
                            <w:bottom w:val="none" w:sz="0" w:space="0" w:color="auto"/>
                            <w:right w:val="none" w:sz="0" w:space="0" w:color="auto"/>
                          </w:divBdr>
                          <w:divsChild>
                            <w:div w:id="603004818">
                              <w:marLeft w:val="0"/>
                              <w:marRight w:val="0"/>
                              <w:marTop w:val="0"/>
                              <w:marBottom w:val="0"/>
                              <w:divBdr>
                                <w:top w:val="none" w:sz="0" w:space="0" w:color="auto"/>
                                <w:left w:val="none" w:sz="0" w:space="0" w:color="auto"/>
                                <w:bottom w:val="none" w:sz="0" w:space="0" w:color="auto"/>
                                <w:right w:val="none" w:sz="0" w:space="0" w:color="auto"/>
                              </w:divBdr>
                              <w:divsChild>
                                <w:div w:id="1771004862">
                                  <w:marLeft w:val="0"/>
                                  <w:marRight w:val="0"/>
                                  <w:marTop w:val="0"/>
                                  <w:marBottom w:val="0"/>
                                  <w:divBdr>
                                    <w:top w:val="none" w:sz="0" w:space="0" w:color="auto"/>
                                    <w:left w:val="none" w:sz="0" w:space="0" w:color="auto"/>
                                    <w:bottom w:val="none" w:sz="0" w:space="0" w:color="auto"/>
                                    <w:right w:val="none" w:sz="0" w:space="0" w:color="auto"/>
                                  </w:divBdr>
                                  <w:divsChild>
                                    <w:div w:id="1536846218">
                                      <w:marLeft w:val="0"/>
                                      <w:marRight w:val="0"/>
                                      <w:marTop w:val="0"/>
                                      <w:marBottom w:val="0"/>
                                      <w:divBdr>
                                        <w:top w:val="none" w:sz="0" w:space="0" w:color="auto"/>
                                        <w:left w:val="none" w:sz="0" w:space="0" w:color="auto"/>
                                        <w:bottom w:val="none" w:sz="0" w:space="0" w:color="auto"/>
                                        <w:right w:val="none" w:sz="0" w:space="0" w:color="auto"/>
                                      </w:divBdr>
                                      <w:divsChild>
                                        <w:div w:id="1726176288">
                                          <w:marLeft w:val="0"/>
                                          <w:marRight w:val="0"/>
                                          <w:marTop w:val="0"/>
                                          <w:marBottom w:val="0"/>
                                          <w:divBdr>
                                            <w:top w:val="none" w:sz="0" w:space="0" w:color="auto"/>
                                            <w:left w:val="none" w:sz="0" w:space="0" w:color="auto"/>
                                            <w:bottom w:val="none" w:sz="0" w:space="0" w:color="auto"/>
                                            <w:right w:val="none" w:sz="0" w:space="0" w:color="auto"/>
                                          </w:divBdr>
                                          <w:divsChild>
                                            <w:div w:id="313872859">
                                              <w:marLeft w:val="0"/>
                                              <w:marRight w:val="0"/>
                                              <w:marTop w:val="0"/>
                                              <w:marBottom w:val="0"/>
                                              <w:divBdr>
                                                <w:top w:val="none" w:sz="0" w:space="0" w:color="auto"/>
                                                <w:left w:val="none" w:sz="0" w:space="0" w:color="auto"/>
                                                <w:bottom w:val="none" w:sz="0" w:space="0" w:color="auto"/>
                                                <w:right w:val="none" w:sz="0" w:space="0" w:color="auto"/>
                                              </w:divBdr>
                                              <w:divsChild>
                                                <w:div w:id="1279802503">
                                                  <w:marLeft w:val="0"/>
                                                  <w:marRight w:val="0"/>
                                                  <w:marTop w:val="0"/>
                                                  <w:marBottom w:val="0"/>
                                                  <w:divBdr>
                                                    <w:top w:val="none" w:sz="0" w:space="0" w:color="auto"/>
                                                    <w:left w:val="none" w:sz="0" w:space="0" w:color="auto"/>
                                                    <w:bottom w:val="none" w:sz="0" w:space="0" w:color="auto"/>
                                                    <w:right w:val="none" w:sz="0" w:space="0" w:color="auto"/>
                                                  </w:divBdr>
                                                  <w:divsChild>
                                                    <w:div w:id="776098293">
                                                      <w:marLeft w:val="0"/>
                                                      <w:marRight w:val="0"/>
                                                      <w:marTop w:val="0"/>
                                                      <w:marBottom w:val="0"/>
                                                      <w:divBdr>
                                                        <w:top w:val="none" w:sz="0" w:space="0" w:color="auto"/>
                                                        <w:left w:val="none" w:sz="0" w:space="0" w:color="auto"/>
                                                        <w:bottom w:val="none" w:sz="0" w:space="0" w:color="auto"/>
                                                        <w:right w:val="none" w:sz="0" w:space="0" w:color="auto"/>
                                                      </w:divBdr>
                                                      <w:divsChild>
                                                        <w:div w:id="10534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8264771">
      <w:bodyDiv w:val="1"/>
      <w:marLeft w:val="0"/>
      <w:marRight w:val="0"/>
      <w:marTop w:val="0"/>
      <w:marBottom w:val="0"/>
      <w:divBdr>
        <w:top w:val="none" w:sz="0" w:space="0" w:color="auto"/>
        <w:left w:val="none" w:sz="0" w:space="0" w:color="auto"/>
        <w:bottom w:val="none" w:sz="0" w:space="0" w:color="auto"/>
        <w:right w:val="none" w:sz="0" w:space="0" w:color="auto"/>
      </w:divBdr>
    </w:div>
    <w:div w:id="190043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otectivesecurity.gov.au/personnel/ongoing-assessment-of-personnel/Pages/default.aspx" TargetMode="External"/><Relationship Id="rId18" Type="http://schemas.openxmlformats.org/officeDocument/2006/relationships/hyperlink" Target="https://www.protectivesecurity.gov.au/governance/roleofaccountableauthority/Pages/default.aspx" TargetMode="External"/><Relationship Id="rId26" Type="http://schemas.openxmlformats.org/officeDocument/2006/relationships/hyperlink" Target="https://portal.protectivesecurity.gov.au/" TargetMode="External"/><Relationship Id="rId39" Type="http://schemas.openxmlformats.org/officeDocument/2006/relationships/hyperlink" Target="mailto:SCEC@SCEC.gov.au" TargetMode="External"/><Relationship Id="rId21" Type="http://schemas.openxmlformats.org/officeDocument/2006/relationships/header" Target="header2.xml"/><Relationship Id="rId34" Type="http://schemas.openxmlformats.org/officeDocument/2006/relationships/hyperlink" Target="https://www.pmc.gov.au/resource-centre/government/cabinet-handbook-10th-edition" TargetMode="External"/><Relationship Id="rId42" Type="http://schemas.openxmlformats.org/officeDocument/2006/relationships/hyperlink" Target="http://www.protectivesecurity.gov.au/governance/security-governance-international-sharing/Pages/default.aspx" TargetMode="External"/><Relationship Id="rId47" Type="http://schemas.openxmlformats.org/officeDocument/2006/relationships/hyperlink" Target="https://www.afp.gov.au" TargetMode="External"/><Relationship Id="rId50" Type="http://schemas.openxmlformats.org/officeDocument/2006/relationships/header" Target="header4.xml"/><Relationship Id="rId55" Type="http://schemas.openxmlformats.org/officeDocument/2006/relationships/hyperlink" Target="https://govdex.gov.au/confluence/display/AGDPSP/ASIO+T4+Protective+Security" TargetMode="External"/><Relationship Id="rId63" Type="http://schemas.openxmlformats.org/officeDocument/2006/relationships/hyperlink" Target="https://www.asd.gov.au/publications/protect/essential-eight-maturity-model.htm" TargetMode="External"/><Relationship Id="rId68" Type="http://schemas.openxmlformats.org/officeDocument/2006/relationships/header" Target="header6.xml"/><Relationship Id="rId76"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hyperlink" Target="https://www.protectivesecurity.gov.au/information/sensitive-classified-information/Pages/default.aspx" TargetMode="External"/><Relationship Id="rId2" Type="http://schemas.openxmlformats.org/officeDocument/2006/relationships/numbering" Target="numbering.xml"/><Relationship Id="rId16" Type="http://schemas.openxmlformats.org/officeDocument/2006/relationships/hyperlink" Target="https://www.protectivesecurity.gov.au/governance/security-planning-risk-management/Pages/default.aspx" TargetMode="External"/><Relationship Id="rId29" Type="http://schemas.openxmlformats.org/officeDocument/2006/relationships/hyperlink" Target="mailto:asa@asio.gov.au" TargetMode="External"/><Relationship Id="rId11" Type="http://schemas.openxmlformats.org/officeDocument/2006/relationships/hyperlink" Target="https://www.protectivesecurity.gov.au/governance/security-planning-risk-management/Pages/default.aspx" TargetMode="External"/><Relationship Id="rId24" Type="http://schemas.openxmlformats.org/officeDocument/2006/relationships/header" Target="header3.xml"/><Relationship Id="rId32" Type="http://schemas.openxmlformats.org/officeDocument/2006/relationships/hyperlink" Target="mailto:asd.assist@defence.gov.au" TargetMode="External"/><Relationship Id="rId37" Type="http://schemas.openxmlformats.org/officeDocument/2006/relationships/hyperlink" Target="https://osd.defence.gov.au/" TargetMode="External"/><Relationship Id="rId40" Type="http://schemas.openxmlformats.org/officeDocument/2006/relationships/hyperlink" Target="https://www.scec.gov.au/scec-endorsed-courier-incidents" TargetMode="External"/><Relationship Id="rId45" Type="http://schemas.openxmlformats.org/officeDocument/2006/relationships/hyperlink" Target="https://www.oaic.gov.au/NDBform" TargetMode="External"/><Relationship Id="rId53" Type="http://schemas.openxmlformats.org/officeDocument/2006/relationships/hyperlink" Target="https://www.protectivesecurity.gov.au/governance/management-structures-and-responsibilities/Pages/default.aspx" TargetMode="External"/><Relationship Id="rId58" Type="http://schemas.openxmlformats.org/officeDocument/2006/relationships/hyperlink" Target="http://infostore.saiglobal.com/store/Details.aspx?ProductID=568733" TargetMode="External"/><Relationship Id="rId66" Type="http://schemas.openxmlformats.org/officeDocument/2006/relationships/hyperlink" Target="https://www.legislation.gov.au/Details/F2017L01396" TargetMode="External"/><Relationship Id="rId74" Type="http://schemas.openxmlformats.org/officeDocument/2006/relationships/hyperlink" Target="https://www.asd.gov.au/infosec/top-mitigations/top-4-strategies-explained.ht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naa.gov.au/information-management/information-management-standard/" TargetMode="External"/><Relationship Id="rId10" Type="http://schemas.openxmlformats.org/officeDocument/2006/relationships/image" Target="media/image1.jpeg"/><Relationship Id="rId19" Type="http://schemas.openxmlformats.org/officeDocument/2006/relationships/hyperlink" Target="https://www.oaic.gov.au/privacy-law/privacy-act/notifiable-data-breaches-scheme" TargetMode="External"/><Relationship Id="rId31" Type="http://schemas.openxmlformats.org/officeDocument/2006/relationships/hyperlink" Target="https://www.asd.gov.au/infosec/ism/" TargetMode="External"/><Relationship Id="rId44" Type="http://schemas.openxmlformats.org/officeDocument/2006/relationships/hyperlink" Target="https://www.oaic.gov.au/privacy-law/privacy-act/notifiable-data-breaches-scheme" TargetMode="External"/><Relationship Id="rId52" Type="http://schemas.openxmlformats.org/officeDocument/2006/relationships/header" Target="header5.xml"/><Relationship Id="rId60" Type="http://schemas.openxmlformats.org/officeDocument/2006/relationships/hyperlink" Target="https://www.asd.gov.au/infosec/ism/index.htm" TargetMode="External"/><Relationship Id="rId65" Type="http://schemas.openxmlformats.org/officeDocument/2006/relationships/hyperlink" Target="https://www.oaic.gov.au/agencies-and-organisations/guides/data-breach-preparation-and-response" TargetMode="External"/><Relationship Id="rId73" Type="http://schemas.openxmlformats.org/officeDocument/2006/relationships/hyperlink" Target="https://www.asd.gov.au/infosec/top-mitigations/top-4-strategies-explained.ht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https://www.protectivesecurity.gov.au/governance/security-maturity-monitoring/Pages/default.aspx" TargetMode="External"/><Relationship Id="rId14" Type="http://schemas.openxmlformats.org/officeDocument/2006/relationships/hyperlink" Target="https://www.protectivesecurity.gov.au/physical/physical-security-entity-resources/Pages/default.aspx" TargetMode="External"/><Relationship Id="rId22" Type="http://schemas.openxmlformats.org/officeDocument/2006/relationships/footer" Target="footer1.xml"/><Relationship Id="rId27" Type="http://schemas.openxmlformats.org/officeDocument/2006/relationships/hyperlink" Target="mailto:PSPF@ag.gov.au" TargetMode="External"/><Relationship Id="rId30" Type="http://schemas.openxmlformats.org/officeDocument/2006/relationships/hyperlink" Target="http://www.asio.gov.au/" TargetMode="External"/><Relationship Id="rId35" Type="http://schemas.openxmlformats.org/officeDocument/2006/relationships/hyperlink" Target="mailto:cr@asio.gov.au" TargetMode="External"/><Relationship Id="rId43" Type="http://schemas.openxmlformats.org/officeDocument/2006/relationships/hyperlink" Target="http://www.protectivesecurity.gov.au/governance/security-governance-international-sharing/Pages/default.aspx" TargetMode="External"/><Relationship Id="rId48" Type="http://schemas.openxmlformats.org/officeDocument/2006/relationships/hyperlink" Target="mailto:hotline@nationalsecurity.gov.au" TargetMode="External"/><Relationship Id="rId56" Type="http://schemas.openxmlformats.org/officeDocument/2006/relationships/hyperlink" Target="https://govdex.gov.au" TargetMode="External"/><Relationship Id="rId64" Type="http://schemas.openxmlformats.org/officeDocument/2006/relationships/hyperlink" Target="https://www.oaic.gov.au/agencies-and-organisations/guides/guide-to-securing-personal-information" TargetMode="External"/><Relationship Id="rId69" Type="http://schemas.openxmlformats.org/officeDocument/2006/relationships/hyperlink" Target="https://www.protectivesecurity.gov.au/information/sensitive-classified-information/Pages/default.aspx" TargetMode="External"/><Relationship Id="rId77" Type="http://schemas.openxmlformats.org/officeDocument/2006/relationships/header" Target="header7.xml"/><Relationship Id="rId8" Type="http://schemas.openxmlformats.org/officeDocument/2006/relationships/hyperlink" Target="https://www.legislation.gov.au/Details/C2017C00269" TargetMode="External"/><Relationship Id="rId51" Type="http://schemas.openxmlformats.org/officeDocument/2006/relationships/footer" Target="footer4.xml"/><Relationship Id="rId72" Type="http://schemas.openxmlformats.org/officeDocument/2006/relationships/hyperlink" Target="https://www.asd.gov.au/infosec/mitigationstrategies.htm" TargetMode="External"/><Relationship Id="rId3" Type="http://schemas.openxmlformats.org/officeDocument/2006/relationships/styles" Target="styles.xml"/><Relationship Id="rId12" Type="http://schemas.openxmlformats.org/officeDocument/2006/relationships/hyperlink" Target="https://www.protectivesecurity.gov.au/information/sensitive-classified-information/Pages/default.aspx" TargetMode="External"/><Relationship Id="rId17" Type="http://schemas.openxmlformats.org/officeDocument/2006/relationships/hyperlink" Target="https://www.protectivesecurity.gov.au/governance/security-governance-international-sharing/Pages/default.aspx" TargetMode="External"/><Relationship Id="rId25" Type="http://schemas.openxmlformats.org/officeDocument/2006/relationships/footer" Target="footer3.xml"/><Relationship Id="rId33" Type="http://schemas.openxmlformats.org/officeDocument/2006/relationships/hyperlink" Target="https://www.cyber.gov.au/report" TargetMode="External"/><Relationship Id="rId38" Type="http://schemas.openxmlformats.org/officeDocument/2006/relationships/hyperlink" Target="https://www.directory.gov.au/" TargetMode="External"/><Relationship Id="rId46" Type="http://schemas.openxmlformats.org/officeDocument/2006/relationships/hyperlink" Target="https://www.afp.gov.au/contact-us/report-commonwealth-crime" TargetMode="External"/><Relationship Id="rId59" Type="http://schemas.openxmlformats.org/officeDocument/2006/relationships/hyperlink" Target="http://www.finance.gov.au/comcover/risk-management/" TargetMode="External"/><Relationship Id="rId67" Type="http://schemas.openxmlformats.org/officeDocument/2006/relationships/footer" Target="footer5.xml"/><Relationship Id="rId20" Type="http://schemas.openxmlformats.org/officeDocument/2006/relationships/header" Target="header1.xml"/><Relationship Id="rId41" Type="http://schemas.openxmlformats.org/officeDocument/2006/relationships/hyperlink" Target="mailto:scec@scec.gov.au" TargetMode="External"/><Relationship Id="rId54" Type="http://schemas.openxmlformats.org/officeDocument/2006/relationships/hyperlink" Target="https://www.anao.gov.au/about/legislation-and-standards" TargetMode="External"/><Relationship Id="rId62" Type="http://schemas.openxmlformats.org/officeDocument/2006/relationships/hyperlink" Target="http://www.naa.gov.au/information-management/digital-transition-and-digital-continuity/index.aspx" TargetMode="External"/><Relationship Id="rId70" Type="http://schemas.openxmlformats.org/officeDocument/2006/relationships/hyperlink" Target="https://www.protectivesecurity.gov.au/information/sensitive-classified-information/Pages/default.aspx" TargetMode="External"/><Relationship Id="rId75" Type="http://schemas.openxmlformats.org/officeDocument/2006/relationships/hyperlink" Target="https://www.asd.gov.au/infosec/is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rotectivesecurity.gov.au/physical/entity-facilities/Pages/default.aspx" TargetMode="External"/><Relationship Id="rId23" Type="http://schemas.openxmlformats.org/officeDocument/2006/relationships/footer" Target="footer2.xml"/><Relationship Id="rId28" Type="http://schemas.openxmlformats.org/officeDocument/2006/relationships/hyperlink" Target="https://www.legislation.gov.au/Details/C2016C01133" TargetMode="External"/><Relationship Id="rId36" Type="http://schemas.openxmlformats.org/officeDocument/2006/relationships/hyperlink" Target="http://www.defence.gov.au/AGSVA/" TargetMode="External"/><Relationship Id="rId49" Type="http://schemas.openxmlformats.org/officeDocument/2006/relationships/hyperlink" Target="https://www.nationalsecurity.gov.au/WhatAustraliaisdoing/Pages/TheNationalSecurityHotline.aspx" TargetMode="External"/><Relationship Id="rId57" Type="http://schemas.openxmlformats.org/officeDocument/2006/relationships/hyperlink" Target="http://infostore.saiglobal.com/store/Details.aspx?productID=1378670"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tiff"/></Relationships>
</file>

<file path=word/_rels/header5.xml.rels><?xml version="1.0" encoding="UTF-8" standalone="yes"?>
<Relationships xmlns="http://schemas.openxmlformats.org/package/2006/relationships"><Relationship Id="rId1" Type="http://schemas.openxmlformats.org/officeDocument/2006/relationships/image" Target="media/image2.tiff"/></Relationships>
</file>

<file path=word/_rels/header6.xml.rels><?xml version="1.0" encoding="UTF-8" standalone="yes"?>
<Relationships xmlns="http://schemas.openxmlformats.org/package/2006/relationships"><Relationship Id="rId1" Type="http://schemas.openxmlformats.org/officeDocument/2006/relationships/image" Target="media/image2.tiff"/></Relationships>
</file>

<file path=word/_rels/header7.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E7871-94ED-4E38-B64E-AED64242E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10435</Words>
  <Characters>65014</Characters>
  <Application>Microsoft Office Word</Application>
  <DocSecurity>0</DocSecurity>
  <Lines>1805</Lines>
  <Paragraphs>667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5 Reporting on security</dc:title>
  <dc:subject/>
  <dc:creator/>
  <cp:keywords/>
  <cp:lastModifiedBy/>
  <cp:revision>1</cp:revision>
  <dcterms:created xsi:type="dcterms:W3CDTF">2020-06-16T05:16:00Z</dcterms:created>
  <dcterms:modified xsi:type="dcterms:W3CDTF">2020-06-16T05:16:00Z</dcterms:modified>
</cp:coreProperties>
</file>