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70A" w:rsidRDefault="00702325" w:rsidP="00B12627">
      <w:pPr>
        <w:pStyle w:val="Heading1"/>
      </w:pPr>
      <w:r>
        <w:t>PSPF reporting p</w:t>
      </w:r>
      <w:r w:rsidR="00CB5781">
        <w:t>ortal</w:t>
      </w:r>
      <w:r w:rsidR="008C2381">
        <w:t>—</w:t>
      </w:r>
      <w:r>
        <w:t>quick s</w:t>
      </w:r>
      <w:r w:rsidR="005F2D09">
        <w:t>tart</w:t>
      </w:r>
      <w:r>
        <w:t xml:space="preserve"> g</w:t>
      </w:r>
      <w:r w:rsidR="0003019E">
        <w:t>uide</w:t>
      </w:r>
    </w:p>
    <w:p w:rsidR="0098421B" w:rsidRDefault="00061307" w:rsidP="00C6614B">
      <w:r>
        <w:t xml:space="preserve">The </w:t>
      </w:r>
      <w:r w:rsidR="00622CF5" w:rsidRPr="00D37F8D">
        <w:t>PSPF</w:t>
      </w:r>
      <w:r w:rsidR="00622CF5">
        <w:t xml:space="preserve"> </w:t>
      </w:r>
      <w:r w:rsidR="001F73BD" w:rsidRPr="00D37F8D">
        <w:t>r</w:t>
      </w:r>
      <w:r w:rsidR="00622CF5" w:rsidRPr="00D37F8D">
        <w:t xml:space="preserve">eporting </w:t>
      </w:r>
      <w:r w:rsidR="001F73BD" w:rsidRPr="00D37F8D">
        <w:t>p</w:t>
      </w:r>
      <w:r w:rsidR="00622CF5" w:rsidRPr="00D37F8D">
        <w:t xml:space="preserve">ortal </w:t>
      </w:r>
      <w:r w:rsidR="00622CF5">
        <w:t xml:space="preserve">allows </w:t>
      </w:r>
      <w:r w:rsidR="00622CF5" w:rsidRPr="00D37F8D">
        <w:t xml:space="preserve">Commonwealth </w:t>
      </w:r>
      <w:r w:rsidR="00BF2F2C" w:rsidRPr="00D37F8D">
        <w:t>entities</w:t>
      </w:r>
      <w:r w:rsidR="00C76771">
        <w:t xml:space="preserve"> </w:t>
      </w:r>
      <w:r w:rsidR="00622CF5">
        <w:t>to complete and submit their a</w:t>
      </w:r>
      <w:r w:rsidR="00626EE5">
        <w:t xml:space="preserve">nnual </w:t>
      </w:r>
      <w:r w:rsidR="00BF2F2C" w:rsidRPr="00D37F8D">
        <w:t xml:space="preserve">security </w:t>
      </w:r>
      <w:r w:rsidR="008C2381">
        <w:t>maturity self</w:t>
      </w:r>
      <w:r w:rsidR="008C2381">
        <w:noBreakHyphen/>
      </w:r>
      <w:r w:rsidR="00C23F1C">
        <w:t xml:space="preserve">assessment </w:t>
      </w:r>
      <w:r w:rsidR="00626EE5">
        <w:t>online, access benchmarking reports</w:t>
      </w:r>
      <w:r w:rsidR="00BF2F2C">
        <w:t xml:space="preserve"> </w:t>
      </w:r>
      <w:r w:rsidR="008C2381">
        <w:t xml:space="preserve">at the conclusion of the submission period and, </w:t>
      </w:r>
      <w:r w:rsidR="00607059">
        <w:t>from 2019-20</w:t>
      </w:r>
      <w:r w:rsidR="008C2381">
        <w:t>,</w:t>
      </w:r>
      <w:r w:rsidR="00840AE0">
        <w:t xml:space="preserve"> </w:t>
      </w:r>
      <w:r w:rsidR="00C76771">
        <w:t xml:space="preserve">access </w:t>
      </w:r>
      <w:r w:rsidR="00F8094A">
        <w:t>assessments and reports</w:t>
      </w:r>
      <w:r w:rsidR="00C76771" w:rsidRPr="00C76771">
        <w:t xml:space="preserve"> </w:t>
      </w:r>
      <w:r w:rsidR="00C76771">
        <w:t xml:space="preserve">from previous </w:t>
      </w:r>
      <w:r w:rsidR="00840AE0">
        <w:t>reporting periods</w:t>
      </w:r>
      <w:r w:rsidR="00626EE5">
        <w:t>.</w:t>
      </w:r>
    </w:p>
    <w:p w:rsidR="00E440E9" w:rsidRDefault="00E440E9" w:rsidP="00E440E9">
      <w:r>
        <w:t xml:space="preserve">Before accessing the portal, users should be familiar with the Protective Security Policy Framework (PSPF)—the full PSPF is available at </w:t>
      </w:r>
      <w:hyperlink r:id="rId8" w:history="1">
        <w:r w:rsidRPr="009045C2">
          <w:rPr>
            <w:rStyle w:val="Hyperlink"/>
          </w:rPr>
          <w:t>www.protectivesecurity.gov.au</w:t>
        </w:r>
      </w:hyperlink>
      <w:r>
        <w:t xml:space="preserve">. The portal has been designed to support entities to meet their reporting obligations under PSPF Policy 5: </w:t>
      </w:r>
      <w:hyperlink r:id="rId9" w:history="1">
        <w:r w:rsidRPr="00E440E9">
          <w:rPr>
            <w:rStyle w:val="Hyperlink"/>
          </w:rPr>
          <w:t>Reporting on security</w:t>
        </w:r>
      </w:hyperlink>
      <w:r>
        <w:t>.</w:t>
      </w:r>
      <w:bookmarkStart w:id="0" w:name="_GoBack"/>
      <w:bookmarkEnd w:id="0"/>
    </w:p>
    <w:p w:rsidR="00B70F1B" w:rsidRDefault="00B70F1B" w:rsidP="00B70F1B">
      <w:pPr>
        <w:pStyle w:val="Heading2"/>
        <w:rPr>
          <w:noProof/>
          <w:lang w:eastAsia="en-AU"/>
        </w:rPr>
      </w:pPr>
      <w:r>
        <w:rPr>
          <w:noProof/>
          <w:lang w:eastAsia="en-AU"/>
        </w:rPr>
        <w:t>Accessing the portal</w:t>
      </w:r>
    </w:p>
    <w:p w:rsidR="00866A69" w:rsidRDefault="00A03FBF" w:rsidP="00B70F1B">
      <w:r>
        <w:rPr>
          <w:lang w:eastAsia="en-AU"/>
        </w:rPr>
        <w:t>Registered users</w:t>
      </w:r>
      <w:r w:rsidR="00B70F1B">
        <w:rPr>
          <w:lang w:eastAsia="en-AU"/>
        </w:rPr>
        <w:t xml:space="preserve"> can access </w:t>
      </w:r>
      <w:r w:rsidR="00B70F1B">
        <w:t xml:space="preserve">the portal through the link located </w:t>
      </w:r>
      <w:r w:rsidR="00A92272">
        <w:t xml:space="preserve">in </w:t>
      </w:r>
      <w:hyperlink r:id="rId10" w:history="1">
        <w:r w:rsidR="00A92272" w:rsidRPr="00A92272">
          <w:rPr>
            <w:rStyle w:val="Hyperlink"/>
          </w:rPr>
          <w:t>PSPF annual reporting</w:t>
        </w:r>
      </w:hyperlink>
      <w:r w:rsidR="00A92272">
        <w:t xml:space="preserve"> in the </w:t>
      </w:r>
      <w:r>
        <w:t xml:space="preserve">under the </w:t>
      </w:r>
      <w:r w:rsidR="00A92272">
        <w:t xml:space="preserve">about </w:t>
      </w:r>
      <w:r>
        <w:t xml:space="preserve">tab </w:t>
      </w:r>
      <w:r w:rsidR="00B70F1B">
        <w:t xml:space="preserve">on the PSPF website </w:t>
      </w:r>
      <w:hyperlink r:id="rId11" w:history="1">
        <w:r w:rsidR="00B70F1B" w:rsidRPr="00277552">
          <w:rPr>
            <w:rStyle w:val="Hyperlink"/>
          </w:rPr>
          <w:t>www.protectivesecurity.gov.au</w:t>
        </w:r>
      </w:hyperlink>
      <w:r w:rsidR="00B70F1B">
        <w:t xml:space="preserve">. </w:t>
      </w:r>
    </w:p>
    <w:p w:rsidR="00B70F1B" w:rsidRDefault="005C0EDE" w:rsidP="00B70F1B">
      <w:pPr>
        <w:pStyle w:val="Heading3"/>
      </w:pPr>
      <w:r>
        <w:t>Account activation</w:t>
      </w:r>
    </w:p>
    <w:p w:rsidR="00B96C76" w:rsidRDefault="00B70F1B" w:rsidP="00B70F1B">
      <w:r w:rsidRPr="002C3934">
        <w:rPr>
          <w:b/>
        </w:rPr>
        <w:t>New users</w:t>
      </w:r>
      <w:r>
        <w:t xml:space="preserve"> will receive an email with a link to </w:t>
      </w:r>
      <w:r w:rsidR="005C0EDE">
        <w:t>activate your account</w:t>
      </w:r>
      <w:r>
        <w:t xml:space="preserve"> </w:t>
      </w:r>
      <w:r w:rsidR="00D056A7">
        <w:t>on</w:t>
      </w:r>
      <w:r>
        <w:t xml:space="preserve"> the portal.</w:t>
      </w:r>
      <w:r w:rsidR="00D056A7">
        <w:t xml:space="preserve"> Follow the link </w:t>
      </w:r>
      <w:r w:rsidR="001659FD">
        <w:t xml:space="preserve">and complete the </w:t>
      </w:r>
      <w:r w:rsidR="005C0EDE">
        <w:t xml:space="preserve">online </w:t>
      </w:r>
      <w:r w:rsidR="001659FD">
        <w:t xml:space="preserve">registration. </w:t>
      </w:r>
    </w:p>
    <w:p w:rsidR="00B70F1B" w:rsidRDefault="001659FD" w:rsidP="00B70F1B">
      <w:r>
        <w:t xml:space="preserve">You will be asked to accept the conditions for access and to create a password that meets the complexity </w:t>
      </w:r>
      <w:proofErr w:type="gramStart"/>
      <w:r>
        <w:t>requirements</w:t>
      </w:r>
      <w:proofErr w:type="gramEnd"/>
      <w:r>
        <w:t xml:space="preserve"> set out in the Australian Government Information Security Manual.</w:t>
      </w:r>
    </w:p>
    <w:p w:rsidR="00F25C5F" w:rsidRDefault="00F25C5F" w:rsidP="00B70F1B">
      <w:r>
        <w:t>The link in your</w:t>
      </w:r>
      <w:r w:rsidR="00652A5E">
        <w:t xml:space="preserve"> </w:t>
      </w:r>
      <w:r w:rsidR="005C0EDE">
        <w:t>activation</w:t>
      </w:r>
      <w:r w:rsidR="00652A5E">
        <w:t xml:space="preserve"> email will expire after </w:t>
      </w:r>
      <w:r w:rsidR="008D2FDB">
        <w:t>48</w:t>
      </w:r>
      <w:r w:rsidR="00652A5E">
        <w:t xml:space="preserve"> hours. If you need a new </w:t>
      </w:r>
      <w:r w:rsidR="005C0EDE">
        <w:t>activation</w:t>
      </w:r>
      <w:r w:rsidR="00652A5E">
        <w:t xml:space="preserve"> link contact your</w:t>
      </w:r>
      <w:r w:rsidR="00DC2E2B" w:rsidRPr="00DC2E2B">
        <w:t xml:space="preserve"> </w:t>
      </w:r>
      <w:r w:rsidR="00DC2E2B">
        <w:t>Chief Security Officer (CSO)</w:t>
      </w:r>
      <w:r w:rsidR="00652A5E">
        <w:t xml:space="preserve"> or entity </w:t>
      </w:r>
      <w:r w:rsidR="00CD2F71">
        <w:t xml:space="preserve">user </w:t>
      </w:r>
      <w:r w:rsidR="00652A5E">
        <w:t xml:space="preserve">administrator. </w:t>
      </w:r>
    </w:p>
    <w:p w:rsidR="00DC2E2B" w:rsidRDefault="00DC2E2B" w:rsidP="00DC2E2B">
      <w:pPr>
        <w:pBdr>
          <w:top w:val="single" w:sz="12" w:space="1" w:color="8064A2" w:themeColor="accent4"/>
          <w:left w:val="single" w:sz="12" w:space="4" w:color="8064A2" w:themeColor="accent4"/>
          <w:bottom w:val="single" w:sz="12" w:space="1" w:color="8064A2" w:themeColor="accent4"/>
          <w:right w:val="single" w:sz="12" w:space="4" w:color="8064A2" w:themeColor="accent4"/>
        </w:pBdr>
        <w:shd w:val="clear" w:color="auto" w:fill="E5DFEC" w:themeFill="accent4" w:themeFillTint="33"/>
      </w:pPr>
      <w:r>
        <w:t>Note! The Attorney-General's Department maintains a list of all</w:t>
      </w:r>
      <w:r w:rsidRPr="00DC2E2B">
        <w:t xml:space="preserve"> </w:t>
      </w:r>
      <w:r>
        <w:t xml:space="preserve">CSOs. CSOs accessing the portal for the first time will automatically receive their account activation email at the start of the assessment period. </w:t>
      </w:r>
    </w:p>
    <w:p w:rsidR="00DC2E2B" w:rsidRDefault="00DC2E2B" w:rsidP="00DC2E2B">
      <w:pPr>
        <w:pBdr>
          <w:top w:val="single" w:sz="12" w:space="1" w:color="8064A2" w:themeColor="accent4"/>
          <w:left w:val="single" w:sz="12" w:space="4" w:color="8064A2" w:themeColor="accent4"/>
          <w:bottom w:val="single" w:sz="12" w:space="1" w:color="8064A2" w:themeColor="accent4"/>
          <w:right w:val="single" w:sz="12" w:space="4" w:color="8064A2" w:themeColor="accent4"/>
        </w:pBdr>
        <w:shd w:val="clear" w:color="auto" w:fill="E5DFEC" w:themeFill="accent4" w:themeFillTint="33"/>
        <w:rPr>
          <w:lang w:eastAsia="en-AU"/>
        </w:rPr>
      </w:pPr>
      <w:r>
        <w:t xml:space="preserve">To request changes to an entity’s CSO details, contact the PSPF reporting team at </w:t>
      </w:r>
      <w:hyperlink r:id="rId12" w:history="1">
        <w:r w:rsidRPr="00386F48">
          <w:t>PSPFreporting@ag.gov.au</w:t>
        </w:r>
      </w:hyperlink>
      <w:r>
        <w:t xml:space="preserve"> or on 02 6141 3600.</w:t>
      </w:r>
    </w:p>
    <w:p w:rsidR="00B70F1B" w:rsidRDefault="00B70F1B" w:rsidP="00B70F1B">
      <w:pPr>
        <w:pStyle w:val="Heading3"/>
      </w:pPr>
      <w:r>
        <w:t>Logging in</w:t>
      </w:r>
    </w:p>
    <w:p w:rsidR="005C0EDE" w:rsidRDefault="00B70F1B" w:rsidP="00B70F1B">
      <w:r>
        <w:t>Log</w:t>
      </w:r>
      <w:r w:rsidR="00CD2F71">
        <w:t>ging i</w:t>
      </w:r>
      <w:r>
        <w:t>n to the porta</w:t>
      </w:r>
      <w:r w:rsidR="00CD2F71">
        <w:t>l uses two</w:t>
      </w:r>
      <w:r w:rsidR="005C0EDE">
        <w:t>-factor authentication.</w:t>
      </w:r>
    </w:p>
    <w:p w:rsidR="00C0148C" w:rsidRPr="00E440E9" w:rsidRDefault="00C0148C" w:rsidP="00E440E9">
      <w:pPr>
        <w:pStyle w:val="Listbullet1"/>
        <w:spacing w:after="0"/>
        <w:rPr>
          <w:b/>
        </w:rPr>
      </w:pPr>
      <w:r w:rsidRPr="00E440E9">
        <w:rPr>
          <w:b/>
        </w:rPr>
        <w:t>Factor 1—Username and password</w:t>
      </w:r>
    </w:p>
    <w:p w:rsidR="00C0148C" w:rsidRDefault="00C0148C" w:rsidP="00E440E9">
      <w:pPr>
        <w:pStyle w:val="ListParagraph"/>
        <w:numPr>
          <w:ilvl w:val="0"/>
          <w:numId w:val="24"/>
        </w:numPr>
        <w:spacing w:after="0"/>
      </w:pPr>
      <w:r>
        <w:t>Your username is your registered email address</w:t>
      </w:r>
      <w:r w:rsidR="00EF021C">
        <w:t xml:space="preserve">. If you forget your password, click on the </w:t>
      </w:r>
      <w:r w:rsidR="00866A69">
        <w:t>‘</w:t>
      </w:r>
      <w:r w:rsidR="00CD2F71">
        <w:t>F</w:t>
      </w:r>
      <w:r w:rsidR="00866A69">
        <w:t xml:space="preserve">orgot </w:t>
      </w:r>
      <w:r w:rsidR="00CD2F71">
        <w:t>P</w:t>
      </w:r>
      <w:r w:rsidR="00866A69">
        <w:t>assword</w:t>
      </w:r>
      <w:r w:rsidR="00CD2F71">
        <w:t>?</w:t>
      </w:r>
      <w:r w:rsidR="00866A69">
        <w:t>’ link</w:t>
      </w:r>
      <w:r w:rsidR="00CD2F71">
        <w:t>.</w:t>
      </w:r>
    </w:p>
    <w:p w:rsidR="00B70F1B" w:rsidRPr="00E440E9" w:rsidRDefault="00C0148C" w:rsidP="00E440E9">
      <w:pPr>
        <w:pStyle w:val="Listbullet1"/>
        <w:spacing w:after="0"/>
        <w:rPr>
          <w:b/>
        </w:rPr>
      </w:pPr>
      <w:r w:rsidRPr="00E440E9">
        <w:rPr>
          <w:b/>
        </w:rPr>
        <w:t>Factor 2—One-time passcode</w:t>
      </w:r>
    </w:p>
    <w:p w:rsidR="005C0EDE" w:rsidRDefault="005C0EDE" w:rsidP="00E440E9">
      <w:pPr>
        <w:pStyle w:val="ListParagraph"/>
        <w:numPr>
          <w:ilvl w:val="0"/>
          <w:numId w:val="24"/>
        </w:numPr>
        <w:spacing w:after="0"/>
      </w:pPr>
      <w:r>
        <w:t>When yo</w:t>
      </w:r>
      <w:r w:rsidR="00C0148C">
        <w:t>u enter your user</w:t>
      </w:r>
      <w:r>
        <w:t xml:space="preserve">name and password, the portal will send you an email with a one-time passcode. You will need to enter the one-time passcode within </w:t>
      </w:r>
      <w:r w:rsidR="00A92272">
        <w:t xml:space="preserve">15 </w:t>
      </w:r>
      <w:r w:rsidR="00B96C76">
        <w:t>minutes</w:t>
      </w:r>
      <w:r w:rsidR="00CD2F71">
        <w:t>.</w:t>
      </w:r>
    </w:p>
    <w:p w:rsidR="00B70F1B" w:rsidRPr="005F09F7" w:rsidRDefault="00866A69" w:rsidP="00B70F1B">
      <w:pPr>
        <w:pStyle w:val="Heading3"/>
      </w:pPr>
      <w:r>
        <w:t>Requesting access</w:t>
      </w:r>
    </w:p>
    <w:p w:rsidR="00B70F1B" w:rsidRDefault="00B70F1B" w:rsidP="00B70F1B">
      <w:r>
        <w:t xml:space="preserve">The entity’s CSO or their delegated entity </w:t>
      </w:r>
      <w:r w:rsidR="00CD2F71">
        <w:t xml:space="preserve">user </w:t>
      </w:r>
      <w:r>
        <w:t xml:space="preserve">administrator manages </w:t>
      </w:r>
      <w:r w:rsidR="00866A69">
        <w:t xml:space="preserve">access to the </w:t>
      </w:r>
      <w:r>
        <w:t xml:space="preserve">portal. Contact your CSO </w:t>
      </w:r>
      <w:r w:rsidR="00F25C5F">
        <w:t xml:space="preserve">or </w:t>
      </w:r>
      <w:r w:rsidR="00CD2F71">
        <w:t>user</w:t>
      </w:r>
      <w:r w:rsidR="00F25C5F">
        <w:t xml:space="preserve"> administrator </w:t>
      </w:r>
      <w:r>
        <w:t>to request access</w:t>
      </w:r>
      <w:r w:rsidR="005C0EDE">
        <w:t xml:space="preserve"> </w:t>
      </w:r>
      <w:r w:rsidR="00866A69">
        <w:t xml:space="preserve">to the portal or changes to your user role, </w:t>
      </w:r>
      <w:r w:rsidR="005C0EDE">
        <w:t>or if you need a new activation link</w:t>
      </w:r>
      <w:r>
        <w:t>.</w:t>
      </w:r>
    </w:p>
    <w:p w:rsidR="00B70F1B" w:rsidRPr="003778F5" w:rsidRDefault="00B70F1B" w:rsidP="00B70F1B">
      <w:pPr>
        <w:pBdr>
          <w:top w:val="single" w:sz="12" w:space="1" w:color="8064A2" w:themeColor="accent4"/>
          <w:left w:val="single" w:sz="12" w:space="4" w:color="8064A2" w:themeColor="accent4"/>
          <w:bottom w:val="single" w:sz="12" w:space="1" w:color="8064A2" w:themeColor="accent4"/>
          <w:right w:val="single" w:sz="12" w:space="4" w:color="8064A2" w:themeColor="accent4"/>
        </w:pBdr>
        <w:shd w:val="clear" w:color="auto" w:fill="E5DFEC" w:themeFill="accent4" w:themeFillTint="33"/>
      </w:pPr>
      <w:r>
        <w:t xml:space="preserve">Note! If user changes are required and the CSO and entity </w:t>
      </w:r>
      <w:r w:rsidR="00CD2F71">
        <w:t xml:space="preserve">user </w:t>
      </w:r>
      <w:r>
        <w:t xml:space="preserve">administrator are not available, contact the PSPF reporting team at </w:t>
      </w:r>
      <w:hyperlink r:id="rId13" w:history="1">
        <w:r w:rsidRPr="00386F48">
          <w:t>PSPFreporting@ag.gov.au</w:t>
        </w:r>
      </w:hyperlink>
      <w:r>
        <w:t xml:space="preserve"> or on 02 6141 3600. </w:t>
      </w:r>
    </w:p>
    <w:p w:rsidR="00EF021C" w:rsidRDefault="00EF021C">
      <w:pPr>
        <w:spacing w:after="200" w:line="276" w:lineRule="auto"/>
        <w:rPr>
          <w:rFonts w:eastAsia="SimSun" w:cs="Angsana New"/>
          <w:b/>
          <w:bCs/>
          <w:iCs/>
          <w:color w:val="463A70"/>
          <w:sz w:val="40"/>
          <w:szCs w:val="48"/>
        </w:rPr>
      </w:pPr>
      <w:r>
        <w:br w:type="page"/>
      </w:r>
    </w:p>
    <w:p w:rsidR="00866A69" w:rsidRDefault="00077FB4" w:rsidP="00D0043E">
      <w:pPr>
        <w:pStyle w:val="Heading2"/>
        <w:spacing w:before="120"/>
      </w:pPr>
      <w:r>
        <w:lastRenderedPageBreak/>
        <w:t>The assessment process</w:t>
      </w:r>
    </w:p>
    <w:p w:rsidR="008C2381" w:rsidRPr="008C2381" w:rsidRDefault="008C2381" w:rsidP="008C2381">
      <w:r>
        <w:t xml:space="preserve">There are four </w:t>
      </w:r>
      <w:r w:rsidR="00BF5A61">
        <w:t>processes</w:t>
      </w:r>
      <w:r>
        <w:t xml:space="preserve"> to complete and submit the annual </w:t>
      </w:r>
      <w:r w:rsidRPr="00D37F8D">
        <w:t xml:space="preserve">security </w:t>
      </w:r>
      <w:r>
        <w:t>maturity self</w:t>
      </w:r>
      <w:r>
        <w:noBreakHyphen/>
        <w:t xml:space="preserve">assessment online. </w:t>
      </w:r>
    </w:p>
    <w:p w:rsidR="00C23F1C" w:rsidRPr="00C23F1C" w:rsidRDefault="00C23F1C" w:rsidP="00C23F1C">
      <w:pPr>
        <w:pStyle w:val="Caption"/>
      </w:pPr>
      <w:r>
        <w:t xml:space="preserve">Figure </w:t>
      </w:r>
      <w:r w:rsidR="008477EB">
        <w:rPr>
          <w:noProof/>
        </w:rPr>
        <w:fldChar w:fldCharType="begin"/>
      </w:r>
      <w:r w:rsidR="008477EB">
        <w:rPr>
          <w:noProof/>
        </w:rPr>
        <w:instrText xml:space="preserve"> SEQ Figure \* ARABIC </w:instrText>
      </w:r>
      <w:r w:rsidR="008477EB">
        <w:rPr>
          <w:noProof/>
        </w:rPr>
        <w:fldChar w:fldCharType="separate"/>
      </w:r>
      <w:r w:rsidR="00C47B92">
        <w:rPr>
          <w:noProof/>
        </w:rPr>
        <w:t>1</w:t>
      </w:r>
      <w:r w:rsidR="008477EB">
        <w:rPr>
          <w:noProof/>
        </w:rPr>
        <w:fldChar w:fldCharType="end"/>
      </w:r>
      <w:r>
        <w:t xml:space="preserve"> PSPF assessment flow chart</w:t>
      </w:r>
    </w:p>
    <w:p w:rsidR="00D63767" w:rsidRDefault="007B287D" w:rsidP="007B287D">
      <w:pPr>
        <w:pStyle w:val="Casestudytext"/>
        <w:pBdr>
          <w:left w:val="single" w:sz="12" w:space="3" w:color="463A70"/>
        </w:pBdr>
        <w:tabs>
          <w:tab w:val="left" w:pos="284"/>
          <w:tab w:val="left" w:pos="8700"/>
        </w:tabs>
        <w:spacing w:after="60"/>
      </w:pPr>
      <w:r>
        <w:tab/>
      </w:r>
      <w:r>
        <w:tab/>
      </w:r>
    </w:p>
    <w:p w:rsidR="00D63767" w:rsidRDefault="009762DF" w:rsidP="00D63767">
      <w:pPr>
        <w:pStyle w:val="Casestudytext"/>
        <w:pBdr>
          <w:left w:val="single" w:sz="12" w:space="3" w:color="463A70"/>
        </w:pBdr>
        <w:tabs>
          <w:tab w:val="left" w:pos="284"/>
        </w:tabs>
        <w:spacing w:after="60"/>
        <w:jc w:val="center"/>
      </w:pPr>
      <w:r>
        <w:rPr>
          <w:noProof/>
          <w:lang w:eastAsia="en-AU"/>
        </w:rPr>
        <mc:AlternateContent>
          <mc:Choice Requires="wps">
            <w:drawing>
              <wp:anchor distT="0" distB="0" distL="114300" distR="114300" simplePos="0" relativeHeight="251639296" behindDoc="0" locked="0" layoutInCell="1" allowOverlap="1" wp14:anchorId="682B160A" wp14:editId="57F96136">
                <wp:simplePos x="0" y="0"/>
                <wp:positionH relativeFrom="column">
                  <wp:posOffset>5467350</wp:posOffset>
                </wp:positionH>
                <wp:positionV relativeFrom="paragraph">
                  <wp:posOffset>2540</wp:posOffset>
                </wp:positionV>
                <wp:extent cx="1123950" cy="914400"/>
                <wp:effectExtent l="0" t="0" r="19050" b="19050"/>
                <wp:wrapNone/>
                <wp:docPr id="26" name="Rounded Rectangle 26" descr="There are four boxes in the flow chart. This is box 4: CSO:Submit assessment" title="Figure 1 PSPF assessment flow chart"/>
                <wp:cNvGraphicFramePr/>
                <a:graphic xmlns:a="http://schemas.openxmlformats.org/drawingml/2006/main">
                  <a:graphicData uri="http://schemas.microsoft.com/office/word/2010/wordprocessingShape">
                    <wps:wsp>
                      <wps:cNvSpPr/>
                      <wps:spPr>
                        <a:xfrm>
                          <a:off x="0" y="0"/>
                          <a:ext cx="1123950" cy="914400"/>
                        </a:xfrm>
                        <a:prstGeom prst="roundRect">
                          <a:avLst/>
                        </a:prstGeom>
                        <a:solidFill>
                          <a:srgbClr val="624C80"/>
                        </a:solidFill>
                        <a:ln>
                          <a:solidFill>
                            <a:srgbClr val="624C8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B3845" w:rsidRDefault="00C23F1C" w:rsidP="00C23F1C">
                            <w:pPr>
                              <w:spacing w:after="0"/>
                              <w:jc w:val="center"/>
                            </w:pPr>
                            <w:r>
                              <w:t>CSO</w:t>
                            </w:r>
                            <w:r w:rsidR="00BB3845">
                              <w:t>:</w:t>
                            </w:r>
                          </w:p>
                          <w:p w:rsidR="00C23F1C" w:rsidRDefault="00C23F1C" w:rsidP="00C23F1C">
                            <w:pPr>
                              <w:spacing w:after="0"/>
                              <w:jc w:val="center"/>
                            </w:pPr>
                            <w:r>
                              <w:t xml:space="preserve"> </w:t>
                            </w:r>
                            <w:r w:rsidR="00F34A23">
                              <w:t>S</w:t>
                            </w:r>
                            <w:r w:rsidR="00BB3845">
                              <w:t>ubmit</w:t>
                            </w:r>
                            <w:r>
                              <w:t xml:space="preserve"> assessment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82B160A" id="Rounded Rectangle 26" o:spid="_x0000_s1026" alt="Title: Figure 1 PSPF assessment flow chart - Description: There are four boxes in the flow chart. This is box 4: CSO:Submit assessment" style="position:absolute;left:0;text-align:left;margin-left:430.5pt;margin-top:.2pt;width:88.5pt;height:1in;z-index:251639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" fillcolor="#624c80" strokecolor="#624c80" strokeweight="2pt">
                <v:textbox>
                  <w:txbxContent>
                    <w:p w:rsidR="00BB3845" w:rsidRDefault="00C23F1C" w:rsidP="00C23F1C">
                      <w:pPr>
                        <w:spacing w:after="0"/>
                        <w:jc w:val="center"/>
                      </w:pPr>
                      <w:r>
                        <w:t>CSO</w:t>
                      </w:r>
                      <w:r w:rsidR="00BB3845">
                        <w:t>:</w:t>
                      </w:r>
                    </w:p>
                    <w:p w:rsidR="00C23F1C" w:rsidRDefault="00C23F1C" w:rsidP="00C23F1C">
                      <w:pPr>
                        <w:spacing w:after="0"/>
                        <w:jc w:val="center"/>
                      </w:pPr>
                      <w:r>
                        <w:t xml:space="preserve"> </w:t>
                      </w:r>
                      <w:r w:rsidR="00F34A23">
                        <w:t>S</w:t>
                      </w:r>
                      <w:r w:rsidR="00BB3845">
                        <w:t>ubmit</w:t>
                      </w:r>
                      <w:r>
                        <w:t xml:space="preserve"> assessment</w:t>
                      </w:r>
                    </w:p>
                  </w:txbxContent>
                </v:textbox>
              </v:roundrect>
            </w:pict>
          </mc:Fallback>
        </mc:AlternateContent>
      </w:r>
      <w:r>
        <w:rPr>
          <w:noProof/>
          <w:lang w:eastAsia="en-AU"/>
        </w:rPr>
        <mc:AlternateContent>
          <mc:Choice Requires="wps">
            <w:drawing>
              <wp:anchor distT="0" distB="0" distL="114300" distR="114300" simplePos="0" relativeHeight="251637248" behindDoc="0" locked="0" layoutInCell="1" allowOverlap="1" wp14:anchorId="15133DD2" wp14:editId="1E3755AB">
                <wp:simplePos x="0" y="0"/>
                <wp:positionH relativeFrom="column">
                  <wp:posOffset>3752850</wp:posOffset>
                </wp:positionH>
                <wp:positionV relativeFrom="paragraph">
                  <wp:posOffset>2540</wp:posOffset>
                </wp:positionV>
                <wp:extent cx="1143000" cy="914400"/>
                <wp:effectExtent l="0" t="0" r="19050" b="19050"/>
                <wp:wrapNone/>
                <wp:docPr id="24" name="Rounded Rectangle 24" descr="There are four boxes in the flow chart. This is box 3: Accountable Authority: Approve assessment (offline)." title="Figure 1 PSPF assessment flow chart"/>
                <wp:cNvGraphicFramePr/>
                <a:graphic xmlns:a="http://schemas.openxmlformats.org/drawingml/2006/main">
                  <a:graphicData uri="http://schemas.microsoft.com/office/word/2010/wordprocessingShape">
                    <wps:wsp>
                      <wps:cNvSpPr/>
                      <wps:spPr>
                        <a:xfrm>
                          <a:off x="0" y="0"/>
                          <a:ext cx="1143000" cy="914400"/>
                        </a:xfrm>
                        <a:prstGeom prst="roundRect">
                          <a:avLst/>
                        </a:prstGeom>
                        <a:solidFill>
                          <a:srgbClr val="DFD8E8"/>
                        </a:solidFill>
                        <a:ln>
                          <a:solidFill>
                            <a:srgbClr val="624C80"/>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C23F1C" w:rsidRDefault="00C23F1C" w:rsidP="00C23F1C">
                            <w:pPr>
                              <w:spacing w:after="0"/>
                              <w:jc w:val="center"/>
                              <w:rPr>
                                <w:color w:val="5F497A" w:themeColor="accent4" w:themeShade="BF"/>
                              </w:rPr>
                            </w:pPr>
                            <w:r w:rsidRPr="00C23F1C">
                              <w:rPr>
                                <w:color w:val="5F497A" w:themeColor="accent4" w:themeShade="BF"/>
                              </w:rPr>
                              <w:t xml:space="preserve">Accountable </w:t>
                            </w:r>
                            <w:r w:rsidR="00085DB1">
                              <w:rPr>
                                <w:color w:val="5F497A" w:themeColor="accent4" w:themeShade="BF"/>
                              </w:rPr>
                              <w:t>A</w:t>
                            </w:r>
                            <w:r w:rsidRPr="00C23F1C">
                              <w:rPr>
                                <w:color w:val="5F497A" w:themeColor="accent4" w:themeShade="BF"/>
                              </w:rPr>
                              <w:t>uthority</w:t>
                            </w:r>
                            <w:r w:rsidR="00BB3845">
                              <w:rPr>
                                <w:color w:val="5F497A" w:themeColor="accent4" w:themeShade="BF"/>
                              </w:rPr>
                              <w:t xml:space="preserve">: </w:t>
                            </w:r>
                            <w:r w:rsidR="00F34A23">
                              <w:rPr>
                                <w:color w:val="5F497A" w:themeColor="accent4" w:themeShade="BF"/>
                              </w:rPr>
                              <w:t>Approve</w:t>
                            </w:r>
                            <w:r w:rsidR="00BB3845">
                              <w:rPr>
                                <w:color w:val="5F497A" w:themeColor="accent4" w:themeShade="BF"/>
                              </w:rPr>
                              <w:t xml:space="preserve"> </w:t>
                            </w:r>
                            <w:r w:rsidR="00F34A23">
                              <w:rPr>
                                <w:color w:val="5F497A" w:themeColor="accent4" w:themeShade="BF"/>
                              </w:rPr>
                              <w:t>assessment</w:t>
                            </w:r>
                          </w:p>
                          <w:p w:rsidR="008C2381" w:rsidRPr="008C2381" w:rsidRDefault="008C2381" w:rsidP="008C2381">
                            <w:pPr>
                              <w:spacing w:after="0" w:line="160" w:lineRule="exact"/>
                              <w:jc w:val="center"/>
                              <w:rPr>
                                <w:color w:val="5F497A" w:themeColor="accent4" w:themeShade="BF"/>
                                <w:sz w:val="18"/>
                              </w:rPr>
                            </w:pPr>
                            <w:r w:rsidRPr="008C2381">
                              <w:rPr>
                                <w:color w:val="5F497A" w:themeColor="accent4" w:themeShade="BF"/>
                                <w:sz w:val="18"/>
                              </w:rPr>
                              <w:t>(</w:t>
                            </w:r>
                            <w:proofErr w:type="gramStart"/>
                            <w:r w:rsidRPr="008C2381">
                              <w:rPr>
                                <w:color w:val="5F497A" w:themeColor="accent4" w:themeShade="BF"/>
                                <w:sz w:val="18"/>
                              </w:rPr>
                              <w:t>offline</w:t>
                            </w:r>
                            <w:proofErr w:type="gramEnd"/>
                            <w:r w:rsidRPr="008C2381">
                              <w:rPr>
                                <w:color w:val="5F497A" w:themeColor="accent4" w:themeShade="BF"/>
                                <w:sz w:val="18"/>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5133DD2" id="Rounded Rectangle 24" o:spid="_x0000_s1027" alt="Title: Figure 1 PSPF assessment flow chart - Description: There are four boxes in the flow chart. This is box 3: Accountable Authority: Approve assessment (offline)." style="position:absolute;left:0;text-align:left;margin-left:295.5pt;margin-top:.2pt;width:90pt;height:1in;z-index:251637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" fillcolor="#dfd8e8" strokecolor="#624c80" strokeweight="2pt">
                <v:stroke dashstyle="1 1"/>
                <v:textbox inset="1mm,0,1mm,0">
                  <w:txbxContent>
                    <w:p w:rsidR="00C23F1C" w:rsidRDefault="00C23F1C" w:rsidP="00C23F1C">
                      <w:pPr>
                        <w:spacing w:after="0"/>
                        <w:jc w:val="center"/>
                        <w:rPr>
                          <w:color w:val="5F497A" w:themeColor="accent4" w:themeShade="BF"/>
                        </w:rPr>
                      </w:pPr>
                      <w:r w:rsidRPr="00C23F1C">
                        <w:rPr>
                          <w:color w:val="5F497A" w:themeColor="accent4" w:themeShade="BF"/>
                        </w:rPr>
                        <w:t xml:space="preserve">Accountable </w:t>
                      </w:r>
                      <w:r w:rsidR="00085DB1">
                        <w:rPr>
                          <w:color w:val="5F497A" w:themeColor="accent4" w:themeShade="BF"/>
                        </w:rPr>
                        <w:t>A</w:t>
                      </w:r>
                      <w:r w:rsidRPr="00C23F1C">
                        <w:rPr>
                          <w:color w:val="5F497A" w:themeColor="accent4" w:themeShade="BF"/>
                        </w:rPr>
                        <w:t>uthority</w:t>
                      </w:r>
                      <w:r w:rsidR="00BB3845">
                        <w:rPr>
                          <w:color w:val="5F497A" w:themeColor="accent4" w:themeShade="BF"/>
                        </w:rPr>
                        <w:t xml:space="preserve">: </w:t>
                      </w:r>
                      <w:r w:rsidR="00F34A23">
                        <w:rPr>
                          <w:color w:val="5F497A" w:themeColor="accent4" w:themeShade="BF"/>
                        </w:rPr>
                        <w:t>Approve</w:t>
                      </w:r>
                      <w:r w:rsidR="00BB3845">
                        <w:rPr>
                          <w:color w:val="5F497A" w:themeColor="accent4" w:themeShade="BF"/>
                        </w:rPr>
                        <w:t xml:space="preserve"> </w:t>
                      </w:r>
                      <w:r w:rsidR="00F34A23">
                        <w:rPr>
                          <w:color w:val="5F497A" w:themeColor="accent4" w:themeShade="BF"/>
                        </w:rPr>
                        <w:t>assessment</w:t>
                      </w:r>
                    </w:p>
                    <w:p w:rsidR="008C2381" w:rsidRPr="008C2381" w:rsidRDefault="008C2381" w:rsidP="008C2381">
                      <w:pPr>
                        <w:spacing w:after="0" w:line="160" w:lineRule="exact"/>
                        <w:jc w:val="center"/>
                        <w:rPr>
                          <w:color w:val="5F497A" w:themeColor="accent4" w:themeShade="BF"/>
                          <w:sz w:val="18"/>
                        </w:rPr>
                      </w:pPr>
                      <w:r w:rsidRPr="008C2381">
                        <w:rPr>
                          <w:color w:val="5F497A" w:themeColor="accent4" w:themeShade="BF"/>
                          <w:sz w:val="18"/>
                        </w:rPr>
                        <w:t>(offline)</w:t>
                      </w:r>
                    </w:p>
                  </w:txbxContent>
                </v:textbox>
              </v:roundrect>
            </w:pict>
          </mc:Fallback>
        </mc:AlternateContent>
      </w:r>
      <w:r>
        <w:rPr>
          <w:noProof/>
          <w:lang w:eastAsia="en-AU"/>
        </w:rPr>
        <mc:AlternateContent>
          <mc:Choice Requires="wps">
            <w:drawing>
              <wp:anchor distT="0" distB="0" distL="114300" distR="114300" simplePos="0" relativeHeight="251635200" behindDoc="0" locked="0" layoutInCell="1" allowOverlap="1" wp14:anchorId="4BDE3353" wp14:editId="2663C574">
                <wp:simplePos x="0" y="0"/>
                <wp:positionH relativeFrom="column">
                  <wp:posOffset>1885950</wp:posOffset>
                </wp:positionH>
                <wp:positionV relativeFrom="paragraph">
                  <wp:posOffset>2540</wp:posOffset>
                </wp:positionV>
                <wp:extent cx="1209675" cy="914400"/>
                <wp:effectExtent l="0" t="0" r="28575" b="19050"/>
                <wp:wrapNone/>
                <wp:docPr id="22" name="Rounded Rectangle 22" descr="There are four boxes in the flow chart. This is box 2 : Entity contributors: Complete assessment." title="Figure 1 PSPF assessment flow chart"/>
                <wp:cNvGraphicFramePr/>
                <a:graphic xmlns:a="http://schemas.openxmlformats.org/drawingml/2006/main">
                  <a:graphicData uri="http://schemas.microsoft.com/office/word/2010/wordprocessingShape">
                    <wps:wsp>
                      <wps:cNvSpPr/>
                      <wps:spPr>
                        <a:xfrm>
                          <a:off x="0" y="0"/>
                          <a:ext cx="1209675" cy="914400"/>
                        </a:xfrm>
                        <a:prstGeom prst="roundRect">
                          <a:avLst/>
                        </a:prstGeom>
                        <a:solidFill>
                          <a:srgbClr val="EDEAF2"/>
                        </a:solidFill>
                        <a:ln>
                          <a:solidFill>
                            <a:srgbClr val="624C8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23F1C" w:rsidRDefault="00BB3845" w:rsidP="00C23F1C">
                            <w:pPr>
                              <w:spacing w:after="0"/>
                              <w:jc w:val="center"/>
                              <w:rPr>
                                <w:color w:val="5F497A" w:themeColor="accent4" w:themeShade="BF"/>
                              </w:rPr>
                            </w:pPr>
                            <w:r>
                              <w:rPr>
                                <w:color w:val="5F497A" w:themeColor="accent4" w:themeShade="BF"/>
                              </w:rPr>
                              <w:t xml:space="preserve"> Entity </w:t>
                            </w:r>
                            <w:r w:rsidR="008C2381">
                              <w:rPr>
                                <w:color w:val="5F497A" w:themeColor="accent4" w:themeShade="BF"/>
                              </w:rPr>
                              <w:t>c</w:t>
                            </w:r>
                            <w:r>
                              <w:rPr>
                                <w:color w:val="5F497A" w:themeColor="accent4" w:themeShade="BF"/>
                              </w:rPr>
                              <w:t>ontributors: C</w:t>
                            </w:r>
                            <w:r w:rsidR="00C23F1C">
                              <w:rPr>
                                <w:color w:val="5F497A" w:themeColor="accent4" w:themeShade="BF"/>
                              </w:rPr>
                              <w:t xml:space="preserve">omplete </w:t>
                            </w:r>
                          </w:p>
                          <w:p w:rsidR="00C23F1C" w:rsidRDefault="00C23F1C" w:rsidP="00C23F1C">
                            <w:pPr>
                              <w:spacing w:after="0"/>
                              <w:jc w:val="center"/>
                              <w:rPr>
                                <w:color w:val="5F497A" w:themeColor="accent4" w:themeShade="BF"/>
                              </w:rPr>
                            </w:pPr>
                            <w:proofErr w:type="gramStart"/>
                            <w:r>
                              <w:rPr>
                                <w:color w:val="5F497A" w:themeColor="accent4" w:themeShade="BF"/>
                              </w:rPr>
                              <w:t>assessment</w:t>
                            </w:r>
                            <w:proofErr w:type="gramEnd"/>
                            <w:r>
                              <w:rPr>
                                <w:color w:val="5F497A" w:themeColor="accent4" w:themeShade="BF"/>
                              </w:rPr>
                              <w:t xml:space="preserve"> </w:t>
                            </w:r>
                          </w:p>
                          <w:p w:rsidR="00C23F1C" w:rsidRPr="00C23F1C" w:rsidRDefault="00C23F1C" w:rsidP="00C23F1C">
                            <w:pPr>
                              <w:spacing w:after="0"/>
                              <w:jc w:val="center"/>
                              <w:rPr>
                                <w:color w:val="5F497A" w:themeColor="accent4" w:themeShade="BF"/>
                              </w:rPr>
                            </w:pPr>
                            <w:proofErr w:type="gramStart"/>
                            <w:r>
                              <w:rPr>
                                <w:color w:val="5F497A" w:themeColor="accent4" w:themeShade="BF"/>
                              </w:rPr>
                              <w:t>modules</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BDE3353" id="Rounded Rectangle 22" o:spid="_x0000_s1028" alt="Title: Figure 1 PSPF assessment flow chart - Description: There are four boxes in the flow chart. This is box 2 : Entity contributors: Complete assessment." style="position:absolute;left:0;text-align:left;margin-left:148.5pt;margin-top:.2pt;width:95.25pt;height:1in;z-index:251635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" fillcolor="#edeaf2" strokecolor="#624c80" strokeweight="2pt">
                <v:textbox>
                  <w:txbxContent>
                    <w:p w:rsidR="00C23F1C" w:rsidRDefault="00BB3845" w:rsidP="00C23F1C">
                      <w:pPr>
                        <w:spacing w:after="0"/>
                        <w:jc w:val="center"/>
                        <w:rPr>
                          <w:color w:val="5F497A" w:themeColor="accent4" w:themeShade="BF"/>
                        </w:rPr>
                      </w:pPr>
                      <w:r>
                        <w:rPr>
                          <w:color w:val="5F497A" w:themeColor="accent4" w:themeShade="BF"/>
                        </w:rPr>
                        <w:t xml:space="preserve"> Entity </w:t>
                      </w:r>
                      <w:r w:rsidR="008C2381">
                        <w:rPr>
                          <w:color w:val="5F497A" w:themeColor="accent4" w:themeShade="BF"/>
                        </w:rPr>
                        <w:t>c</w:t>
                      </w:r>
                      <w:r>
                        <w:rPr>
                          <w:color w:val="5F497A" w:themeColor="accent4" w:themeShade="BF"/>
                        </w:rPr>
                        <w:t>ontributors: C</w:t>
                      </w:r>
                      <w:r w:rsidR="00C23F1C">
                        <w:rPr>
                          <w:color w:val="5F497A" w:themeColor="accent4" w:themeShade="BF"/>
                        </w:rPr>
                        <w:t xml:space="preserve">omplete </w:t>
                      </w:r>
                    </w:p>
                    <w:p w:rsidR="00C23F1C" w:rsidRDefault="00C23F1C" w:rsidP="00C23F1C">
                      <w:pPr>
                        <w:spacing w:after="0"/>
                        <w:jc w:val="center"/>
                        <w:rPr>
                          <w:color w:val="5F497A" w:themeColor="accent4" w:themeShade="BF"/>
                        </w:rPr>
                      </w:pPr>
                      <w:r>
                        <w:rPr>
                          <w:color w:val="5F497A" w:themeColor="accent4" w:themeShade="BF"/>
                        </w:rPr>
                        <w:t xml:space="preserve">assessment </w:t>
                      </w:r>
                    </w:p>
                    <w:p w:rsidR="00C23F1C" w:rsidRPr="00C23F1C" w:rsidRDefault="00C23F1C" w:rsidP="00C23F1C">
                      <w:pPr>
                        <w:spacing w:after="0"/>
                        <w:jc w:val="center"/>
                        <w:rPr>
                          <w:color w:val="5F497A" w:themeColor="accent4" w:themeShade="BF"/>
                        </w:rPr>
                      </w:pPr>
                      <w:r>
                        <w:rPr>
                          <w:color w:val="5F497A" w:themeColor="accent4" w:themeShade="BF"/>
                        </w:rPr>
                        <w:t>modules</w:t>
                      </w:r>
                    </w:p>
                  </w:txbxContent>
                </v:textbox>
              </v:roundrect>
            </w:pict>
          </mc:Fallback>
        </mc:AlternateContent>
      </w:r>
    </w:p>
    <w:p w:rsidR="00F92F84" w:rsidRDefault="009762DF" w:rsidP="00D63767">
      <w:pPr>
        <w:pStyle w:val="Casestudytext"/>
        <w:pBdr>
          <w:left w:val="single" w:sz="12" w:space="3" w:color="463A70"/>
        </w:pBdr>
        <w:tabs>
          <w:tab w:val="left" w:pos="284"/>
        </w:tabs>
        <w:spacing w:after="60"/>
        <w:jc w:val="center"/>
      </w:pPr>
      <w:r>
        <w:rPr>
          <w:noProof/>
          <w:lang w:eastAsia="en-AU"/>
        </w:rPr>
        <mc:AlternateContent>
          <mc:Choice Requires="wps">
            <w:drawing>
              <wp:anchor distT="0" distB="0" distL="114300" distR="114300" simplePos="0" relativeHeight="251638272" behindDoc="0" locked="0" layoutInCell="1" allowOverlap="1" wp14:anchorId="5C9AC5DC" wp14:editId="38A57724">
                <wp:simplePos x="0" y="0"/>
                <wp:positionH relativeFrom="column">
                  <wp:posOffset>4943475</wp:posOffset>
                </wp:positionH>
                <wp:positionV relativeFrom="paragraph">
                  <wp:posOffset>56515</wp:posOffset>
                </wp:positionV>
                <wp:extent cx="476250" cy="484505"/>
                <wp:effectExtent l="0" t="19050" r="38100" b="29845"/>
                <wp:wrapNone/>
                <wp:docPr id="25" name="Right Arrow 25"/>
                <wp:cNvGraphicFramePr/>
                <a:graphic xmlns:a="http://schemas.openxmlformats.org/drawingml/2006/main">
                  <a:graphicData uri="http://schemas.microsoft.com/office/word/2010/wordprocessingShape">
                    <wps:wsp>
                      <wps:cNvSpPr/>
                      <wps:spPr>
                        <a:xfrm>
                          <a:off x="0" y="0"/>
                          <a:ext cx="476250" cy="484505"/>
                        </a:xfrm>
                        <a:prstGeom prst="rightArrow">
                          <a:avLst/>
                        </a:prstGeom>
                        <a:solidFill>
                          <a:srgbClr val="DFD8E8"/>
                        </a:solidFill>
                        <a:ln>
                          <a:solidFill>
                            <a:srgbClr val="624C8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61076D6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5" o:spid="_x0000_s1026" type="#_x0000_t13" style="position:absolute;margin-left:389.25pt;margin-top:4.45pt;width:37.5pt;height:38.15pt;z-index:251638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" adj="10800" fillcolor="#dfd8e8" strokecolor="#624c80" strokeweight="2pt"/>
            </w:pict>
          </mc:Fallback>
        </mc:AlternateContent>
      </w:r>
      <w:r>
        <w:rPr>
          <w:noProof/>
          <w:lang w:eastAsia="en-AU"/>
        </w:rPr>
        <mc:AlternateContent>
          <mc:Choice Requires="wps">
            <w:drawing>
              <wp:anchor distT="0" distB="0" distL="114300" distR="114300" simplePos="0" relativeHeight="251636224" behindDoc="0" locked="0" layoutInCell="1" allowOverlap="1" wp14:anchorId="3ED88156" wp14:editId="12E6913E">
                <wp:simplePos x="0" y="0"/>
                <wp:positionH relativeFrom="column">
                  <wp:posOffset>3162300</wp:posOffset>
                </wp:positionH>
                <wp:positionV relativeFrom="paragraph">
                  <wp:posOffset>56515</wp:posOffset>
                </wp:positionV>
                <wp:extent cx="514350" cy="484505"/>
                <wp:effectExtent l="0" t="19050" r="38100" b="29845"/>
                <wp:wrapNone/>
                <wp:docPr id="23" name="Right Arrow 23"/>
                <wp:cNvGraphicFramePr/>
                <a:graphic xmlns:a="http://schemas.openxmlformats.org/drawingml/2006/main">
                  <a:graphicData uri="http://schemas.microsoft.com/office/word/2010/wordprocessingShape">
                    <wps:wsp>
                      <wps:cNvSpPr/>
                      <wps:spPr>
                        <a:xfrm>
                          <a:off x="0" y="0"/>
                          <a:ext cx="514350" cy="484505"/>
                        </a:xfrm>
                        <a:prstGeom prst="rightArrow">
                          <a:avLst/>
                        </a:prstGeom>
                        <a:solidFill>
                          <a:srgbClr val="DFD8E8"/>
                        </a:solidFill>
                        <a:ln>
                          <a:solidFill>
                            <a:srgbClr val="624C8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CC63B00" id="Right Arrow 23" o:spid="_x0000_s1026" type="#_x0000_t13" style="position:absolute;margin-left:249pt;margin-top:4.45pt;width:40.5pt;height:38.15pt;z-index:251636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" adj="11427" fillcolor="#dfd8e8" strokecolor="#624c80" strokeweight="2pt"/>
            </w:pict>
          </mc:Fallback>
        </mc:AlternateContent>
      </w:r>
      <w:r>
        <w:rPr>
          <w:noProof/>
          <w:lang w:eastAsia="en-AU"/>
        </w:rPr>
        <mc:AlternateContent>
          <mc:Choice Requires="wps">
            <w:drawing>
              <wp:anchor distT="0" distB="0" distL="114300" distR="114300" simplePos="0" relativeHeight="251634176" behindDoc="0" locked="0" layoutInCell="1" allowOverlap="1" wp14:anchorId="325EB890" wp14:editId="76DB3943">
                <wp:simplePos x="0" y="0"/>
                <wp:positionH relativeFrom="column">
                  <wp:posOffset>1323975</wp:posOffset>
                </wp:positionH>
                <wp:positionV relativeFrom="paragraph">
                  <wp:posOffset>56515</wp:posOffset>
                </wp:positionV>
                <wp:extent cx="504825" cy="484505"/>
                <wp:effectExtent l="0" t="19050" r="47625" b="29845"/>
                <wp:wrapNone/>
                <wp:docPr id="21" name="Right Arrow 21"/>
                <wp:cNvGraphicFramePr/>
                <a:graphic xmlns:a="http://schemas.openxmlformats.org/drawingml/2006/main">
                  <a:graphicData uri="http://schemas.microsoft.com/office/word/2010/wordprocessingShape">
                    <wps:wsp>
                      <wps:cNvSpPr/>
                      <wps:spPr>
                        <a:xfrm>
                          <a:off x="0" y="0"/>
                          <a:ext cx="504825" cy="484505"/>
                        </a:xfrm>
                        <a:prstGeom prst="rightArrow">
                          <a:avLst/>
                        </a:prstGeom>
                        <a:solidFill>
                          <a:srgbClr val="DFD8E8"/>
                        </a:solidFill>
                        <a:ln>
                          <a:solidFill>
                            <a:srgbClr val="624C8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8E1BA0D" id="Right Arrow 21" o:spid="_x0000_s1026" type="#_x0000_t13" style="position:absolute;margin-left:104.25pt;margin-top:4.45pt;width:39.75pt;height:38.15pt;z-index:251634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" adj="11235" fillcolor="#dfd8e8" strokecolor="#624c80" strokeweight="2pt"/>
            </w:pict>
          </mc:Fallback>
        </mc:AlternateContent>
      </w:r>
    </w:p>
    <w:p w:rsidR="00F92F84" w:rsidRDefault="00F15E7C" w:rsidP="00D63767">
      <w:pPr>
        <w:pStyle w:val="Casestudytext"/>
        <w:pBdr>
          <w:left w:val="single" w:sz="12" w:space="3" w:color="463A70"/>
        </w:pBdr>
        <w:tabs>
          <w:tab w:val="left" w:pos="284"/>
        </w:tabs>
        <w:spacing w:after="60"/>
        <w:jc w:val="center"/>
      </w:pPr>
      <w:r>
        <w:rPr>
          <w:noProof/>
          <w:lang w:eastAsia="en-AU"/>
        </w:rPr>
        <mc:AlternateContent>
          <mc:Choice Requires="wps">
            <w:drawing>
              <wp:anchor distT="0" distB="0" distL="114300" distR="114300" simplePos="0" relativeHeight="251633152" behindDoc="0" locked="0" layoutInCell="1" allowOverlap="1" wp14:anchorId="5330AE15" wp14:editId="0D93474E">
                <wp:simplePos x="0" y="0"/>
                <wp:positionH relativeFrom="column">
                  <wp:posOffset>47625</wp:posOffset>
                </wp:positionH>
                <wp:positionV relativeFrom="paragraph">
                  <wp:posOffset>-384175</wp:posOffset>
                </wp:positionV>
                <wp:extent cx="1171575" cy="914400"/>
                <wp:effectExtent l="0" t="0" r="28575" b="19050"/>
                <wp:wrapNone/>
                <wp:docPr id="16" name="Rounded Rectangle 16" descr="There are four boxes in the flow chart.  This is box 1: CSO: commence assessment." title="Figure 1 PSPF assessment flow chart"/>
                <wp:cNvGraphicFramePr/>
                <a:graphic xmlns:a="http://schemas.openxmlformats.org/drawingml/2006/main">
                  <a:graphicData uri="http://schemas.microsoft.com/office/word/2010/wordprocessingShape">
                    <wps:wsp>
                      <wps:cNvSpPr/>
                      <wps:spPr>
                        <a:xfrm>
                          <a:off x="0" y="0"/>
                          <a:ext cx="1171575" cy="914400"/>
                        </a:xfrm>
                        <a:prstGeom prst="roundRect">
                          <a:avLst/>
                        </a:prstGeom>
                        <a:solidFill>
                          <a:srgbClr val="F9F7FB"/>
                        </a:solidFill>
                        <a:ln>
                          <a:solidFill>
                            <a:srgbClr val="624C8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B3845" w:rsidRDefault="00BB3845" w:rsidP="00C23F1C">
                            <w:pPr>
                              <w:spacing w:after="0"/>
                              <w:jc w:val="center"/>
                              <w:rPr>
                                <w:color w:val="5F497A" w:themeColor="accent4" w:themeShade="BF"/>
                              </w:rPr>
                            </w:pPr>
                            <w:r>
                              <w:rPr>
                                <w:color w:val="5F497A" w:themeColor="accent4" w:themeShade="BF"/>
                              </w:rPr>
                              <w:t xml:space="preserve">CSO: </w:t>
                            </w:r>
                          </w:p>
                          <w:p w:rsidR="00C23F1C" w:rsidRPr="00C23F1C" w:rsidRDefault="00BB3845" w:rsidP="00C23F1C">
                            <w:pPr>
                              <w:spacing w:after="0"/>
                              <w:jc w:val="center"/>
                              <w:rPr>
                                <w:color w:val="5F497A" w:themeColor="accent4" w:themeShade="BF"/>
                              </w:rPr>
                            </w:pPr>
                            <w:r>
                              <w:rPr>
                                <w:color w:val="5F497A" w:themeColor="accent4" w:themeShade="BF"/>
                              </w:rPr>
                              <w:t>C</w:t>
                            </w:r>
                            <w:r w:rsidR="00C23F1C">
                              <w:rPr>
                                <w:color w:val="5F497A" w:themeColor="accent4" w:themeShade="BF"/>
                              </w:rPr>
                              <w:t>ommence assessment</w:t>
                            </w:r>
                            <w:r>
                              <w:rPr>
                                <w:color w:val="5F497A" w:themeColor="accent4" w:themeShade="BF"/>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330AE15" id="Rounded Rectangle 16" o:spid="_x0000_s1029" alt="Title: Figure 1 PSPF assessment flow chart - Description: There are four boxes in the flow chart.  This is box 1: CSO: commence assessment." style="position:absolute;left:0;text-align:left;margin-left:3.75pt;margin-top:-30.25pt;width:92.25pt;height:1in;z-index:251633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" fillcolor="#f9f7fb" strokecolor="#624c80" strokeweight="2pt">
                <v:textbox>
                  <w:txbxContent>
                    <w:p w:rsidR="00BB3845" w:rsidRDefault="00BB3845" w:rsidP="00C23F1C">
                      <w:pPr>
                        <w:spacing w:after="0"/>
                        <w:jc w:val="center"/>
                        <w:rPr>
                          <w:color w:val="5F497A" w:themeColor="accent4" w:themeShade="BF"/>
                        </w:rPr>
                      </w:pPr>
                      <w:r>
                        <w:rPr>
                          <w:color w:val="5F497A" w:themeColor="accent4" w:themeShade="BF"/>
                        </w:rPr>
                        <w:t xml:space="preserve">CSO: </w:t>
                      </w:r>
                    </w:p>
                    <w:p w:rsidR="00C23F1C" w:rsidRPr="00C23F1C" w:rsidRDefault="00BB3845" w:rsidP="00C23F1C">
                      <w:pPr>
                        <w:spacing w:after="0"/>
                        <w:jc w:val="center"/>
                        <w:rPr>
                          <w:color w:val="5F497A" w:themeColor="accent4" w:themeShade="BF"/>
                        </w:rPr>
                      </w:pPr>
                      <w:r>
                        <w:rPr>
                          <w:color w:val="5F497A" w:themeColor="accent4" w:themeShade="BF"/>
                        </w:rPr>
                        <w:t>C</w:t>
                      </w:r>
                      <w:r w:rsidR="00C23F1C">
                        <w:rPr>
                          <w:color w:val="5F497A" w:themeColor="accent4" w:themeShade="BF"/>
                        </w:rPr>
                        <w:t>ommence assessment</w:t>
                      </w:r>
                      <w:r>
                        <w:rPr>
                          <w:color w:val="5F497A" w:themeColor="accent4" w:themeShade="BF"/>
                        </w:rPr>
                        <w:t xml:space="preserve"> </w:t>
                      </w:r>
                    </w:p>
                  </w:txbxContent>
                </v:textbox>
              </v:roundrect>
            </w:pict>
          </mc:Fallback>
        </mc:AlternateContent>
      </w:r>
    </w:p>
    <w:p w:rsidR="009762DF" w:rsidRDefault="009762DF" w:rsidP="00D63767">
      <w:pPr>
        <w:pStyle w:val="Casestudytext"/>
        <w:pBdr>
          <w:left w:val="single" w:sz="12" w:space="3" w:color="463A70"/>
        </w:pBdr>
        <w:tabs>
          <w:tab w:val="left" w:pos="284"/>
        </w:tabs>
        <w:spacing w:after="60"/>
        <w:jc w:val="center"/>
      </w:pPr>
    </w:p>
    <w:p w:rsidR="009762DF" w:rsidRDefault="009762DF" w:rsidP="00D63767">
      <w:pPr>
        <w:pStyle w:val="Casestudytext"/>
        <w:pBdr>
          <w:left w:val="single" w:sz="12" w:space="3" w:color="463A70"/>
        </w:pBdr>
        <w:tabs>
          <w:tab w:val="left" w:pos="284"/>
        </w:tabs>
        <w:spacing w:after="60"/>
        <w:jc w:val="center"/>
      </w:pPr>
    </w:p>
    <w:p w:rsidR="00D63767" w:rsidRDefault="00D63767" w:rsidP="00D63767">
      <w:pPr>
        <w:pStyle w:val="Casestudytext"/>
        <w:pBdr>
          <w:left w:val="single" w:sz="12" w:space="3" w:color="463A70"/>
        </w:pBdr>
        <w:tabs>
          <w:tab w:val="left" w:pos="284"/>
        </w:tabs>
        <w:spacing w:after="60"/>
        <w:jc w:val="center"/>
      </w:pPr>
    </w:p>
    <w:p w:rsidR="001659FD" w:rsidRDefault="001659FD" w:rsidP="001659FD">
      <w:pPr>
        <w:rPr>
          <w:lang w:eastAsia="en-AU"/>
        </w:rPr>
      </w:pPr>
      <w:r>
        <w:rPr>
          <w:lang w:eastAsia="en-AU"/>
        </w:rPr>
        <w:t xml:space="preserve">The portal requires the CSO to complete two of the four </w:t>
      </w:r>
      <w:r w:rsidR="00BF5A61">
        <w:rPr>
          <w:lang w:eastAsia="en-AU"/>
        </w:rPr>
        <w:t>processes</w:t>
      </w:r>
      <w:r>
        <w:rPr>
          <w:lang w:eastAsia="en-AU"/>
        </w:rPr>
        <w:t>:</w:t>
      </w:r>
    </w:p>
    <w:p w:rsidR="001659FD" w:rsidRDefault="001659FD" w:rsidP="001659FD">
      <w:pPr>
        <w:pStyle w:val="ListParagraph"/>
        <w:numPr>
          <w:ilvl w:val="0"/>
          <w:numId w:val="21"/>
        </w:numPr>
        <w:rPr>
          <w:lang w:eastAsia="en-AU"/>
        </w:rPr>
      </w:pPr>
      <w:r>
        <w:rPr>
          <w:lang w:eastAsia="en-AU"/>
        </w:rPr>
        <w:t>the CSO must commence the assessment</w:t>
      </w:r>
    </w:p>
    <w:p w:rsidR="001659FD" w:rsidRDefault="001659FD" w:rsidP="001659FD">
      <w:pPr>
        <w:pStyle w:val="ListParagraph"/>
        <w:numPr>
          <w:ilvl w:val="0"/>
          <w:numId w:val="21"/>
        </w:numPr>
        <w:rPr>
          <w:lang w:eastAsia="en-AU"/>
        </w:rPr>
      </w:pPr>
      <w:proofErr w:type="gramStart"/>
      <w:r>
        <w:rPr>
          <w:lang w:eastAsia="en-AU"/>
        </w:rPr>
        <w:t>the</w:t>
      </w:r>
      <w:proofErr w:type="gramEnd"/>
      <w:r>
        <w:rPr>
          <w:lang w:eastAsia="en-AU"/>
        </w:rPr>
        <w:t xml:space="preserve"> CSO must submit the assessment</w:t>
      </w:r>
      <w:r w:rsidR="00A92272">
        <w:rPr>
          <w:lang w:eastAsia="en-AU"/>
        </w:rPr>
        <w:t>.</w:t>
      </w:r>
    </w:p>
    <w:p w:rsidR="001659FD" w:rsidRPr="001659FD" w:rsidRDefault="001659FD" w:rsidP="001659FD">
      <w:pPr>
        <w:rPr>
          <w:lang w:eastAsia="en-AU"/>
        </w:rPr>
      </w:pPr>
      <w:r>
        <w:rPr>
          <w:lang w:eastAsia="en-AU"/>
        </w:rPr>
        <w:t>The CSO can assign responsibility for completing the assessment to other users.</w:t>
      </w:r>
      <w:r w:rsidR="00866A69">
        <w:rPr>
          <w:lang w:eastAsia="en-AU"/>
        </w:rPr>
        <w:t xml:space="preserve"> The Accountable Authority must approve the final assessment offline. The portal will generate a printable assessment (in Microsoft Word) which can be approved by the Accountable Authority through standard entity procedures. </w:t>
      </w:r>
    </w:p>
    <w:p w:rsidR="00271EA5" w:rsidRPr="00866A69" w:rsidRDefault="00271EA5" w:rsidP="00866A69">
      <w:pPr>
        <w:pStyle w:val="Heading3"/>
        <w:rPr>
          <w:iCs/>
          <w:noProof/>
          <w:color w:val="463A70"/>
          <w:sz w:val="40"/>
          <w:szCs w:val="48"/>
          <w:lang w:eastAsia="en-AU"/>
        </w:rPr>
      </w:pPr>
      <w:r w:rsidRPr="00271EA5">
        <w:rPr>
          <w:noProof/>
          <w:lang w:eastAsia="en-AU"/>
        </w:rPr>
        <w:t>Commenc</w:t>
      </w:r>
      <w:r w:rsidR="00866A69">
        <w:rPr>
          <w:noProof/>
          <w:lang w:eastAsia="en-AU"/>
        </w:rPr>
        <w:t>ing th</w:t>
      </w:r>
      <w:r w:rsidRPr="00271EA5">
        <w:rPr>
          <w:noProof/>
          <w:lang w:eastAsia="en-AU"/>
        </w:rPr>
        <w:t>e assessment</w:t>
      </w:r>
      <w:r w:rsidR="00E440E9">
        <w:rPr>
          <w:rFonts w:cs="Calibri"/>
          <w:noProof/>
          <w:lang w:eastAsia="en-AU"/>
        </w:rPr>
        <w:t>—</w:t>
      </w:r>
      <w:r w:rsidR="00077FB4">
        <w:rPr>
          <w:noProof/>
          <w:lang w:eastAsia="en-AU"/>
        </w:rPr>
        <w:t>must be done by the CSO</w:t>
      </w:r>
    </w:p>
    <w:p w:rsidR="00866A69" w:rsidRDefault="00D327E7" w:rsidP="00271EA5">
      <w:pPr>
        <w:rPr>
          <w:lang w:eastAsia="en-AU"/>
        </w:rPr>
      </w:pPr>
      <w:r>
        <w:rPr>
          <w:lang w:eastAsia="en-AU"/>
        </w:rPr>
        <w:t xml:space="preserve">At the start of </w:t>
      </w:r>
      <w:r w:rsidR="00DC2E2B">
        <w:rPr>
          <w:lang w:eastAsia="en-AU"/>
        </w:rPr>
        <w:t>the</w:t>
      </w:r>
      <w:r>
        <w:rPr>
          <w:lang w:eastAsia="en-AU"/>
        </w:rPr>
        <w:t xml:space="preserve"> new </w:t>
      </w:r>
      <w:r w:rsidR="00DC2E2B">
        <w:rPr>
          <w:lang w:eastAsia="en-AU"/>
        </w:rPr>
        <w:t>assessment period</w:t>
      </w:r>
      <w:r>
        <w:rPr>
          <w:lang w:eastAsia="en-AU"/>
        </w:rPr>
        <w:t xml:space="preserve">, </w:t>
      </w:r>
      <w:r w:rsidR="00DC2E2B">
        <w:rPr>
          <w:lang w:eastAsia="en-AU"/>
        </w:rPr>
        <w:t>all C</w:t>
      </w:r>
      <w:r>
        <w:rPr>
          <w:lang w:eastAsia="en-AU"/>
        </w:rPr>
        <w:t>SO</w:t>
      </w:r>
      <w:r w:rsidR="00DC2E2B">
        <w:rPr>
          <w:lang w:eastAsia="en-AU"/>
        </w:rPr>
        <w:t>s</w:t>
      </w:r>
      <w:r>
        <w:rPr>
          <w:lang w:eastAsia="en-AU"/>
        </w:rPr>
        <w:t xml:space="preserve"> will receive an email advising that the </w:t>
      </w:r>
      <w:r w:rsidRPr="00D327E7">
        <w:rPr>
          <w:lang w:eastAsia="en-AU"/>
        </w:rPr>
        <w:t xml:space="preserve">PSPF assessment for the entity is available for </w:t>
      </w:r>
      <w:r w:rsidR="007F0D8F">
        <w:rPr>
          <w:lang w:eastAsia="en-AU"/>
        </w:rPr>
        <w:t>commencement</w:t>
      </w:r>
      <w:r w:rsidR="00DC2E2B">
        <w:rPr>
          <w:lang w:eastAsia="en-AU"/>
        </w:rPr>
        <w:t xml:space="preserve">. The email will provide a link to login and indicate the </w:t>
      </w:r>
      <w:r w:rsidR="00DC2E2B" w:rsidRPr="00D327E7">
        <w:rPr>
          <w:lang w:eastAsia="en-AU"/>
        </w:rPr>
        <w:t>due</w:t>
      </w:r>
      <w:r w:rsidR="00DC2E2B">
        <w:rPr>
          <w:lang w:eastAsia="en-AU"/>
        </w:rPr>
        <w:t xml:space="preserve"> date for submission</w:t>
      </w:r>
      <w:r w:rsidRPr="00D327E7">
        <w:rPr>
          <w:lang w:eastAsia="en-AU"/>
        </w:rPr>
        <w:t>.</w:t>
      </w:r>
      <w:r w:rsidR="00077FB4">
        <w:rPr>
          <w:lang w:eastAsia="en-AU"/>
        </w:rPr>
        <w:t xml:space="preserve"> The CSO must complete the following four </w:t>
      </w:r>
      <w:r w:rsidR="00BF5A61">
        <w:rPr>
          <w:lang w:eastAsia="en-AU"/>
        </w:rPr>
        <w:t>steps</w:t>
      </w:r>
      <w:r w:rsidR="00077FB4">
        <w:rPr>
          <w:lang w:eastAsia="en-AU"/>
        </w:rPr>
        <w:t xml:space="preserve"> to start the assessment for the entity:</w:t>
      </w:r>
    </w:p>
    <w:p w:rsidR="00A03FBF" w:rsidRDefault="00A03FBF" w:rsidP="00271EA5">
      <w:pPr>
        <w:rPr>
          <w:lang w:eastAsia="en-AU"/>
        </w:rPr>
      </w:pPr>
      <w:r>
        <w:rPr>
          <w:noProof/>
          <w:lang w:eastAsia="en-AU"/>
        </w:rPr>
        <w:drawing>
          <wp:inline distT="0" distB="0" distL="0" distR="0">
            <wp:extent cx="6562725" cy="3714750"/>
            <wp:effectExtent l="0" t="0" r="28575"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077FB4" w:rsidRPr="00D00031" w:rsidRDefault="00077FB4" w:rsidP="00077FB4">
      <w:pPr>
        <w:pBdr>
          <w:top w:val="single" w:sz="12" w:space="1" w:color="8064A2" w:themeColor="accent4"/>
          <w:left w:val="single" w:sz="12" w:space="4" w:color="8064A2" w:themeColor="accent4"/>
          <w:bottom w:val="single" w:sz="12" w:space="1" w:color="8064A2" w:themeColor="accent4"/>
          <w:right w:val="single" w:sz="12" w:space="4" w:color="8064A2" w:themeColor="accent4"/>
        </w:pBdr>
        <w:shd w:val="clear" w:color="auto" w:fill="E5DFEC" w:themeFill="accent4" w:themeFillTint="33"/>
        <w:rPr>
          <w:lang w:eastAsia="en-AU"/>
        </w:rPr>
      </w:pPr>
      <w:r>
        <w:t>Note! For Chief Security Officers (CSOs) accessing the portal for the first time, please see the account activation information on Page 1.</w:t>
      </w:r>
    </w:p>
    <w:p w:rsidR="00623243" w:rsidRDefault="00623243">
      <w:pPr>
        <w:spacing w:after="200" w:line="276" w:lineRule="auto"/>
        <w:rPr>
          <w:rFonts w:eastAsia="SimSun" w:cs="Angsana New"/>
          <w:b/>
          <w:bCs/>
          <w:color w:val="404040"/>
          <w:sz w:val="32"/>
          <w:szCs w:val="32"/>
        </w:rPr>
      </w:pPr>
      <w:r>
        <w:br w:type="page"/>
      </w:r>
    </w:p>
    <w:p w:rsidR="00630DFB" w:rsidRDefault="00077FB4" w:rsidP="00D0043E">
      <w:pPr>
        <w:pStyle w:val="Heading3"/>
        <w:spacing w:before="120"/>
      </w:pPr>
      <w:r>
        <w:lastRenderedPageBreak/>
        <w:t>Completing</w:t>
      </w:r>
      <w:r w:rsidR="00630DFB">
        <w:t xml:space="preserve"> ass</w:t>
      </w:r>
      <w:r w:rsidR="00E440E9">
        <w:t>essment</w:t>
      </w:r>
      <w:r w:rsidR="00E440E9">
        <w:rPr>
          <w:rFonts w:cs="Calibri"/>
        </w:rPr>
        <w:t>—</w:t>
      </w:r>
      <w:r>
        <w:t>can be done by all entity contributors</w:t>
      </w:r>
    </w:p>
    <w:p w:rsidR="008F3A2C" w:rsidRDefault="003B3F68" w:rsidP="003B3F68">
      <w:r>
        <w:t xml:space="preserve">The annual </w:t>
      </w:r>
      <w:r w:rsidRPr="00D37F8D">
        <w:t xml:space="preserve">security </w:t>
      </w:r>
      <w:r>
        <w:t>maturity self</w:t>
      </w:r>
      <w:r>
        <w:noBreakHyphen/>
        <w:t>assessment is comprised of 17 modules—one for each of the 16 PSPF polices and a summary module.</w:t>
      </w:r>
      <w:r w:rsidR="002F7D43" w:rsidRPr="002F7D43">
        <w:t xml:space="preserve"> </w:t>
      </w:r>
      <w:r w:rsidR="002F7D43">
        <w:t>Contributors complete the modules to which they have access</w:t>
      </w:r>
      <w:r w:rsidR="00A92272">
        <w:t>, noting</w:t>
      </w:r>
      <w:r w:rsidR="002F7D43">
        <w:t xml:space="preserve"> modules can have multiple contributors. </w:t>
      </w:r>
    </w:p>
    <w:p w:rsidR="003B3F68" w:rsidRPr="003B3F68" w:rsidRDefault="002F7D43" w:rsidP="003B3F68">
      <w:r>
        <w:t>The portal display</w:t>
      </w:r>
      <w:r w:rsidR="008F3A2C">
        <w:t>s</w:t>
      </w:r>
      <w:r>
        <w:t xml:space="preserve"> the most recent data input and will override any previous input. </w:t>
      </w:r>
      <w:r w:rsidR="008F3A2C">
        <w:t xml:space="preserve">Contributors can use the Notes function (at the bottom of each screen) to indicate to other contributors if they have changed input or want to query </w:t>
      </w:r>
      <w:r w:rsidR="009022C1">
        <w:t xml:space="preserve">previous input. </w:t>
      </w:r>
      <w:r w:rsidR="00A92272">
        <w:t xml:space="preserve">These notes can be emailed within the portal to the applicable registered user. </w:t>
      </w:r>
      <w:r w:rsidR="009022C1">
        <w:t>The Notes function is only visible to the entity and does not form part of the assessment submission.</w:t>
      </w:r>
    </w:p>
    <w:p w:rsidR="00630DFB" w:rsidRPr="00A70CA2" w:rsidRDefault="00630DFB" w:rsidP="00226583">
      <w:pPr>
        <w:pStyle w:val="Heading4"/>
      </w:pPr>
      <w:r w:rsidRPr="00A70CA2">
        <w:t>Modules 1-16</w:t>
      </w:r>
    </w:p>
    <w:p w:rsidR="00630DFB" w:rsidRDefault="00630DFB" w:rsidP="00C6614B">
      <w:pPr>
        <w:rPr>
          <w:b/>
        </w:rPr>
      </w:pPr>
      <w:r>
        <w:t xml:space="preserve">The assessment contains a module for each of the 16 PSPF policies. Each of these </w:t>
      </w:r>
      <w:r w:rsidR="00A70CA2" w:rsidRPr="00A70CA2">
        <w:t>modules</w:t>
      </w:r>
      <w:r w:rsidRPr="00A70CA2">
        <w:t xml:space="preserve"> </w:t>
      </w:r>
      <w:r>
        <w:t>has</w:t>
      </w:r>
      <w:r w:rsidRPr="0024328D">
        <w:t xml:space="preserve"> </w:t>
      </w:r>
      <w:r>
        <w:t>two</w:t>
      </w:r>
      <w:r w:rsidRPr="0024328D">
        <w:t xml:space="preserve"> parts</w:t>
      </w:r>
      <w:r>
        <w:rPr>
          <w:b/>
        </w:rPr>
        <w:t xml:space="preserve">: </w:t>
      </w:r>
    </w:p>
    <w:p w:rsidR="00C6614B" w:rsidRPr="00226583" w:rsidRDefault="00630DFB" w:rsidP="00226583">
      <w:pPr>
        <w:pStyle w:val="Listbullet1"/>
        <w:rPr>
          <w:b/>
        </w:rPr>
      </w:pPr>
      <w:r w:rsidRPr="00226583">
        <w:rPr>
          <w:b/>
        </w:rPr>
        <w:t>Maturity questions</w:t>
      </w:r>
    </w:p>
    <w:p w:rsidR="00630DFB" w:rsidRDefault="004462BF" w:rsidP="00226583">
      <w:pPr>
        <w:pStyle w:val="ListBullet2"/>
      </w:pPr>
      <w:r>
        <w:t xml:space="preserve">Each module consists of a set of </w:t>
      </w:r>
      <w:r w:rsidR="00A70CA2">
        <w:t xml:space="preserve">questions </w:t>
      </w:r>
      <w:r w:rsidR="00630DFB">
        <w:t>drawn from the core and supporting requirements</w:t>
      </w:r>
      <w:r>
        <w:t xml:space="preserve"> in the PSPF. </w:t>
      </w:r>
    </w:p>
    <w:p w:rsidR="00226583" w:rsidRPr="00226583" w:rsidRDefault="00226583" w:rsidP="00226583">
      <w:pPr>
        <w:pStyle w:val="Listbullet1"/>
      </w:pPr>
      <w:r>
        <w:rPr>
          <w:b/>
        </w:rPr>
        <w:t>R</w:t>
      </w:r>
      <w:r w:rsidR="00630DFB" w:rsidRPr="00061307">
        <w:rPr>
          <w:b/>
        </w:rPr>
        <w:t xml:space="preserve">ationale, strategies </w:t>
      </w:r>
      <w:r>
        <w:rPr>
          <w:b/>
        </w:rPr>
        <w:t>&amp;</w:t>
      </w:r>
      <w:r w:rsidR="00630DFB" w:rsidRPr="00061307">
        <w:rPr>
          <w:b/>
        </w:rPr>
        <w:t xml:space="preserve"> timeframes</w:t>
      </w:r>
    </w:p>
    <w:p w:rsidR="00226583" w:rsidRDefault="00226583" w:rsidP="00226583">
      <w:pPr>
        <w:pStyle w:val="ListBullet2"/>
      </w:pPr>
      <w:r>
        <w:t xml:space="preserve">Based on the entity’s answers to the maturity questions, the portal will suggest a maturity </w:t>
      </w:r>
      <w:r w:rsidR="004462BF">
        <w:t>level</w:t>
      </w:r>
      <w:r>
        <w:t xml:space="preserve"> for the module. This will be displayed on a chart that shows the distribution of the </w:t>
      </w:r>
      <w:r w:rsidR="00A92272">
        <w:t xml:space="preserve">entity’s </w:t>
      </w:r>
      <w:r>
        <w:t>answers for the module.</w:t>
      </w:r>
    </w:p>
    <w:p w:rsidR="004462BF" w:rsidRDefault="004462BF" w:rsidP="00226583">
      <w:pPr>
        <w:pStyle w:val="ListBullet2"/>
      </w:pPr>
      <w:r>
        <w:t>The entity can confirm the suggested maturity level or select a higher or lower maturity level</w:t>
      </w:r>
      <w:r w:rsidR="002F7D43">
        <w:t xml:space="preserve"> to reflect the entity’s self-assessment</w:t>
      </w:r>
      <w:r>
        <w:t>.</w:t>
      </w:r>
    </w:p>
    <w:p w:rsidR="004462BF" w:rsidRDefault="002F7D43" w:rsidP="00226583">
      <w:pPr>
        <w:pStyle w:val="ListBullet2"/>
      </w:pPr>
      <w:r>
        <w:t xml:space="preserve">There is a text box to enter a rationale for the </w:t>
      </w:r>
      <w:r w:rsidR="00DF12D4">
        <w:t xml:space="preserve">final </w:t>
      </w:r>
      <w:r>
        <w:t xml:space="preserve">selected maturity level. If the entity </w:t>
      </w:r>
      <w:r w:rsidR="007F0D8F">
        <w:t xml:space="preserve">changes </w:t>
      </w:r>
      <w:r>
        <w:t xml:space="preserve">the suggested maturity level, the rationale should </w:t>
      </w:r>
      <w:r w:rsidR="00DF12D4">
        <w:t xml:space="preserve">include an </w:t>
      </w:r>
      <w:r w:rsidR="007F0D8F">
        <w:t>explanation</w:t>
      </w:r>
      <w:r>
        <w:t xml:space="preserve"> why the change is justified.</w:t>
      </w:r>
    </w:p>
    <w:p w:rsidR="002F7D43" w:rsidRDefault="002F7D43" w:rsidP="00226583">
      <w:pPr>
        <w:pStyle w:val="ListBullet2"/>
      </w:pPr>
      <w:r>
        <w:t>If the maturity level for the module is ad hoc or developing, there will be a text box to enter the proposed strategies and</w:t>
      </w:r>
      <w:r w:rsidR="00DF12D4">
        <w:t xml:space="preserve"> a separate box for the corresponding</w:t>
      </w:r>
      <w:r>
        <w:t xml:space="preserve"> timeframes to improve the entities maturity level.</w:t>
      </w:r>
    </w:p>
    <w:p w:rsidR="00630DFB" w:rsidRDefault="002F7D43" w:rsidP="00226583">
      <w:r>
        <w:t>After completing a module, the contributor can continue to the</w:t>
      </w:r>
      <w:r w:rsidR="00DF12D4">
        <w:t xml:space="preserve"> next</w:t>
      </w:r>
      <w:r>
        <w:t xml:space="preserve"> incomplete module they have access to or proceed to the summary module to add key risks that are relevant to the module</w:t>
      </w:r>
      <w:r w:rsidR="00DF12D4">
        <w:t xml:space="preserve"> just completed</w:t>
      </w:r>
      <w:r>
        <w:t>.</w:t>
      </w:r>
    </w:p>
    <w:p w:rsidR="00630DFB" w:rsidRPr="00630DFB" w:rsidRDefault="00630DFB" w:rsidP="00630DFB">
      <w:pPr>
        <w:pStyle w:val="Heading4"/>
      </w:pPr>
      <w:r w:rsidRPr="00630DFB">
        <w:t>Summary Module</w:t>
      </w:r>
    </w:p>
    <w:p w:rsidR="00A70CA2" w:rsidRDefault="00630DFB" w:rsidP="004B1D06">
      <w:r>
        <w:t>The summary module p</w:t>
      </w:r>
      <w:r w:rsidR="004B1D06">
        <w:t xml:space="preserve">rovides the final assessment of </w:t>
      </w:r>
      <w:r>
        <w:t xml:space="preserve">the </w:t>
      </w:r>
      <w:r w:rsidR="004B1D06">
        <w:t xml:space="preserve">entity’s </w:t>
      </w:r>
      <w:r>
        <w:t xml:space="preserve">overall maturity level and </w:t>
      </w:r>
      <w:r w:rsidR="00EC7DBB">
        <w:t>maturity levels</w:t>
      </w:r>
      <w:r w:rsidR="004B1D06">
        <w:t xml:space="preserve"> for each of the PSPF outcomes. These are calculated from the entity’s self-assessment </w:t>
      </w:r>
      <w:r w:rsidR="00DF12D4">
        <w:t xml:space="preserve">of </w:t>
      </w:r>
      <w:r w:rsidR="004B1D06">
        <w:t>each module.</w:t>
      </w:r>
    </w:p>
    <w:p w:rsidR="004B1D06" w:rsidRDefault="008F3A2C" w:rsidP="004B1D06">
      <w:r>
        <w:t xml:space="preserve">The summary module also includes </w:t>
      </w:r>
      <w:r w:rsidR="00F23C3E">
        <w:t>a series of</w:t>
      </w:r>
      <w:r w:rsidR="00DF12D4">
        <w:t xml:space="preserve"> </w:t>
      </w:r>
      <w:r>
        <w:t>text boxes that must be completed:</w:t>
      </w:r>
    </w:p>
    <w:p w:rsidR="00630DFB" w:rsidRPr="00D0043E" w:rsidRDefault="008F3A2C" w:rsidP="00C6614B">
      <w:pPr>
        <w:pStyle w:val="Listbullet1"/>
        <w:numPr>
          <w:ilvl w:val="0"/>
          <w:numId w:val="12"/>
        </w:numPr>
      </w:pPr>
      <w:r w:rsidRPr="008F3A2C">
        <w:rPr>
          <w:b/>
        </w:rPr>
        <w:t>S</w:t>
      </w:r>
      <w:r w:rsidR="00630DFB" w:rsidRPr="008F3A2C">
        <w:rPr>
          <w:b/>
        </w:rPr>
        <w:t xml:space="preserve">ummary of </w:t>
      </w:r>
      <w:r w:rsidR="00C47B92" w:rsidRPr="008F3A2C">
        <w:rPr>
          <w:b/>
        </w:rPr>
        <w:t>risk</w:t>
      </w:r>
      <w:r w:rsidR="00630DFB" w:rsidRPr="008F3A2C">
        <w:rPr>
          <w:b/>
        </w:rPr>
        <w:t xml:space="preserve"> environment and security capability</w:t>
      </w:r>
    </w:p>
    <w:p w:rsidR="00DF12D4" w:rsidRPr="00D0043E" w:rsidRDefault="00DF12D4" w:rsidP="00D0043E">
      <w:pPr>
        <w:pStyle w:val="Listbullet1"/>
        <w:numPr>
          <w:ilvl w:val="1"/>
          <w:numId w:val="12"/>
        </w:numPr>
      </w:pPr>
      <w:r w:rsidRPr="00D0043E">
        <w:t>Summary of risk environment</w:t>
      </w:r>
    </w:p>
    <w:p w:rsidR="00DF12D4" w:rsidRPr="00247FBC" w:rsidRDefault="00DF12D4" w:rsidP="00D0043E">
      <w:pPr>
        <w:pStyle w:val="Listbullet1"/>
        <w:numPr>
          <w:ilvl w:val="1"/>
          <w:numId w:val="12"/>
        </w:numPr>
      </w:pPr>
      <w:r w:rsidRPr="00D0043E">
        <w:t>Maturity of security capability</w:t>
      </w:r>
    </w:p>
    <w:p w:rsidR="008F3A2C" w:rsidRDefault="008F3A2C" w:rsidP="00AE25DB">
      <w:pPr>
        <w:pStyle w:val="Listbullet1"/>
        <w:numPr>
          <w:ilvl w:val="0"/>
          <w:numId w:val="12"/>
        </w:numPr>
        <w:rPr>
          <w:b/>
        </w:rPr>
      </w:pPr>
      <w:r w:rsidRPr="008F3A2C">
        <w:rPr>
          <w:b/>
        </w:rPr>
        <w:t>K</w:t>
      </w:r>
      <w:r w:rsidR="00630DFB" w:rsidRPr="008F3A2C">
        <w:rPr>
          <w:b/>
        </w:rPr>
        <w:t>ey risks to the entity’s people, information and assets</w:t>
      </w:r>
    </w:p>
    <w:p w:rsidR="00247FBC" w:rsidRPr="00D0043E" w:rsidRDefault="00247FBC" w:rsidP="00D0043E">
      <w:pPr>
        <w:pStyle w:val="Listbullet1"/>
        <w:numPr>
          <w:ilvl w:val="1"/>
          <w:numId w:val="12"/>
        </w:numPr>
      </w:pPr>
      <w:r w:rsidRPr="00D0043E">
        <w:t>Entity’s top three to five security risks</w:t>
      </w:r>
    </w:p>
    <w:p w:rsidR="00F23C3E" w:rsidRDefault="00F23C3E" w:rsidP="00D0043E">
      <w:pPr>
        <w:pStyle w:val="Listbullet1"/>
        <w:numPr>
          <w:ilvl w:val="1"/>
          <w:numId w:val="12"/>
        </w:numPr>
      </w:pPr>
      <w:r>
        <w:t>Significant security incidents—</w:t>
      </w:r>
      <w:r w:rsidRPr="00F23C3E">
        <w:t>prefilled from ongoing reporting in the PSPF reporting portal of significant security incidents)</w:t>
      </w:r>
    </w:p>
    <w:p w:rsidR="00247FBC" w:rsidRDefault="00247FBC" w:rsidP="00D0043E">
      <w:pPr>
        <w:pStyle w:val="Listbullet1"/>
        <w:numPr>
          <w:ilvl w:val="1"/>
          <w:numId w:val="12"/>
        </w:numPr>
      </w:pPr>
      <w:r w:rsidRPr="005307E6">
        <w:t>Summary of significant security incidents during the reporting period</w:t>
      </w:r>
      <w:r w:rsidR="00F23C3E">
        <w:t>—</w:t>
      </w:r>
      <w:proofErr w:type="gramStart"/>
      <w:r w:rsidR="00F23C3E">
        <w:t>Free</w:t>
      </w:r>
      <w:proofErr w:type="gramEnd"/>
      <w:r w:rsidR="00F23C3E">
        <w:t xml:space="preserve"> text for significant security incidents not recorded in the reporting portal.</w:t>
      </w:r>
      <w:r w:rsidRPr="005307E6">
        <w:t xml:space="preserve"> </w:t>
      </w:r>
    </w:p>
    <w:p w:rsidR="00247FBC" w:rsidRDefault="00247FBC" w:rsidP="00D0043E">
      <w:pPr>
        <w:pStyle w:val="Listbullet1"/>
        <w:numPr>
          <w:ilvl w:val="1"/>
          <w:numId w:val="12"/>
        </w:numPr>
      </w:pPr>
      <w:r>
        <w:t>Exceptional circumstances (if applicable)—prefilled from Module 1 Role of the accountable authority</w:t>
      </w:r>
    </w:p>
    <w:p w:rsidR="00F23C3E" w:rsidRDefault="00F23C3E" w:rsidP="00F23C3E">
      <w:pPr>
        <w:pStyle w:val="Listbullet1"/>
        <w:numPr>
          <w:ilvl w:val="0"/>
          <w:numId w:val="12"/>
        </w:numPr>
      </w:pPr>
      <w:r>
        <w:t>Personnel security clear</w:t>
      </w:r>
      <w:r w:rsidR="00D0043E">
        <w:t>a</w:t>
      </w:r>
      <w:r>
        <w:t>nces</w:t>
      </w:r>
    </w:p>
    <w:p w:rsidR="00F23C3E" w:rsidRPr="005307E6" w:rsidRDefault="00F23C3E" w:rsidP="00D0043E">
      <w:pPr>
        <w:pStyle w:val="Listbullet1"/>
        <w:numPr>
          <w:ilvl w:val="1"/>
          <w:numId w:val="12"/>
        </w:numPr>
      </w:pPr>
      <w:r>
        <w:t>Active clearances sponsored by the entity</w:t>
      </w:r>
    </w:p>
    <w:p w:rsidR="008F3A2C" w:rsidRPr="00EC7DBB" w:rsidRDefault="008F3A2C" w:rsidP="00D0043E">
      <w:pPr>
        <w:pStyle w:val="Listbullet1"/>
        <w:numPr>
          <w:ilvl w:val="1"/>
          <w:numId w:val="12"/>
        </w:numPr>
      </w:pPr>
      <w:r>
        <w:t>Personnel security clearance waivers—prefilled from Module 12 Eligibility and suitability of personnel and Module 13 Ongoing assessment of personnel</w:t>
      </w:r>
    </w:p>
    <w:p w:rsidR="00630DFB" w:rsidRDefault="00630DFB" w:rsidP="002F7D43">
      <w:r>
        <w:t xml:space="preserve">Summary module information can be entered by contributors at any time while the assessment is open. </w:t>
      </w:r>
    </w:p>
    <w:p w:rsidR="00F23C3E" w:rsidRDefault="00F23C3E" w:rsidP="005307E6">
      <w:pPr>
        <w:pStyle w:val="Heading3"/>
        <w:spacing w:before="120"/>
        <w:rPr>
          <w:noProof/>
          <w:lang w:eastAsia="en-AU"/>
        </w:rPr>
      </w:pPr>
      <w:r>
        <w:rPr>
          <w:noProof/>
          <w:lang w:eastAsia="en-AU"/>
        </w:rPr>
        <w:lastRenderedPageBreak/>
        <w:t>Acknowledgement of reporting obligations</w:t>
      </w:r>
    </w:p>
    <w:p w:rsidR="00F23C3E" w:rsidRDefault="00F23C3E" w:rsidP="005307E6">
      <w:pPr>
        <w:rPr>
          <w:lang w:eastAsia="en-AU"/>
        </w:rPr>
      </w:pPr>
      <w:r>
        <w:rPr>
          <w:lang w:eastAsia="en-AU"/>
        </w:rPr>
        <w:t>Before providing the assessment report to the entity’s Accountable Authority for approval</w:t>
      </w:r>
      <w:r w:rsidR="00C65A83">
        <w:rPr>
          <w:lang w:eastAsia="en-AU"/>
        </w:rPr>
        <w:t xml:space="preserve"> acknowledgments of the reporting obligations, consistent with PSPF Policy 5: Reporting on security are to be completed and, where applicable, explanatory comments provided in the text boxes. Acknowledgements include:</w:t>
      </w:r>
    </w:p>
    <w:p w:rsidR="00C65A83" w:rsidRPr="005307E6" w:rsidRDefault="00C65A83" w:rsidP="005307E6">
      <w:pPr>
        <w:pStyle w:val="Listbullet1"/>
        <w:numPr>
          <w:ilvl w:val="0"/>
          <w:numId w:val="12"/>
        </w:numPr>
        <w:rPr>
          <w:lang w:eastAsia="en-AU"/>
        </w:rPr>
      </w:pPr>
      <w:r w:rsidRPr="005307E6">
        <w:t>This entity has reported all unmitigated security risks, security incidents or vulnerabilities in PSPF implementation to other entities whose interests or security arrangements could be affected or has assessed its maturity as developing or below for Policy 5 (reporting to affected entities).</w:t>
      </w:r>
    </w:p>
    <w:p w:rsidR="00C65A83" w:rsidRDefault="00C65A83" w:rsidP="005307E6">
      <w:pPr>
        <w:pStyle w:val="Listbullet1"/>
        <w:numPr>
          <w:ilvl w:val="0"/>
          <w:numId w:val="12"/>
        </w:numPr>
      </w:pPr>
      <w:r w:rsidRPr="00C65A83">
        <w:t>This entity completed the ACSC Cyber Security Survey for Commonwealth Entities or has assessed its maturity as developing or below for Policy 5 (reporting to ASD).</w:t>
      </w:r>
    </w:p>
    <w:p w:rsidR="00C65A83" w:rsidRPr="005307E6" w:rsidRDefault="00C65A83" w:rsidP="005307E6">
      <w:pPr>
        <w:pStyle w:val="Listbullet1"/>
        <w:numPr>
          <w:ilvl w:val="0"/>
          <w:numId w:val="12"/>
        </w:numPr>
      </w:pPr>
      <w:r w:rsidRPr="00C65A83">
        <w:t>This entity has reported to ASIO any significant security incidents or vulnerabilities relating to national security or has assessed its maturity as developing or below for Policy 5 (reporting to ASIO).</w:t>
      </w:r>
    </w:p>
    <w:p w:rsidR="006057BE" w:rsidRDefault="00F34A23" w:rsidP="005F09F7">
      <w:pPr>
        <w:pStyle w:val="Heading3"/>
        <w:rPr>
          <w:noProof/>
          <w:lang w:eastAsia="en-AU"/>
        </w:rPr>
      </w:pPr>
      <w:r>
        <w:rPr>
          <w:noProof/>
          <w:lang w:eastAsia="en-AU"/>
        </w:rPr>
        <w:t>Approv</w:t>
      </w:r>
      <w:r w:rsidR="002F7D43">
        <w:rPr>
          <w:noProof/>
          <w:lang w:eastAsia="en-AU"/>
        </w:rPr>
        <w:t xml:space="preserve">ing the </w:t>
      </w:r>
      <w:r>
        <w:rPr>
          <w:noProof/>
          <w:lang w:eastAsia="en-AU"/>
        </w:rPr>
        <w:t>assessment</w:t>
      </w:r>
      <w:r w:rsidR="002F7D43">
        <w:rPr>
          <w:noProof/>
          <w:lang w:eastAsia="en-AU"/>
        </w:rPr>
        <w:t>—must be completed offline</w:t>
      </w:r>
    </w:p>
    <w:p w:rsidR="006057BE" w:rsidRDefault="009022C1" w:rsidP="002F7D43">
      <w:r>
        <w:t xml:space="preserve">When </w:t>
      </w:r>
      <w:r w:rsidR="006057BE">
        <w:t xml:space="preserve">all modules </w:t>
      </w:r>
      <w:r>
        <w:t>are complete, the entity’s Accountable Authority must approve the final assessment. To generate a printable (Word) version of the assessment press ‘Download completed assessment (DOCX)’ on the top of any module screen. The printed report provides a place for the Accountable Authority to sign to indicate approval.</w:t>
      </w:r>
    </w:p>
    <w:p w:rsidR="006057BE" w:rsidRDefault="00F34A23" w:rsidP="005F09F7">
      <w:pPr>
        <w:pStyle w:val="Heading3"/>
        <w:rPr>
          <w:noProof/>
          <w:lang w:eastAsia="en-AU"/>
        </w:rPr>
      </w:pPr>
      <w:r>
        <w:rPr>
          <w:noProof/>
          <w:lang w:eastAsia="en-AU"/>
        </w:rPr>
        <w:t>Submit</w:t>
      </w:r>
      <w:r w:rsidR="002F7D43">
        <w:rPr>
          <w:noProof/>
          <w:lang w:eastAsia="en-AU"/>
        </w:rPr>
        <w:t>ting the</w:t>
      </w:r>
      <w:r w:rsidR="00604B82">
        <w:rPr>
          <w:noProof/>
          <w:lang w:eastAsia="en-AU"/>
        </w:rPr>
        <w:t xml:space="preserve"> assessment</w:t>
      </w:r>
      <w:r w:rsidR="002F7D43">
        <w:rPr>
          <w:noProof/>
          <w:lang w:eastAsia="en-AU"/>
        </w:rPr>
        <w:t>—must be completed by the CSO</w:t>
      </w:r>
    </w:p>
    <w:p w:rsidR="00C65A83" w:rsidRDefault="008477EB" w:rsidP="008477EB">
      <w:pPr>
        <w:rPr>
          <w:lang w:eastAsia="en-AU"/>
        </w:rPr>
      </w:pPr>
      <w:r>
        <w:rPr>
          <w:lang w:eastAsia="en-AU"/>
        </w:rPr>
        <w:t>Once</w:t>
      </w:r>
      <w:r w:rsidR="009022C1">
        <w:rPr>
          <w:lang w:eastAsia="en-AU"/>
        </w:rPr>
        <w:t xml:space="preserve"> the Accountable A</w:t>
      </w:r>
      <w:r w:rsidR="001C4F3B">
        <w:rPr>
          <w:lang w:eastAsia="en-AU"/>
        </w:rPr>
        <w:t xml:space="preserve">uthority </w:t>
      </w:r>
      <w:r w:rsidR="009022C1">
        <w:rPr>
          <w:lang w:eastAsia="en-AU"/>
        </w:rPr>
        <w:t xml:space="preserve">has </w:t>
      </w:r>
      <w:r w:rsidR="001C4F3B">
        <w:rPr>
          <w:lang w:eastAsia="en-AU"/>
        </w:rPr>
        <w:t>approv</w:t>
      </w:r>
      <w:r w:rsidR="009022C1">
        <w:rPr>
          <w:lang w:eastAsia="en-AU"/>
        </w:rPr>
        <w:t>ed</w:t>
      </w:r>
      <w:r w:rsidR="00604B82">
        <w:rPr>
          <w:lang w:eastAsia="en-AU"/>
        </w:rPr>
        <w:t xml:space="preserve"> the assessment report</w:t>
      </w:r>
      <w:r>
        <w:rPr>
          <w:lang w:eastAsia="en-AU"/>
        </w:rPr>
        <w:t xml:space="preserve"> a copy must be sent to </w:t>
      </w:r>
      <w:r w:rsidR="00604B82">
        <w:rPr>
          <w:lang w:eastAsia="en-AU"/>
        </w:rPr>
        <w:t>the entity’s portf</w:t>
      </w:r>
      <w:r w:rsidR="00F14481">
        <w:rPr>
          <w:lang w:eastAsia="en-AU"/>
        </w:rPr>
        <w:t>olio minister</w:t>
      </w:r>
      <w:r>
        <w:rPr>
          <w:lang w:eastAsia="en-AU"/>
        </w:rPr>
        <w:t xml:space="preserve">. </w:t>
      </w:r>
      <w:r w:rsidR="00F14481">
        <w:rPr>
          <w:lang w:eastAsia="en-AU"/>
        </w:rPr>
        <w:t xml:space="preserve"> </w:t>
      </w:r>
      <w:r w:rsidR="00C65A83">
        <w:rPr>
          <w:lang w:eastAsia="en-AU"/>
        </w:rPr>
        <w:t>Before submitting the assessment t</w:t>
      </w:r>
      <w:r w:rsidR="00F14481">
        <w:rPr>
          <w:lang w:eastAsia="en-AU"/>
        </w:rPr>
        <w:t xml:space="preserve">he CSO </w:t>
      </w:r>
      <w:r w:rsidR="00C65A83">
        <w:rPr>
          <w:lang w:eastAsia="en-AU"/>
        </w:rPr>
        <w:t>must</w:t>
      </w:r>
      <w:r>
        <w:rPr>
          <w:lang w:eastAsia="en-AU"/>
        </w:rPr>
        <w:t xml:space="preserve"> </w:t>
      </w:r>
      <w:r w:rsidR="00604B82">
        <w:rPr>
          <w:lang w:eastAsia="en-AU"/>
        </w:rPr>
        <w:t>acknowledge</w:t>
      </w:r>
      <w:r w:rsidR="00C65A83">
        <w:rPr>
          <w:lang w:eastAsia="en-AU"/>
        </w:rPr>
        <w:t xml:space="preserve"> the date the entity plans to provide the assessment to the relevant portfolio minister.</w:t>
      </w:r>
      <w:r w:rsidR="00604B82">
        <w:rPr>
          <w:lang w:eastAsia="en-AU"/>
        </w:rPr>
        <w:t xml:space="preserve"> </w:t>
      </w:r>
    </w:p>
    <w:p w:rsidR="00A30B40" w:rsidRDefault="00C65A83" w:rsidP="008477EB">
      <w:pPr>
        <w:rPr>
          <w:lang w:eastAsia="en-AU"/>
        </w:rPr>
      </w:pPr>
      <w:r>
        <w:rPr>
          <w:lang w:eastAsia="en-AU"/>
        </w:rPr>
        <w:t>Once completed</w:t>
      </w:r>
      <w:r w:rsidR="00604B82">
        <w:rPr>
          <w:lang w:eastAsia="en-AU"/>
        </w:rPr>
        <w:t xml:space="preserve"> </w:t>
      </w:r>
      <w:r w:rsidR="008477EB">
        <w:rPr>
          <w:lang w:eastAsia="en-AU"/>
        </w:rPr>
        <w:t xml:space="preserve">press </w:t>
      </w:r>
      <w:r w:rsidR="00604B82">
        <w:rPr>
          <w:lang w:eastAsia="en-AU"/>
        </w:rPr>
        <w:t xml:space="preserve">submit </w:t>
      </w:r>
      <w:r w:rsidR="008477EB">
        <w:rPr>
          <w:lang w:eastAsia="en-AU"/>
        </w:rPr>
        <w:t xml:space="preserve">to send </w:t>
      </w:r>
      <w:r w:rsidR="00604B82">
        <w:rPr>
          <w:lang w:eastAsia="en-AU"/>
        </w:rPr>
        <w:t>the assessment report to the Attorney-General’s Department</w:t>
      </w:r>
      <w:r w:rsidR="00DA68EC">
        <w:rPr>
          <w:lang w:eastAsia="en-AU"/>
        </w:rPr>
        <w:t xml:space="preserve"> (AGD)</w:t>
      </w:r>
      <w:r w:rsidR="00604B82">
        <w:rPr>
          <w:lang w:eastAsia="en-AU"/>
        </w:rPr>
        <w:t xml:space="preserve">. </w:t>
      </w:r>
    </w:p>
    <w:p w:rsidR="00A30B40" w:rsidRPr="00A30B40" w:rsidRDefault="00A30B40" w:rsidP="00A30B40">
      <w:pPr>
        <w:pStyle w:val="Heading3"/>
        <w:rPr>
          <w:noProof/>
          <w:lang w:eastAsia="en-AU"/>
        </w:rPr>
      </w:pPr>
      <w:r w:rsidRPr="00A30B40">
        <w:rPr>
          <w:noProof/>
          <w:lang w:eastAsia="en-AU"/>
        </w:rPr>
        <w:t>Benchmark reports – available immediately after the reporting period closes</w:t>
      </w:r>
    </w:p>
    <w:p w:rsidR="00A30B40" w:rsidRPr="00A30B40" w:rsidRDefault="00A30B40" w:rsidP="00A30B40">
      <w:pPr>
        <w:rPr>
          <w:lang w:eastAsia="en-AU"/>
        </w:rPr>
      </w:pPr>
      <w:r w:rsidRPr="00A30B40">
        <w:rPr>
          <w:lang w:eastAsia="en-AU"/>
        </w:rPr>
        <w:t xml:space="preserve">At the official close of the reporting period, benchmarking reports are available immediately to the entity to the CSO and any user with the role of full contributor and user administrator. </w:t>
      </w:r>
    </w:p>
    <w:p w:rsidR="00077FB4" w:rsidRDefault="00077FB4" w:rsidP="008477EB">
      <w:pPr>
        <w:rPr>
          <w:rFonts w:eastAsia="SimSun" w:cs="Angsana New"/>
          <w:b/>
          <w:bCs/>
          <w:color w:val="595959" w:themeColor="text1" w:themeTint="A6"/>
          <w:sz w:val="26"/>
          <w:szCs w:val="26"/>
        </w:rPr>
      </w:pPr>
      <w:r>
        <w:br w:type="page"/>
      </w:r>
    </w:p>
    <w:p w:rsidR="00077FB4" w:rsidRDefault="00077FB4" w:rsidP="00D0043E">
      <w:pPr>
        <w:pStyle w:val="Heading2"/>
        <w:spacing w:before="120"/>
      </w:pPr>
      <w:r>
        <w:lastRenderedPageBreak/>
        <w:t>User management</w:t>
      </w:r>
    </w:p>
    <w:p w:rsidR="008477EB" w:rsidRDefault="00077FB4" w:rsidP="00077FB4">
      <w:r>
        <w:t xml:space="preserve">The portal has four different user roles to </w:t>
      </w:r>
      <w:r w:rsidR="00925860">
        <w:t xml:space="preserve">control access and permissions, </w:t>
      </w:r>
      <w:r>
        <w:t>allow</w:t>
      </w:r>
      <w:r w:rsidR="00925860">
        <w:t>ing</w:t>
      </w:r>
      <w:r>
        <w:t xml:space="preserve"> entities to </w:t>
      </w:r>
      <w:r w:rsidR="00925860">
        <w:t>establish</w:t>
      </w:r>
      <w:r>
        <w:t xml:space="preserve"> reporting processes </w:t>
      </w:r>
      <w:r w:rsidR="00925860">
        <w:t xml:space="preserve">that are </w:t>
      </w:r>
      <w:r>
        <w:t>appropriate to their entity</w:t>
      </w:r>
      <w:r w:rsidR="00925860">
        <w:t>’s size, organisation structure and</w:t>
      </w:r>
      <w:r>
        <w:t xml:space="preserve"> governance arrangements. </w:t>
      </w:r>
    </w:p>
    <w:p w:rsidR="00077FB4" w:rsidRDefault="00077FB4" w:rsidP="00077FB4">
      <w:pPr>
        <w:pStyle w:val="Caption"/>
      </w:pPr>
      <w:r>
        <w:t xml:space="preserve">Table </w:t>
      </w:r>
      <w:r>
        <w:rPr>
          <w:noProof/>
        </w:rPr>
        <w:fldChar w:fldCharType="begin"/>
      </w:r>
      <w:r>
        <w:rPr>
          <w:noProof/>
        </w:rPr>
        <w:instrText xml:space="preserve"> SEQ Table \* ARABIC </w:instrText>
      </w:r>
      <w:r>
        <w:rPr>
          <w:noProof/>
        </w:rPr>
        <w:fldChar w:fldCharType="separate"/>
      </w:r>
      <w:r w:rsidR="008477EB">
        <w:rPr>
          <w:noProof/>
        </w:rPr>
        <w:t>1</w:t>
      </w:r>
      <w:r>
        <w:rPr>
          <w:noProof/>
        </w:rPr>
        <w:fldChar w:fldCharType="end"/>
      </w:r>
      <w:r>
        <w:t xml:space="preserve"> Roles and responsibilities</w:t>
      </w:r>
    </w:p>
    <w:tbl>
      <w:tblPr>
        <w:tblStyle w:val="LightShading-Accent4"/>
        <w:tblW w:w="5215" w:type="pct"/>
        <w:tblLook w:val="04A0" w:firstRow="1" w:lastRow="0" w:firstColumn="1" w:lastColumn="0" w:noHBand="0" w:noVBand="1"/>
        <w:tblCaption w:val="Table 1 Roles and responsibilities"/>
        <w:tblDescription w:val="This table has three columns. The first column identifies the user role. The second column identifies access and permissions. The third column idenfiies what this means.&#10; &#10;Submitter&#10;Access and permissions&#10;– Commence the annual assessment&#10;– Manage entity users&#10;– Contribute to all modules&#10;– Use Notes function&#10;– Provide the final assessment to the accountable authority&#10;– Complete the final assessment page &#10;– Submit the final assessment through the portal to the Attorney-General's Department&#10;What this means&#10;You are the key contact for the assessment and you have been assigned the submitter role. Depending on the size of your entity and your entity’s reporting governance arrangements you will manage users’ access the portal or assign this function to an entity administrator. Even if you delegate this function, you can continue to manage users. &#10;As soon as entity users are assigned roles the users can access the assessment and complete or review their nominated modules. As CSO, you can also contribute to and review the modules.&#10;Once the 16 modules have been completed you will finalise the submission information, obtain approval for the assessment from the accountable authority, provide the assessment to the relevant portfolio minister and submit the assessment to the Attorney-General’s Department. &#10;&#10;Entity Administrator&#10;Access and permissions&#10;- Manage entity users&#10;What this means.&#10;The CSO has delegated the user administration of the portal to you. You will only see information on the users and be able to edit their details, add new users or deactivate existing users.&#10;If you are required to see assessment information, the CSO can assign you an entity viewer role.&#10;&#10;Contributor&#10;Access and permissions&#10;- Contribute to assigned modules and the summary module&#10;Use Notes function&#10;What this means.&#10;As a contributor you will be assigned modules to complete. &#10;Your entity reporting process will determine whether you need to answer some or all maturity questions and what other data you need to input. This may include &#10;– determining the self-assessed maturity level for modules you have been assigned &#10;– providing a rationale for the maturity level and where you have varied the maturity level from the suggested maturity level &#10;– providing strategies and timelines to improve the maturity level if the module has been assessed at ad-hoc or developing&#10;– identifying key risks to the entity’s people, information and assets.&#10;You may also be assigned entity viewer access to other modules. You can see details of all the portal users and can change your own contact details.&#10;&#10;Entity Viewer&#10;Access and permissions&#10;- View assessment information, reports, users and modules they have been givern access to&#10;- Uses Notes function&#10;What this means.&#10;As an entity viewer you can access all the portal reports, see all the users and see draft and completed modules to which you have been given access. Any feedback to the CSO or module contributor(s) you wish to provide is actioned outside the reporting portal.&#10;&#10;"/>
      </w:tblPr>
      <w:tblGrid>
        <w:gridCol w:w="1358"/>
        <w:gridCol w:w="2755"/>
        <w:gridCol w:w="6803"/>
      </w:tblGrid>
      <w:tr w:rsidR="00E440E9" w:rsidRPr="008F2C0B" w:rsidTr="00DA68EC">
        <w:trPr>
          <w:cnfStyle w:val="100000000000" w:firstRow="1" w:lastRow="0" w:firstColumn="0" w:lastColumn="0" w:oddVBand="0" w:evenVBand="0" w:oddHBand="0" w:evenHBand="0" w:firstRowFirstColumn="0" w:firstRowLastColumn="0" w:lastRowFirstColumn="0" w:lastRowLastColumn="0"/>
          <w:trHeight w:val="75"/>
          <w:tblHeader/>
        </w:trPr>
        <w:tc>
          <w:tcPr>
            <w:cnfStyle w:val="001000000000" w:firstRow="0" w:lastRow="0" w:firstColumn="1" w:lastColumn="0" w:oddVBand="0" w:evenVBand="0" w:oddHBand="0" w:evenHBand="0" w:firstRowFirstColumn="0" w:firstRowLastColumn="0" w:lastRowFirstColumn="0" w:lastRowLastColumn="0"/>
            <w:tcW w:w="622" w:type="pct"/>
          </w:tcPr>
          <w:p w:rsidR="00E440E9" w:rsidRPr="00314C37" w:rsidRDefault="00E440E9" w:rsidP="008477EB">
            <w:pPr>
              <w:pStyle w:val="Tablebody"/>
              <w:rPr>
                <w:rStyle w:val="Strong"/>
                <w:b/>
              </w:rPr>
            </w:pPr>
            <w:r w:rsidRPr="00314C37">
              <w:rPr>
                <w:rStyle w:val="Strong"/>
                <w:b/>
              </w:rPr>
              <w:t>Role</w:t>
            </w:r>
          </w:p>
        </w:tc>
        <w:tc>
          <w:tcPr>
            <w:tcW w:w="1262" w:type="pct"/>
          </w:tcPr>
          <w:p w:rsidR="00E440E9" w:rsidRPr="008F2C0B" w:rsidRDefault="00E440E9" w:rsidP="008477EB">
            <w:pPr>
              <w:pStyle w:val="Tablebody"/>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Access and permissions</w:t>
            </w:r>
          </w:p>
        </w:tc>
        <w:tc>
          <w:tcPr>
            <w:tcW w:w="3117" w:type="pct"/>
          </w:tcPr>
          <w:p w:rsidR="00E440E9" w:rsidRPr="00E440E9" w:rsidRDefault="00E440E9" w:rsidP="008477EB">
            <w:pPr>
              <w:pStyle w:val="Tablebody"/>
              <w:cnfStyle w:val="100000000000" w:firstRow="1" w:lastRow="0" w:firstColumn="0" w:lastColumn="0" w:oddVBand="0" w:evenVBand="0" w:oddHBand="0" w:evenHBand="0" w:firstRowFirstColumn="0" w:firstRowLastColumn="0" w:lastRowFirstColumn="0" w:lastRowLastColumn="0"/>
              <w:rPr>
                <w:rStyle w:val="Strong"/>
                <w:b/>
              </w:rPr>
            </w:pPr>
            <w:r w:rsidRPr="00E440E9">
              <w:rPr>
                <w:rStyle w:val="Strong"/>
                <w:b/>
              </w:rPr>
              <w:t>What this means</w:t>
            </w:r>
          </w:p>
        </w:tc>
      </w:tr>
      <w:tr w:rsidR="00E440E9" w:rsidRPr="008F2C0B" w:rsidTr="00DA6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2" w:type="pct"/>
          </w:tcPr>
          <w:p w:rsidR="00E440E9" w:rsidRDefault="00E440E9" w:rsidP="008477EB">
            <w:pPr>
              <w:pStyle w:val="Tablebody"/>
              <w:rPr>
                <w:b w:val="0"/>
              </w:rPr>
            </w:pPr>
            <w:r>
              <w:rPr>
                <w:b w:val="0"/>
              </w:rPr>
              <w:t>Submitter</w:t>
            </w:r>
          </w:p>
          <w:p w:rsidR="00E440E9" w:rsidRPr="008F2C0B" w:rsidRDefault="00E440E9" w:rsidP="008477EB">
            <w:pPr>
              <w:pStyle w:val="Tablebody"/>
              <w:rPr>
                <w:b w:val="0"/>
              </w:rPr>
            </w:pPr>
          </w:p>
        </w:tc>
        <w:tc>
          <w:tcPr>
            <w:tcW w:w="1262" w:type="pct"/>
          </w:tcPr>
          <w:p w:rsidR="00E440E9" w:rsidRDefault="00E440E9" w:rsidP="00E440E9">
            <w:pPr>
              <w:pStyle w:val="Tablebody"/>
              <w:numPr>
                <w:ilvl w:val="0"/>
                <w:numId w:val="39"/>
              </w:numPr>
              <w:ind w:left="175" w:hanging="142"/>
              <w:cnfStyle w:val="000000100000" w:firstRow="0" w:lastRow="0" w:firstColumn="0" w:lastColumn="0" w:oddVBand="0" w:evenVBand="0" w:oddHBand="1" w:evenHBand="0" w:firstRowFirstColumn="0" w:firstRowLastColumn="0" w:lastRowFirstColumn="0" w:lastRowLastColumn="0"/>
            </w:pPr>
            <w:r>
              <w:t>Commence the annual assessment</w:t>
            </w:r>
          </w:p>
          <w:p w:rsidR="00E440E9" w:rsidRDefault="00E440E9" w:rsidP="00E440E9">
            <w:pPr>
              <w:pStyle w:val="Tablebody"/>
              <w:numPr>
                <w:ilvl w:val="0"/>
                <w:numId w:val="39"/>
              </w:numPr>
              <w:ind w:left="175" w:hanging="142"/>
              <w:cnfStyle w:val="000000100000" w:firstRow="0" w:lastRow="0" w:firstColumn="0" w:lastColumn="0" w:oddVBand="0" w:evenVBand="0" w:oddHBand="1" w:evenHBand="0" w:firstRowFirstColumn="0" w:firstRowLastColumn="0" w:lastRowFirstColumn="0" w:lastRowLastColumn="0"/>
            </w:pPr>
            <w:r>
              <w:t>Manage entity users</w:t>
            </w:r>
          </w:p>
          <w:p w:rsidR="00E440E9" w:rsidRDefault="00E440E9" w:rsidP="00E440E9">
            <w:pPr>
              <w:pStyle w:val="Tablebody"/>
              <w:numPr>
                <w:ilvl w:val="0"/>
                <w:numId w:val="39"/>
              </w:numPr>
              <w:ind w:left="175" w:hanging="142"/>
              <w:cnfStyle w:val="000000100000" w:firstRow="0" w:lastRow="0" w:firstColumn="0" w:lastColumn="0" w:oddVBand="0" w:evenVBand="0" w:oddHBand="1" w:evenHBand="0" w:firstRowFirstColumn="0" w:firstRowLastColumn="0" w:lastRowFirstColumn="0" w:lastRowLastColumn="0"/>
            </w:pPr>
            <w:r>
              <w:t>Contribute to all modules</w:t>
            </w:r>
          </w:p>
          <w:p w:rsidR="00E440E9" w:rsidRDefault="00E440E9" w:rsidP="00E440E9">
            <w:pPr>
              <w:pStyle w:val="Tablebody"/>
              <w:numPr>
                <w:ilvl w:val="0"/>
                <w:numId w:val="39"/>
              </w:numPr>
              <w:ind w:left="175" w:hanging="142"/>
              <w:cnfStyle w:val="000000100000" w:firstRow="0" w:lastRow="0" w:firstColumn="0" w:lastColumn="0" w:oddVBand="0" w:evenVBand="0" w:oddHBand="1" w:evenHBand="0" w:firstRowFirstColumn="0" w:firstRowLastColumn="0" w:lastRowFirstColumn="0" w:lastRowLastColumn="0"/>
            </w:pPr>
            <w:r>
              <w:t>Use Notes function</w:t>
            </w:r>
          </w:p>
          <w:p w:rsidR="00E440E9" w:rsidRDefault="00E440E9" w:rsidP="00E440E9">
            <w:pPr>
              <w:pStyle w:val="Tablebody"/>
              <w:numPr>
                <w:ilvl w:val="0"/>
                <w:numId w:val="39"/>
              </w:numPr>
              <w:ind w:left="175" w:hanging="142"/>
              <w:cnfStyle w:val="000000100000" w:firstRow="0" w:lastRow="0" w:firstColumn="0" w:lastColumn="0" w:oddVBand="0" w:evenVBand="0" w:oddHBand="1" w:evenHBand="0" w:firstRowFirstColumn="0" w:firstRowLastColumn="0" w:lastRowFirstColumn="0" w:lastRowLastColumn="0"/>
            </w:pPr>
            <w:r>
              <w:t>Provide the final assessment to the accountable authority</w:t>
            </w:r>
          </w:p>
          <w:p w:rsidR="00E440E9" w:rsidRDefault="00E440E9" w:rsidP="00E440E9">
            <w:pPr>
              <w:pStyle w:val="Tablebody"/>
              <w:numPr>
                <w:ilvl w:val="0"/>
                <w:numId w:val="39"/>
              </w:numPr>
              <w:ind w:left="175" w:hanging="142"/>
              <w:cnfStyle w:val="000000100000" w:firstRow="0" w:lastRow="0" w:firstColumn="0" w:lastColumn="0" w:oddVBand="0" w:evenVBand="0" w:oddHBand="1" w:evenHBand="0" w:firstRowFirstColumn="0" w:firstRowLastColumn="0" w:lastRowFirstColumn="0" w:lastRowLastColumn="0"/>
            </w:pPr>
            <w:r>
              <w:rPr>
                <w:color w:val="auto"/>
              </w:rPr>
              <w:t>C</w:t>
            </w:r>
            <w:r>
              <w:t xml:space="preserve">omplete the final assessment page </w:t>
            </w:r>
          </w:p>
          <w:p w:rsidR="00E440E9" w:rsidRPr="008F2C0B" w:rsidRDefault="00E440E9" w:rsidP="00DA68EC">
            <w:pPr>
              <w:pStyle w:val="Tablebody"/>
              <w:numPr>
                <w:ilvl w:val="0"/>
                <w:numId w:val="39"/>
              </w:numPr>
              <w:ind w:left="175" w:hanging="142"/>
              <w:cnfStyle w:val="000000100000" w:firstRow="0" w:lastRow="0" w:firstColumn="0" w:lastColumn="0" w:oddVBand="0" w:evenVBand="0" w:oddHBand="1" w:evenHBand="0" w:firstRowFirstColumn="0" w:firstRowLastColumn="0" w:lastRowFirstColumn="0" w:lastRowLastColumn="0"/>
            </w:pPr>
            <w:r>
              <w:t xml:space="preserve">Submit the final assessment </w:t>
            </w:r>
            <w:r w:rsidR="00DA68EC">
              <w:t>through the portal to AGD</w:t>
            </w:r>
          </w:p>
        </w:tc>
        <w:tc>
          <w:tcPr>
            <w:tcW w:w="3117" w:type="pct"/>
          </w:tcPr>
          <w:p w:rsidR="00E440E9" w:rsidRDefault="00E440E9" w:rsidP="00E440E9">
            <w:pPr>
              <w:pStyle w:val="Tablebody"/>
              <w:spacing w:after="60"/>
              <w:cnfStyle w:val="000000100000" w:firstRow="0" w:lastRow="0" w:firstColumn="0" w:lastColumn="0" w:oddVBand="0" w:evenVBand="0" w:oddHBand="1" w:evenHBand="0" w:firstRowFirstColumn="0" w:firstRowLastColumn="0" w:lastRowFirstColumn="0" w:lastRowLastColumn="0"/>
            </w:pPr>
            <w:r>
              <w:t xml:space="preserve">You are the key contact for the assessment and you have been assigned the submitter role. Depending on the size of your entity and your entity’s reporting governance arrangements you will manage users’ access the portal or assign this function to an entity administrator. Even if you delegate this function, you can continue to manage users. </w:t>
            </w:r>
          </w:p>
          <w:p w:rsidR="00E440E9" w:rsidRDefault="00E440E9" w:rsidP="00E440E9">
            <w:pPr>
              <w:pStyle w:val="Tablebody"/>
              <w:spacing w:after="60"/>
              <w:cnfStyle w:val="000000100000" w:firstRow="0" w:lastRow="0" w:firstColumn="0" w:lastColumn="0" w:oddVBand="0" w:evenVBand="0" w:oddHBand="1" w:evenHBand="0" w:firstRowFirstColumn="0" w:firstRowLastColumn="0" w:lastRowFirstColumn="0" w:lastRowLastColumn="0"/>
            </w:pPr>
            <w:r>
              <w:t>As soon as entity users are assigned roles the users can access the assessment and complete or review their nominated modules. As CSO, you can also contribute to and review the modules.</w:t>
            </w:r>
          </w:p>
          <w:p w:rsidR="00E440E9" w:rsidRPr="008B3496" w:rsidRDefault="00E440E9" w:rsidP="00DA68EC">
            <w:pPr>
              <w:pStyle w:val="Tablebody"/>
              <w:spacing w:after="60"/>
              <w:cnfStyle w:val="000000100000" w:firstRow="0" w:lastRow="0" w:firstColumn="0" w:lastColumn="0" w:oddVBand="0" w:evenVBand="0" w:oddHBand="1" w:evenHBand="0" w:firstRowFirstColumn="0" w:firstRowLastColumn="0" w:lastRowFirstColumn="0" w:lastRowLastColumn="0"/>
            </w:pPr>
            <w:r>
              <w:t xml:space="preserve">Once the 16 modules have been completed you will finalise the submission information, obtain approval for the assessment from the accountable authority, </w:t>
            </w:r>
            <w:r w:rsidR="007F0D8F">
              <w:t xml:space="preserve">acknowledge the date the entity plans to provide </w:t>
            </w:r>
            <w:r>
              <w:t xml:space="preserve">the assessment to the relevant portfolio minister and submit the assessment to </w:t>
            </w:r>
            <w:r w:rsidR="00DA68EC">
              <w:t>AGD.</w:t>
            </w:r>
            <w:r>
              <w:t xml:space="preserve"> </w:t>
            </w:r>
          </w:p>
        </w:tc>
      </w:tr>
      <w:tr w:rsidR="00E440E9" w:rsidRPr="008F2C0B" w:rsidTr="00DA68EC">
        <w:tc>
          <w:tcPr>
            <w:cnfStyle w:val="001000000000" w:firstRow="0" w:lastRow="0" w:firstColumn="1" w:lastColumn="0" w:oddVBand="0" w:evenVBand="0" w:oddHBand="0" w:evenHBand="0" w:firstRowFirstColumn="0" w:firstRowLastColumn="0" w:lastRowFirstColumn="0" w:lastRowLastColumn="0"/>
            <w:tcW w:w="622" w:type="pct"/>
          </w:tcPr>
          <w:p w:rsidR="00E440E9" w:rsidRPr="003C09A6" w:rsidRDefault="00E440E9" w:rsidP="008477EB">
            <w:pPr>
              <w:pStyle w:val="Tablebody"/>
              <w:rPr>
                <w:b w:val="0"/>
              </w:rPr>
            </w:pPr>
            <w:r>
              <w:rPr>
                <w:b w:val="0"/>
              </w:rPr>
              <w:t>Entity A</w:t>
            </w:r>
            <w:r w:rsidRPr="003C09A6">
              <w:rPr>
                <w:b w:val="0"/>
              </w:rPr>
              <w:t>dministrator</w:t>
            </w:r>
          </w:p>
        </w:tc>
        <w:tc>
          <w:tcPr>
            <w:tcW w:w="1262" w:type="pct"/>
          </w:tcPr>
          <w:p w:rsidR="00E440E9" w:rsidRPr="008F2C0B" w:rsidRDefault="00E440E9" w:rsidP="00E440E9">
            <w:pPr>
              <w:pStyle w:val="Tablebody"/>
              <w:numPr>
                <w:ilvl w:val="0"/>
                <w:numId w:val="39"/>
              </w:numPr>
              <w:ind w:left="175" w:hanging="142"/>
              <w:cnfStyle w:val="000000000000" w:firstRow="0" w:lastRow="0" w:firstColumn="0" w:lastColumn="0" w:oddVBand="0" w:evenVBand="0" w:oddHBand="0" w:evenHBand="0" w:firstRowFirstColumn="0" w:firstRowLastColumn="0" w:lastRowFirstColumn="0" w:lastRowLastColumn="0"/>
            </w:pPr>
            <w:r>
              <w:t>Manage entity users</w:t>
            </w:r>
          </w:p>
        </w:tc>
        <w:tc>
          <w:tcPr>
            <w:tcW w:w="3117" w:type="pct"/>
          </w:tcPr>
          <w:p w:rsidR="00E440E9" w:rsidRDefault="00E440E9" w:rsidP="00E440E9">
            <w:pPr>
              <w:pStyle w:val="Tablebody"/>
              <w:spacing w:after="60"/>
              <w:cnfStyle w:val="000000000000" w:firstRow="0" w:lastRow="0" w:firstColumn="0" w:lastColumn="0" w:oddVBand="0" w:evenVBand="0" w:oddHBand="0" w:evenHBand="0" w:firstRowFirstColumn="0" w:firstRowLastColumn="0" w:lastRowFirstColumn="0" w:lastRowLastColumn="0"/>
            </w:pPr>
            <w:r>
              <w:t>The CSO has delegated the user administration of the portal to you. You will only see information on the users and be able to edit their details, add new users or deactivate existing users.</w:t>
            </w:r>
          </w:p>
          <w:p w:rsidR="00E440E9" w:rsidRDefault="00E440E9" w:rsidP="00E440E9">
            <w:pPr>
              <w:pStyle w:val="Tablebody"/>
              <w:spacing w:after="60"/>
              <w:cnfStyle w:val="000000000000" w:firstRow="0" w:lastRow="0" w:firstColumn="0" w:lastColumn="0" w:oddVBand="0" w:evenVBand="0" w:oddHBand="0" w:evenHBand="0" w:firstRowFirstColumn="0" w:firstRowLastColumn="0" w:lastRowFirstColumn="0" w:lastRowLastColumn="0"/>
            </w:pPr>
            <w:r>
              <w:t>If you are required to see assessment information, the CSO can assign you an entity viewer role.</w:t>
            </w:r>
          </w:p>
        </w:tc>
      </w:tr>
      <w:tr w:rsidR="00E440E9" w:rsidRPr="008F2C0B" w:rsidTr="00DA6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2" w:type="pct"/>
          </w:tcPr>
          <w:p w:rsidR="00E440E9" w:rsidRPr="008F2C0B" w:rsidRDefault="00E440E9" w:rsidP="008477EB">
            <w:pPr>
              <w:pStyle w:val="Tablebody"/>
              <w:rPr>
                <w:b w:val="0"/>
              </w:rPr>
            </w:pPr>
            <w:r>
              <w:rPr>
                <w:b w:val="0"/>
              </w:rPr>
              <w:t>Contributor</w:t>
            </w:r>
          </w:p>
        </w:tc>
        <w:tc>
          <w:tcPr>
            <w:tcW w:w="1262" w:type="pct"/>
          </w:tcPr>
          <w:p w:rsidR="00E440E9" w:rsidRDefault="00E440E9" w:rsidP="00E440E9">
            <w:pPr>
              <w:pStyle w:val="Tablebody"/>
              <w:numPr>
                <w:ilvl w:val="0"/>
                <w:numId w:val="39"/>
              </w:numPr>
              <w:ind w:left="175" w:hanging="142"/>
              <w:cnfStyle w:val="000000100000" w:firstRow="0" w:lastRow="0" w:firstColumn="0" w:lastColumn="0" w:oddVBand="0" w:evenVBand="0" w:oddHBand="1" w:evenHBand="0" w:firstRowFirstColumn="0" w:firstRowLastColumn="0" w:lastRowFirstColumn="0" w:lastRowLastColumn="0"/>
            </w:pPr>
            <w:r>
              <w:t>Contribute to assigned modules and the summary module</w:t>
            </w:r>
          </w:p>
          <w:p w:rsidR="00E440E9" w:rsidRPr="008F2C0B" w:rsidRDefault="00E440E9" w:rsidP="00E440E9">
            <w:pPr>
              <w:pStyle w:val="Tablebody"/>
              <w:numPr>
                <w:ilvl w:val="0"/>
                <w:numId w:val="39"/>
              </w:numPr>
              <w:ind w:left="175" w:hanging="142"/>
              <w:cnfStyle w:val="000000100000" w:firstRow="0" w:lastRow="0" w:firstColumn="0" w:lastColumn="0" w:oddVBand="0" w:evenVBand="0" w:oddHBand="1" w:evenHBand="0" w:firstRowFirstColumn="0" w:firstRowLastColumn="0" w:lastRowFirstColumn="0" w:lastRowLastColumn="0"/>
            </w:pPr>
            <w:r>
              <w:t>Use Notes function</w:t>
            </w:r>
          </w:p>
        </w:tc>
        <w:tc>
          <w:tcPr>
            <w:tcW w:w="3117" w:type="pct"/>
          </w:tcPr>
          <w:p w:rsidR="00E440E9" w:rsidRDefault="00E440E9" w:rsidP="00E440E9">
            <w:pPr>
              <w:pStyle w:val="Tablebody"/>
              <w:spacing w:after="60"/>
              <w:cnfStyle w:val="000000100000" w:firstRow="0" w:lastRow="0" w:firstColumn="0" w:lastColumn="0" w:oddVBand="0" w:evenVBand="0" w:oddHBand="1" w:evenHBand="0" w:firstRowFirstColumn="0" w:firstRowLastColumn="0" w:lastRowFirstColumn="0" w:lastRowLastColumn="0"/>
            </w:pPr>
            <w:r>
              <w:t xml:space="preserve">As a contributor you will be assigned modules to complete. </w:t>
            </w:r>
          </w:p>
          <w:p w:rsidR="00E440E9" w:rsidRDefault="00E440E9" w:rsidP="009D470D">
            <w:pPr>
              <w:pStyle w:val="Tablebody"/>
              <w:cnfStyle w:val="000000100000" w:firstRow="0" w:lastRow="0" w:firstColumn="0" w:lastColumn="0" w:oddVBand="0" w:evenVBand="0" w:oddHBand="1" w:evenHBand="0" w:firstRowFirstColumn="0" w:firstRowLastColumn="0" w:lastRowFirstColumn="0" w:lastRowLastColumn="0"/>
            </w:pPr>
            <w:r>
              <w:t>Your entity reporting process will determine whether you need to answer some or all maturity questions and what other data you need to input. This may include</w:t>
            </w:r>
            <w:r w:rsidR="00D0043E">
              <w:t>:</w:t>
            </w:r>
            <w:r>
              <w:t xml:space="preserve"> </w:t>
            </w:r>
          </w:p>
          <w:p w:rsidR="00E440E9" w:rsidRDefault="00E440E9" w:rsidP="00E440E9">
            <w:pPr>
              <w:pStyle w:val="Tablebody"/>
              <w:numPr>
                <w:ilvl w:val="0"/>
                <w:numId w:val="40"/>
              </w:numPr>
              <w:spacing w:after="60"/>
              <w:ind w:left="458" w:hanging="357"/>
              <w:contextualSpacing/>
              <w:cnfStyle w:val="000000100000" w:firstRow="0" w:lastRow="0" w:firstColumn="0" w:lastColumn="0" w:oddVBand="0" w:evenVBand="0" w:oddHBand="1" w:evenHBand="0" w:firstRowFirstColumn="0" w:firstRowLastColumn="0" w:lastRowFirstColumn="0" w:lastRowLastColumn="0"/>
            </w:pPr>
            <w:r>
              <w:t xml:space="preserve">determining the self-assessed maturity level for modules you have been assigned </w:t>
            </w:r>
          </w:p>
          <w:p w:rsidR="00E440E9" w:rsidRDefault="00E440E9" w:rsidP="00E440E9">
            <w:pPr>
              <w:pStyle w:val="Tablebody"/>
              <w:numPr>
                <w:ilvl w:val="0"/>
                <w:numId w:val="40"/>
              </w:numPr>
              <w:spacing w:after="60"/>
              <w:ind w:left="458" w:hanging="357"/>
              <w:contextualSpacing/>
              <w:cnfStyle w:val="000000100000" w:firstRow="0" w:lastRow="0" w:firstColumn="0" w:lastColumn="0" w:oddVBand="0" w:evenVBand="0" w:oddHBand="1" w:evenHBand="0" w:firstRowFirstColumn="0" w:firstRowLastColumn="0" w:lastRowFirstColumn="0" w:lastRowLastColumn="0"/>
            </w:pPr>
            <w:r>
              <w:t xml:space="preserve">providing a rationale for the maturity level and where you have varied the maturity level from the suggested maturity level </w:t>
            </w:r>
            <w:r w:rsidR="007F0D8F">
              <w:t>providing an explanation why the change is justified</w:t>
            </w:r>
          </w:p>
          <w:p w:rsidR="00E440E9" w:rsidRDefault="00E440E9" w:rsidP="00E440E9">
            <w:pPr>
              <w:pStyle w:val="Tablebody"/>
              <w:numPr>
                <w:ilvl w:val="0"/>
                <w:numId w:val="40"/>
              </w:numPr>
              <w:spacing w:after="60"/>
              <w:ind w:left="458" w:hanging="357"/>
              <w:contextualSpacing/>
              <w:cnfStyle w:val="000000100000" w:firstRow="0" w:lastRow="0" w:firstColumn="0" w:lastColumn="0" w:oddVBand="0" w:evenVBand="0" w:oddHBand="1" w:evenHBand="0" w:firstRowFirstColumn="0" w:firstRowLastColumn="0" w:lastRowFirstColumn="0" w:lastRowLastColumn="0"/>
            </w:pPr>
            <w:r>
              <w:t>providing strategies and timelines to improve the maturity level if the module has been assessed at ad-hoc or developing</w:t>
            </w:r>
          </w:p>
          <w:p w:rsidR="00E440E9" w:rsidRDefault="00E440E9" w:rsidP="00E440E9">
            <w:pPr>
              <w:pStyle w:val="Tablebody"/>
              <w:numPr>
                <w:ilvl w:val="0"/>
                <w:numId w:val="40"/>
              </w:numPr>
              <w:spacing w:after="60"/>
              <w:ind w:left="458" w:hanging="357"/>
              <w:contextualSpacing/>
              <w:cnfStyle w:val="000000100000" w:firstRow="0" w:lastRow="0" w:firstColumn="0" w:lastColumn="0" w:oddVBand="0" w:evenVBand="0" w:oddHBand="1" w:evenHBand="0" w:firstRowFirstColumn="0" w:firstRowLastColumn="0" w:lastRowFirstColumn="0" w:lastRowLastColumn="0"/>
            </w:pPr>
            <w:proofErr w:type="gramStart"/>
            <w:r>
              <w:t>identifying</w:t>
            </w:r>
            <w:proofErr w:type="gramEnd"/>
            <w:r>
              <w:t xml:space="preserve"> key risks to the entity’s people, information and assets.</w:t>
            </w:r>
          </w:p>
          <w:p w:rsidR="00E440E9" w:rsidRDefault="00E440E9" w:rsidP="00E440E9">
            <w:pPr>
              <w:pStyle w:val="Tablebody"/>
              <w:spacing w:after="60"/>
              <w:cnfStyle w:val="000000100000" w:firstRow="0" w:lastRow="0" w:firstColumn="0" w:lastColumn="0" w:oddVBand="0" w:evenVBand="0" w:oddHBand="1" w:evenHBand="0" w:firstRowFirstColumn="0" w:firstRowLastColumn="0" w:lastRowFirstColumn="0" w:lastRowLastColumn="0"/>
            </w:pPr>
            <w:r>
              <w:t>You may also be assigned entity viewer access to other modules. You can see details of all the portal users and can change your own contact details.</w:t>
            </w:r>
          </w:p>
        </w:tc>
      </w:tr>
      <w:tr w:rsidR="00E440E9" w:rsidRPr="008F2C0B" w:rsidTr="00DA68EC">
        <w:tc>
          <w:tcPr>
            <w:cnfStyle w:val="001000000000" w:firstRow="0" w:lastRow="0" w:firstColumn="1" w:lastColumn="0" w:oddVBand="0" w:evenVBand="0" w:oddHBand="0" w:evenHBand="0" w:firstRowFirstColumn="0" w:firstRowLastColumn="0" w:lastRowFirstColumn="0" w:lastRowLastColumn="0"/>
            <w:tcW w:w="622" w:type="pct"/>
          </w:tcPr>
          <w:p w:rsidR="00E440E9" w:rsidRDefault="00E440E9" w:rsidP="008477EB">
            <w:pPr>
              <w:pStyle w:val="Tablebody"/>
              <w:rPr>
                <w:b w:val="0"/>
              </w:rPr>
            </w:pPr>
            <w:r>
              <w:rPr>
                <w:b w:val="0"/>
              </w:rPr>
              <w:t>Entity Viewer</w:t>
            </w:r>
          </w:p>
          <w:p w:rsidR="00E440E9" w:rsidRPr="008F2C0B" w:rsidRDefault="00E440E9" w:rsidP="008477EB">
            <w:pPr>
              <w:pStyle w:val="Tablebody"/>
              <w:rPr>
                <w:b w:val="0"/>
              </w:rPr>
            </w:pPr>
          </w:p>
        </w:tc>
        <w:tc>
          <w:tcPr>
            <w:tcW w:w="1262" w:type="pct"/>
          </w:tcPr>
          <w:p w:rsidR="00E440E9" w:rsidRDefault="00E440E9" w:rsidP="00E440E9">
            <w:pPr>
              <w:pStyle w:val="Tablebody"/>
              <w:numPr>
                <w:ilvl w:val="0"/>
                <w:numId w:val="39"/>
              </w:numPr>
              <w:ind w:left="175" w:hanging="142"/>
              <w:cnfStyle w:val="000000000000" w:firstRow="0" w:lastRow="0" w:firstColumn="0" w:lastColumn="0" w:oddVBand="0" w:evenVBand="0" w:oddHBand="0" w:evenHBand="0" w:firstRowFirstColumn="0" w:firstRowLastColumn="0" w:lastRowFirstColumn="0" w:lastRowLastColumn="0"/>
            </w:pPr>
            <w:r>
              <w:t xml:space="preserve">View assessment information, reports, users and modules they have been given access to </w:t>
            </w:r>
          </w:p>
          <w:p w:rsidR="00E440E9" w:rsidRPr="008F2C0B" w:rsidRDefault="00E440E9" w:rsidP="00E440E9">
            <w:pPr>
              <w:pStyle w:val="Tablebody"/>
              <w:numPr>
                <w:ilvl w:val="0"/>
                <w:numId w:val="39"/>
              </w:numPr>
              <w:ind w:left="175" w:hanging="142"/>
              <w:cnfStyle w:val="000000000000" w:firstRow="0" w:lastRow="0" w:firstColumn="0" w:lastColumn="0" w:oddVBand="0" w:evenVBand="0" w:oddHBand="0" w:evenHBand="0" w:firstRowFirstColumn="0" w:firstRowLastColumn="0" w:lastRowFirstColumn="0" w:lastRowLastColumn="0"/>
            </w:pPr>
            <w:r>
              <w:t>Use Notes function</w:t>
            </w:r>
          </w:p>
        </w:tc>
        <w:tc>
          <w:tcPr>
            <w:tcW w:w="3117" w:type="pct"/>
          </w:tcPr>
          <w:p w:rsidR="00E440E9" w:rsidRDefault="00E440E9" w:rsidP="007F0D8F">
            <w:pPr>
              <w:pStyle w:val="Tablebody"/>
              <w:cnfStyle w:val="000000000000" w:firstRow="0" w:lastRow="0" w:firstColumn="0" w:lastColumn="0" w:oddVBand="0" w:evenVBand="0" w:oddHBand="0" w:evenHBand="0" w:firstRowFirstColumn="0" w:firstRowLastColumn="0" w:lastRowFirstColumn="0" w:lastRowLastColumn="0"/>
            </w:pPr>
            <w:r>
              <w:t xml:space="preserve">As an entity viewer you can access all the portal reports, see all the users and see draft and completed modules to which you have been given access. Any feedback to the CSO or module contributor(s) you wish to provide </w:t>
            </w:r>
            <w:r w:rsidR="007F0D8F">
              <w:t>can be provided in the notes</w:t>
            </w:r>
            <w:r>
              <w:t>.</w:t>
            </w:r>
          </w:p>
        </w:tc>
      </w:tr>
    </w:tbl>
    <w:p w:rsidR="00925860" w:rsidRDefault="00925860" w:rsidP="00925860">
      <w:pPr>
        <w:spacing w:before="120"/>
      </w:pPr>
      <w:r>
        <w:t xml:space="preserve">The role of Submitter is assigned by </w:t>
      </w:r>
      <w:r w:rsidR="00DA68EC">
        <w:t>AGD</w:t>
      </w:r>
      <w:r>
        <w:t xml:space="preserve"> and can only be undertaken by the entity CSO. Other user roles can be assigned by the CSO, including delegation of user management by assigning the role of Entity Administrator. </w:t>
      </w:r>
    </w:p>
    <w:p w:rsidR="00DA68EC" w:rsidRPr="00E440E9" w:rsidRDefault="00DA68EC" w:rsidP="00DA68EC">
      <w:pPr>
        <w:pStyle w:val="Caption"/>
        <w:rPr>
          <w:sz w:val="2"/>
        </w:rP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Example scenarios based on the entity size</w:t>
      </w:r>
    </w:p>
    <w:tbl>
      <w:tblPr>
        <w:tblW w:w="5000" w:type="pct"/>
        <w:tblCellMar>
          <w:left w:w="0" w:type="dxa"/>
          <w:right w:w="0" w:type="dxa"/>
        </w:tblCellMar>
        <w:tblLook w:val="0420" w:firstRow="1" w:lastRow="0" w:firstColumn="0" w:lastColumn="0" w:noHBand="0" w:noVBand="1"/>
      </w:tblPr>
      <w:tblGrid>
        <w:gridCol w:w="3490"/>
        <w:gridCol w:w="3489"/>
        <w:gridCol w:w="3487"/>
      </w:tblGrid>
      <w:tr w:rsidR="00DA68EC" w:rsidRPr="00DA68EC" w:rsidTr="00DA68EC">
        <w:trPr>
          <w:trHeight w:val="160"/>
          <w:tblHeader/>
        </w:trPr>
        <w:tc>
          <w:tcPr>
            <w:tcW w:w="1667" w:type="pct"/>
            <w:tcBorders>
              <w:top w:val="single" w:sz="8" w:space="0" w:color="8064A2"/>
              <w:left w:val="nil"/>
              <w:bottom w:val="single" w:sz="8" w:space="0" w:color="8064A2"/>
              <w:right w:val="nil"/>
            </w:tcBorders>
            <w:shd w:val="clear" w:color="auto" w:fill="F9F7FB"/>
            <w:vAlign w:val="center"/>
          </w:tcPr>
          <w:p w:rsidR="00DA68EC" w:rsidRPr="00DA68EC" w:rsidRDefault="00DA68EC" w:rsidP="008B4B5E">
            <w:pPr>
              <w:keepNext/>
              <w:spacing w:after="0"/>
              <w:jc w:val="center"/>
              <w:rPr>
                <w:b/>
                <w:bCs/>
                <w:color w:val="000000"/>
                <w:sz w:val="20"/>
                <w:szCs w:val="20"/>
              </w:rPr>
            </w:pPr>
            <w:r w:rsidRPr="00DA68EC">
              <w:rPr>
                <w:b/>
                <w:bCs/>
                <w:color w:val="000000"/>
                <w:sz w:val="20"/>
                <w:szCs w:val="20"/>
              </w:rPr>
              <w:t>SMALL</w:t>
            </w:r>
          </w:p>
        </w:tc>
        <w:tc>
          <w:tcPr>
            <w:tcW w:w="1667" w:type="pct"/>
            <w:tcBorders>
              <w:top w:val="single" w:sz="8" w:space="0" w:color="8064A2"/>
              <w:left w:val="nil"/>
              <w:bottom w:val="single" w:sz="8" w:space="0" w:color="8064A2"/>
              <w:right w:val="nil"/>
            </w:tcBorders>
            <w:shd w:val="clear" w:color="auto" w:fill="DFD8E8"/>
            <w:tcMar>
              <w:top w:w="0" w:type="dxa"/>
              <w:left w:w="108" w:type="dxa"/>
              <w:bottom w:w="0" w:type="dxa"/>
              <w:right w:w="108" w:type="dxa"/>
            </w:tcMar>
            <w:vAlign w:val="center"/>
          </w:tcPr>
          <w:p w:rsidR="00DA68EC" w:rsidRPr="00DA68EC" w:rsidRDefault="00DA68EC" w:rsidP="008B4B5E">
            <w:pPr>
              <w:keepNext/>
              <w:spacing w:after="0"/>
              <w:jc w:val="center"/>
              <w:rPr>
                <w:b/>
                <w:bCs/>
                <w:color w:val="000000"/>
                <w:sz w:val="20"/>
                <w:szCs w:val="20"/>
              </w:rPr>
            </w:pPr>
            <w:r w:rsidRPr="00DA68EC">
              <w:rPr>
                <w:b/>
                <w:bCs/>
                <w:color w:val="000000"/>
                <w:sz w:val="20"/>
                <w:szCs w:val="20"/>
              </w:rPr>
              <w:t>MEDIUM</w:t>
            </w:r>
          </w:p>
        </w:tc>
        <w:tc>
          <w:tcPr>
            <w:tcW w:w="1666" w:type="pct"/>
            <w:tcBorders>
              <w:top w:val="single" w:sz="8" w:space="0" w:color="8064A2"/>
              <w:left w:val="nil"/>
              <w:bottom w:val="single" w:sz="4" w:space="0" w:color="FFFFFF" w:themeColor="background1"/>
              <w:right w:val="nil"/>
            </w:tcBorders>
            <w:shd w:val="clear" w:color="auto" w:fill="624C80"/>
            <w:tcMar>
              <w:top w:w="0" w:type="dxa"/>
              <w:left w:w="108" w:type="dxa"/>
              <w:bottom w:w="0" w:type="dxa"/>
              <w:right w:w="108" w:type="dxa"/>
            </w:tcMar>
            <w:vAlign w:val="center"/>
          </w:tcPr>
          <w:p w:rsidR="00DA68EC" w:rsidRPr="00DA68EC" w:rsidRDefault="00DA68EC" w:rsidP="008B4B5E">
            <w:pPr>
              <w:keepNext/>
              <w:spacing w:after="0"/>
              <w:jc w:val="center"/>
              <w:rPr>
                <w:b/>
                <w:color w:val="FFFFFF" w:themeColor="background1"/>
                <w:sz w:val="20"/>
                <w:szCs w:val="18"/>
              </w:rPr>
            </w:pPr>
            <w:r w:rsidRPr="00DA68EC">
              <w:rPr>
                <w:b/>
                <w:color w:val="FFFFFF" w:themeColor="background1"/>
                <w:sz w:val="20"/>
                <w:szCs w:val="18"/>
              </w:rPr>
              <w:t>LARGE</w:t>
            </w:r>
          </w:p>
        </w:tc>
      </w:tr>
      <w:tr w:rsidR="00DA68EC" w:rsidRPr="00A649B0" w:rsidTr="008B4B5E">
        <w:tc>
          <w:tcPr>
            <w:tcW w:w="1667" w:type="pct"/>
            <w:tcBorders>
              <w:top w:val="single" w:sz="4" w:space="0" w:color="6F5591"/>
              <w:bottom w:val="single" w:sz="4" w:space="0" w:color="6F5591"/>
            </w:tcBorders>
            <w:shd w:val="clear" w:color="auto" w:fill="F9F7FB"/>
          </w:tcPr>
          <w:p w:rsidR="00DA68EC" w:rsidRPr="00A649B0" w:rsidRDefault="00DA68EC" w:rsidP="008B4B5E">
            <w:pPr>
              <w:pStyle w:val="Tablebody"/>
            </w:pPr>
            <w:r w:rsidRPr="00A649B0">
              <w:t>CSO commence</w:t>
            </w:r>
            <w:r>
              <w:t>s</w:t>
            </w:r>
            <w:r w:rsidRPr="00A649B0">
              <w:t xml:space="preserve"> assessment</w:t>
            </w:r>
          </w:p>
        </w:tc>
        <w:tc>
          <w:tcPr>
            <w:tcW w:w="1667" w:type="pct"/>
            <w:tcBorders>
              <w:top w:val="single" w:sz="4" w:space="0" w:color="6F5591"/>
              <w:bottom w:val="single" w:sz="4" w:space="0" w:color="6F5591"/>
            </w:tcBorders>
            <w:shd w:val="clear" w:color="auto" w:fill="DFD8E8"/>
            <w:tcMar>
              <w:top w:w="0" w:type="dxa"/>
              <w:left w:w="108" w:type="dxa"/>
              <w:bottom w:w="0" w:type="dxa"/>
              <w:right w:w="108" w:type="dxa"/>
            </w:tcMar>
          </w:tcPr>
          <w:p w:rsidR="00DA68EC" w:rsidRPr="00A649B0" w:rsidRDefault="00DA68EC" w:rsidP="008B4B5E">
            <w:pPr>
              <w:pStyle w:val="Tablebody"/>
            </w:pPr>
            <w:r>
              <w:t xml:space="preserve">CSO </w:t>
            </w:r>
            <w:r w:rsidRPr="00A649B0">
              <w:t>commence</w:t>
            </w:r>
            <w:r>
              <w:t>s</w:t>
            </w:r>
            <w:r w:rsidRPr="00A649B0">
              <w:t xml:space="preserve"> assessment</w:t>
            </w:r>
          </w:p>
        </w:tc>
        <w:tc>
          <w:tcPr>
            <w:tcW w:w="1666" w:type="pct"/>
            <w:tcBorders>
              <w:top w:val="single" w:sz="4" w:space="0" w:color="FFFFFF" w:themeColor="background1"/>
              <w:bottom w:val="single" w:sz="4" w:space="0" w:color="FFFFFF" w:themeColor="background1"/>
            </w:tcBorders>
            <w:shd w:val="clear" w:color="auto" w:fill="624C80"/>
            <w:tcMar>
              <w:top w:w="0" w:type="dxa"/>
              <w:left w:w="108" w:type="dxa"/>
              <w:bottom w:w="0" w:type="dxa"/>
              <w:right w:w="108" w:type="dxa"/>
            </w:tcMar>
          </w:tcPr>
          <w:p w:rsidR="00DA68EC" w:rsidRPr="00A649B0" w:rsidRDefault="00DA68EC" w:rsidP="008B4B5E">
            <w:pPr>
              <w:pStyle w:val="Tablebody"/>
              <w:rPr>
                <w:color w:val="FFFFFF" w:themeColor="background1"/>
              </w:rPr>
            </w:pPr>
            <w:r>
              <w:rPr>
                <w:color w:val="FFFFFF" w:themeColor="background1"/>
              </w:rPr>
              <w:t xml:space="preserve">CSO </w:t>
            </w:r>
            <w:r w:rsidRPr="00A649B0">
              <w:rPr>
                <w:color w:val="FFFFFF" w:themeColor="background1"/>
              </w:rPr>
              <w:t>commence</w:t>
            </w:r>
            <w:r>
              <w:rPr>
                <w:color w:val="FFFFFF" w:themeColor="background1"/>
              </w:rPr>
              <w:t>s</w:t>
            </w:r>
            <w:r w:rsidRPr="00A649B0">
              <w:rPr>
                <w:color w:val="FFFFFF" w:themeColor="background1"/>
              </w:rPr>
              <w:t xml:space="preserve"> assessment</w:t>
            </w:r>
          </w:p>
        </w:tc>
      </w:tr>
      <w:tr w:rsidR="00DA68EC" w:rsidRPr="00A649B0" w:rsidTr="008B4B5E">
        <w:tc>
          <w:tcPr>
            <w:tcW w:w="1667" w:type="pct"/>
            <w:tcBorders>
              <w:top w:val="single" w:sz="4" w:space="0" w:color="6F5591"/>
              <w:bottom w:val="single" w:sz="4" w:space="0" w:color="6F5591"/>
            </w:tcBorders>
            <w:shd w:val="clear" w:color="auto" w:fill="F9F7FB"/>
          </w:tcPr>
          <w:p w:rsidR="00DA68EC" w:rsidRPr="00A649B0" w:rsidRDefault="00DA68EC" w:rsidP="008B4B5E">
            <w:pPr>
              <w:pStyle w:val="Tablebody"/>
            </w:pPr>
            <w:r w:rsidRPr="00A649B0">
              <w:t>CSO manage</w:t>
            </w:r>
            <w:r>
              <w:t>s</w:t>
            </w:r>
            <w:r w:rsidRPr="00A649B0">
              <w:t xml:space="preserve"> users</w:t>
            </w:r>
          </w:p>
        </w:tc>
        <w:tc>
          <w:tcPr>
            <w:tcW w:w="1667" w:type="pct"/>
            <w:tcBorders>
              <w:top w:val="single" w:sz="4" w:space="0" w:color="6F5591"/>
              <w:bottom w:val="single" w:sz="4" w:space="0" w:color="6F5591"/>
            </w:tcBorders>
            <w:shd w:val="clear" w:color="auto" w:fill="DFD8E8"/>
            <w:tcMar>
              <w:top w:w="0" w:type="dxa"/>
              <w:left w:w="108" w:type="dxa"/>
              <w:bottom w:w="0" w:type="dxa"/>
              <w:right w:w="108" w:type="dxa"/>
            </w:tcMar>
          </w:tcPr>
          <w:p w:rsidR="00DA68EC" w:rsidRPr="00A649B0" w:rsidRDefault="00DA68EC" w:rsidP="008B4B5E">
            <w:pPr>
              <w:pStyle w:val="Tablebody"/>
            </w:pPr>
            <w:r w:rsidRPr="00A649B0">
              <w:t>Separate user administrator</w:t>
            </w:r>
          </w:p>
        </w:tc>
        <w:tc>
          <w:tcPr>
            <w:tcW w:w="1666" w:type="pct"/>
            <w:tcBorders>
              <w:top w:val="single" w:sz="4" w:space="0" w:color="FFFFFF" w:themeColor="background1"/>
              <w:bottom w:val="single" w:sz="4" w:space="0" w:color="FFFFFF" w:themeColor="background1"/>
            </w:tcBorders>
            <w:shd w:val="clear" w:color="auto" w:fill="624C80"/>
            <w:tcMar>
              <w:top w:w="0" w:type="dxa"/>
              <w:left w:w="108" w:type="dxa"/>
              <w:bottom w:w="0" w:type="dxa"/>
              <w:right w:w="108" w:type="dxa"/>
            </w:tcMar>
          </w:tcPr>
          <w:p w:rsidR="00DA68EC" w:rsidRPr="00A649B0" w:rsidRDefault="00DA68EC" w:rsidP="008B4B5E">
            <w:pPr>
              <w:pStyle w:val="Tablebody"/>
              <w:rPr>
                <w:color w:val="FFFFFF" w:themeColor="background1"/>
              </w:rPr>
            </w:pPr>
            <w:r w:rsidRPr="00A649B0">
              <w:rPr>
                <w:color w:val="FFFFFF" w:themeColor="background1"/>
              </w:rPr>
              <w:t>Separate user administrator(s)</w:t>
            </w:r>
          </w:p>
        </w:tc>
      </w:tr>
      <w:tr w:rsidR="00DA68EC" w:rsidRPr="00A649B0" w:rsidTr="008B4B5E">
        <w:tc>
          <w:tcPr>
            <w:tcW w:w="1667" w:type="pct"/>
            <w:tcBorders>
              <w:top w:val="single" w:sz="4" w:space="0" w:color="6F5591"/>
              <w:bottom w:val="single" w:sz="4" w:space="0" w:color="6F5591"/>
            </w:tcBorders>
            <w:shd w:val="clear" w:color="auto" w:fill="F9F7FB"/>
          </w:tcPr>
          <w:p w:rsidR="00DA68EC" w:rsidRPr="00A649B0" w:rsidRDefault="00DA68EC" w:rsidP="008B4B5E">
            <w:pPr>
              <w:pStyle w:val="Tablebody"/>
            </w:pPr>
            <w:r>
              <w:t>CSO and one or two contributors input data for all modules</w:t>
            </w:r>
          </w:p>
        </w:tc>
        <w:tc>
          <w:tcPr>
            <w:tcW w:w="1667" w:type="pct"/>
            <w:tcBorders>
              <w:top w:val="single" w:sz="4" w:space="0" w:color="6F5591"/>
              <w:bottom w:val="single" w:sz="4" w:space="0" w:color="6F5591"/>
            </w:tcBorders>
            <w:shd w:val="clear" w:color="auto" w:fill="DFD8E8"/>
            <w:tcMar>
              <w:top w:w="0" w:type="dxa"/>
              <w:left w:w="108" w:type="dxa"/>
              <w:bottom w:w="0" w:type="dxa"/>
              <w:right w:w="108" w:type="dxa"/>
            </w:tcMar>
          </w:tcPr>
          <w:p w:rsidR="00DA68EC" w:rsidRPr="00A649B0" w:rsidRDefault="00DA68EC" w:rsidP="008B4B5E">
            <w:pPr>
              <w:pStyle w:val="Tablebody"/>
            </w:pPr>
            <w:r>
              <w:t>A number of</w:t>
            </w:r>
            <w:r w:rsidRPr="00A649B0">
              <w:t xml:space="preserve"> contributors for each </w:t>
            </w:r>
            <w:r>
              <w:t xml:space="preserve">module and </w:t>
            </w:r>
            <w:r w:rsidRPr="00A649B0">
              <w:t>outcome</w:t>
            </w:r>
            <w:r>
              <w:t>s</w:t>
            </w:r>
          </w:p>
        </w:tc>
        <w:tc>
          <w:tcPr>
            <w:tcW w:w="1666" w:type="pct"/>
            <w:tcBorders>
              <w:top w:val="single" w:sz="4" w:space="0" w:color="FFFFFF" w:themeColor="background1"/>
              <w:bottom w:val="single" w:sz="4" w:space="0" w:color="FFFFFF" w:themeColor="background1"/>
            </w:tcBorders>
            <w:shd w:val="clear" w:color="auto" w:fill="624C80"/>
            <w:tcMar>
              <w:top w:w="0" w:type="dxa"/>
              <w:left w:w="108" w:type="dxa"/>
              <w:bottom w:w="0" w:type="dxa"/>
              <w:right w:w="108" w:type="dxa"/>
            </w:tcMar>
          </w:tcPr>
          <w:p w:rsidR="00DA68EC" w:rsidRPr="00A649B0" w:rsidRDefault="00DA68EC" w:rsidP="008B4B5E">
            <w:pPr>
              <w:pStyle w:val="Tablebody"/>
              <w:rPr>
                <w:color w:val="FFFFFF" w:themeColor="background1"/>
              </w:rPr>
            </w:pPr>
            <w:r w:rsidRPr="00A649B0">
              <w:rPr>
                <w:color w:val="FFFFFF" w:themeColor="background1"/>
              </w:rPr>
              <w:t>Lead contributors for some outcomes/modules</w:t>
            </w:r>
          </w:p>
          <w:p w:rsidR="00DA68EC" w:rsidRPr="00A649B0" w:rsidRDefault="00DA68EC" w:rsidP="008B4B5E">
            <w:pPr>
              <w:pStyle w:val="Tablebody"/>
              <w:rPr>
                <w:color w:val="FFFFFF" w:themeColor="background1"/>
              </w:rPr>
            </w:pPr>
            <w:r>
              <w:rPr>
                <w:color w:val="FFFFFF" w:themeColor="background1"/>
              </w:rPr>
              <w:t>Several</w:t>
            </w:r>
            <w:r w:rsidRPr="00A649B0">
              <w:rPr>
                <w:color w:val="FFFFFF" w:themeColor="background1"/>
              </w:rPr>
              <w:t xml:space="preserve"> contributors per module</w:t>
            </w:r>
          </w:p>
        </w:tc>
      </w:tr>
      <w:tr w:rsidR="00DA68EC" w:rsidRPr="00A649B0" w:rsidTr="008B4B5E">
        <w:tc>
          <w:tcPr>
            <w:tcW w:w="1667" w:type="pct"/>
            <w:tcBorders>
              <w:top w:val="single" w:sz="4" w:space="0" w:color="6F5591"/>
              <w:bottom w:val="single" w:sz="4" w:space="0" w:color="6F5591"/>
            </w:tcBorders>
            <w:shd w:val="clear" w:color="auto" w:fill="F9F7FB"/>
          </w:tcPr>
          <w:p w:rsidR="00DA68EC" w:rsidRPr="00A649B0" w:rsidRDefault="00DA68EC" w:rsidP="008B4B5E">
            <w:pPr>
              <w:pStyle w:val="Tablebody"/>
            </w:pPr>
            <w:r w:rsidRPr="00A649B0">
              <w:t>CSO review</w:t>
            </w:r>
            <w:r>
              <w:t>s</w:t>
            </w:r>
            <w:r w:rsidRPr="00A649B0">
              <w:t xml:space="preserve"> all modules</w:t>
            </w:r>
          </w:p>
        </w:tc>
        <w:tc>
          <w:tcPr>
            <w:tcW w:w="1667" w:type="pct"/>
            <w:tcBorders>
              <w:top w:val="single" w:sz="4" w:space="0" w:color="6F5591"/>
              <w:bottom w:val="single" w:sz="4" w:space="0" w:color="6F5591"/>
            </w:tcBorders>
            <w:shd w:val="clear" w:color="auto" w:fill="DFD8E8"/>
            <w:tcMar>
              <w:top w:w="0" w:type="dxa"/>
              <w:left w:w="108" w:type="dxa"/>
              <w:bottom w:w="0" w:type="dxa"/>
              <w:right w:w="108" w:type="dxa"/>
            </w:tcMar>
          </w:tcPr>
          <w:p w:rsidR="00DA68EC" w:rsidRPr="00A649B0" w:rsidRDefault="00DA68EC" w:rsidP="008B4B5E">
            <w:pPr>
              <w:pStyle w:val="Tablebody"/>
            </w:pPr>
            <w:r>
              <w:t>A number of</w:t>
            </w:r>
            <w:r w:rsidRPr="00A649B0">
              <w:t xml:space="preserve"> reviewers</w:t>
            </w:r>
          </w:p>
        </w:tc>
        <w:tc>
          <w:tcPr>
            <w:tcW w:w="1666" w:type="pct"/>
            <w:tcBorders>
              <w:top w:val="single" w:sz="4" w:space="0" w:color="FFFFFF" w:themeColor="background1"/>
              <w:bottom w:val="single" w:sz="4" w:space="0" w:color="FFFFFF" w:themeColor="background1"/>
            </w:tcBorders>
            <w:shd w:val="clear" w:color="auto" w:fill="624C80"/>
            <w:tcMar>
              <w:top w:w="0" w:type="dxa"/>
              <w:left w:w="108" w:type="dxa"/>
              <w:bottom w:w="0" w:type="dxa"/>
              <w:right w:w="108" w:type="dxa"/>
            </w:tcMar>
          </w:tcPr>
          <w:p w:rsidR="00DA68EC" w:rsidRPr="00A649B0" w:rsidRDefault="00DA68EC" w:rsidP="008B4B5E">
            <w:pPr>
              <w:pStyle w:val="Tablebody"/>
              <w:rPr>
                <w:color w:val="FFFFFF" w:themeColor="background1"/>
              </w:rPr>
            </w:pPr>
            <w:r>
              <w:rPr>
                <w:color w:val="FFFFFF" w:themeColor="background1"/>
              </w:rPr>
              <w:t xml:space="preserve">Several </w:t>
            </w:r>
            <w:r w:rsidRPr="00A649B0">
              <w:rPr>
                <w:color w:val="FFFFFF" w:themeColor="background1"/>
              </w:rPr>
              <w:t>reviewers</w:t>
            </w:r>
          </w:p>
        </w:tc>
      </w:tr>
      <w:tr w:rsidR="00DA68EC" w:rsidRPr="00A649B0" w:rsidTr="008B4B5E">
        <w:tc>
          <w:tcPr>
            <w:tcW w:w="1667" w:type="pct"/>
            <w:tcBorders>
              <w:top w:val="single" w:sz="4" w:space="0" w:color="6F5591"/>
              <w:bottom w:val="single" w:sz="4" w:space="0" w:color="6F5591"/>
            </w:tcBorders>
            <w:shd w:val="clear" w:color="auto" w:fill="F9F7FB"/>
          </w:tcPr>
          <w:p w:rsidR="00DA68EC" w:rsidRPr="00A649B0" w:rsidRDefault="00DA68EC" w:rsidP="008B4B5E">
            <w:pPr>
              <w:pStyle w:val="Tablebody"/>
            </w:pPr>
            <w:r>
              <w:t>Viewers are limited</w:t>
            </w:r>
          </w:p>
        </w:tc>
        <w:tc>
          <w:tcPr>
            <w:tcW w:w="1667" w:type="pct"/>
            <w:tcBorders>
              <w:top w:val="single" w:sz="4" w:space="0" w:color="6F5591"/>
              <w:bottom w:val="single" w:sz="4" w:space="0" w:color="6F5591"/>
            </w:tcBorders>
            <w:shd w:val="clear" w:color="auto" w:fill="DFD8E8"/>
            <w:tcMar>
              <w:top w:w="0" w:type="dxa"/>
              <w:left w:w="108" w:type="dxa"/>
              <w:bottom w:w="0" w:type="dxa"/>
              <w:right w:w="108" w:type="dxa"/>
            </w:tcMar>
          </w:tcPr>
          <w:p w:rsidR="00DA68EC" w:rsidRPr="00A649B0" w:rsidRDefault="00DA68EC" w:rsidP="008B4B5E">
            <w:pPr>
              <w:pStyle w:val="Tablebody"/>
            </w:pPr>
            <w:r>
              <w:t>Viewers are limited</w:t>
            </w:r>
          </w:p>
        </w:tc>
        <w:tc>
          <w:tcPr>
            <w:tcW w:w="1666" w:type="pct"/>
            <w:tcBorders>
              <w:top w:val="single" w:sz="4" w:space="0" w:color="FFFFFF" w:themeColor="background1"/>
              <w:bottom w:val="single" w:sz="4" w:space="0" w:color="FFFFFF" w:themeColor="background1"/>
            </w:tcBorders>
            <w:shd w:val="clear" w:color="auto" w:fill="624C80"/>
            <w:tcMar>
              <w:top w:w="0" w:type="dxa"/>
              <w:left w:w="108" w:type="dxa"/>
              <w:bottom w:w="0" w:type="dxa"/>
              <w:right w:w="108" w:type="dxa"/>
            </w:tcMar>
          </w:tcPr>
          <w:p w:rsidR="00DA68EC" w:rsidRPr="00A649B0" w:rsidRDefault="00DA68EC" w:rsidP="008B4B5E">
            <w:pPr>
              <w:pStyle w:val="Tablebody"/>
              <w:rPr>
                <w:color w:val="FFFFFF" w:themeColor="background1"/>
              </w:rPr>
            </w:pPr>
            <w:r>
              <w:rPr>
                <w:color w:val="FFFFFF" w:themeColor="background1"/>
              </w:rPr>
              <w:t>Many v</w:t>
            </w:r>
            <w:r w:rsidRPr="00A649B0">
              <w:rPr>
                <w:color w:val="FFFFFF" w:themeColor="background1"/>
              </w:rPr>
              <w:t>iewers</w:t>
            </w:r>
          </w:p>
        </w:tc>
      </w:tr>
      <w:tr w:rsidR="00DA68EC" w:rsidRPr="00A649B0" w:rsidTr="008B4B5E">
        <w:tc>
          <w:tcPr>
            <w:tcW w:w="1667" w:type="pct"/>
            <w:tcBorders>
              <w:top w:val="single" w:sz="4" w:space="0" w:color="6F5591"/>
              <w:bottom w:val="single" w:sz="4" w:space="0" w:color="6F5591"/>
            </w:tcBorders>
            <w:shd w:val="clear" w:color="auto" w:fill="F9F7FB"/>
          </w:tcPr>
          <w:p w:rsidR="00DA68EC" w:rsidRPr="00A649B0" w:rsidRDefault="00DA68EC" w:rsidP="008B4B5E">
            <w:pPr>
              <w:pStyle w:val="Tablebody"/>
            </w:pPr>
            <w:r w:rsidRPr="00A649B0">
              <w:t>CSO obtain</w:t>
            </w:r>
            <w:r>
              <w:t>s</w:t>
            </w:r>
            <w:r w:rsidRPr="00A649B0">
              <w:t xml:space="preserve"> accountable authority approval</w:t>
            </w:r>
          </w:p>
        </w:tc>
        <w:tc>
          <w:tcPr>
            <w:tcW w:w="1667" w:type="pct"/>
            <w:tcBorders>
              <w:top w:val="single" w:sz="4" w:space="0" w:color="6F5591"/>
              <w:bottom w:val="single" w:sz="4" w:space="0" w:color="6F5591"/>
            </w:tcBorders>
            <w:shd w:val="clear" w:color="auto" w:fill="DFD8E8"/>
            <w:tcMar>
              <w:top w:w="0" w:type="dxa"/>
              <w:left w:w="108" w:type="dxa"/>
              <w:bottom w:w="0" w:type="dxa"/>
              <w:right w:w="108" w:type="dxa"/>
            </w:tcMar>
          </w:tcPr>
          <w:p w:rsidR="00DA68EC" w:rsidRPr="00A649B0" w:rsidRDefault="00DA68EC" w:rsidP="008B4B5E">
            <w:pPr>
              <w:pStyle w:val="Tablebody"/>
            </w:pPr>
            <w:r w:rsidRPr="00A649B0">
              <w:t>CSO obtain</w:t>
            </w:r>
            <w:r>
              <w:t>s</w:t>
            </w:r>
            <w:r w:rsidRPr="00A649B0">
              <w:t xml:space="preserve"> accountable authority approval</w:t>
            </w:r>
          </w:p>
        </w:tc>
        <w:tc>
          <w:tcPr>
            <w:tcW w:w="1666" w:type="pct"/>
            <w:tcBorders>
              <w:top w:val="single" w:sz="4" w:space="0" w:color="FFFFFF" w:themeColor="background1"/>
              <w:bottom w:val="single" w:sz="4" w:space="0" w:color="FFFFFF" w:themeColor="background1"/>
            </w:tcBorders>
            <w:shd w:val="clear" w:color="auto" w:fill="624C80"/>
            <w:tcMar>
              <w:top w:w="0" w:type="dxa"/>
              <w:left w:w="108" w:type="dxa"/>
              <w:bottom w:w="0" w:type="dxa"/>
              <w:right w:w="108" w:type="dxa"/>
            </w:tcMar>
          </w:tcPr>
          <w:p w:rsidR="00DA68EC" w:rsidRPr="00A649B0" w:rsidRDefault="00DA68EC" w:rsidP="008B4B5E">
            <w:pPr>
              <w:pStyle w:val="Tablebody"/>
              <w:rPr>
                <w:color w:val="FFFFFF" w:themeColor="background1"/>
              </w:rPr>
            </w:pPr>
            <w:r w:rsidRPr="00A649B0">
              <w:rPr>
                <w:color w:val="FFFFFF" w:themeColor="background1"/>
              </w:rPr>
              <w:t>CSO obtain</w:t>
            </w:r>
            <w:r>
              <w:rPr>
                <w:color w:val="FFFFFF" w:themeColor="background1"/>
              </w:rPr>
              <w:t>s</w:t>
            </w:r>
            <w:r w:rsidRPr="00A649B0">
              <w:rPr>
                <w:color w:val="FFFFFF" w:themeColor="background1"/>
              </w:rPr>
              <w:t xml:space="preserve"> accountable authority approval</w:t>
            </w:r>
          </w:p>
        </w:tc>
      </w:tr>
      <w:tr w:rsidR="00DA68EC" w:rsidRPr="00A649B0" w:rsidTr="008B4B5E">
        <w:tc>
          <w:tcPr>
            <w:tcW w:w="1667" w:type="pct"/>
            <w:tcBorders>
              <w:top w:val="single" w:sz="4" w:space="0" w:color="6F5591"/>
              <w:bottom w:val="single" w:sz="4" w:space="0" w:color="6F5591"/>
            </w:tcBorders>
            <w:shd w:val="clear" w:color="auto" w:fill="F9F7FB"/>
          </w:tcPr>
          <w:p w:rsidR="00DA68EC" w:rsidRPr="00A649B0" w:rsidRDefault="00DA68EC" w:rsidP="008B4B5E">
            <w:pPr>
              <w:pStyle w:val="Tablebody"/>
            </w:pPr>
            <w:r w:rsidRPr="00A649B0">
              <w:t>CSO submit</w:t>
            </w:r>
            <w:r>
              <w:t>s</w:t>
            </w:r>
          </w:p>
        </w:tc>
        <w:tc>
          <w:tcPr>
            <w:tcW w:w="1667" w:type="pct"/>
            <w:tcBorders>
              <w:top w:val="single" w:sz="4" w:space="0" w:color="6F5591"/>
              <w:bottom w:val="single" w:sz="4" w:space="0" w:color="6F5591"/>
            </w:tcBorders>
            <w:shd w:val="clear" w:color="auto" w:fill="DFD8E8"/>
            <w:tcMar>
              <w:top w:w="0" w:type="dxa"/>
              <w:left w:w="108" w:type="dxa"/>
              <w:bottom w:w="0" w:type="dxa"/>
              <w:right w:w="108" w:type="dxa"/>
            </w:tcMar>
          </w:tcPr>
          <w:p w:rsidR="00DA68EC" w:rsidRPr="00A649B0" w:rsidRDefault="00DA68EC" w:rsidP="008B4B5E">
            <w:pPr>
              <w:pStyle w:val="Tablebody"/>
            </w:pPr>
            <w:r w:rsidRPr="00A649B0">
              <w:t>CSO submit</w:t>
            </w:r>
            <w:r>
              <w:t>s</w:t>
            </w:r>
          </w:p>
        </w:tc>
        <w:tc>
          <w:tcPr>
            <w:tcW w:w="1666" w:type="pct"/>
            <w:tcBorders>
              <w:top w:val="single" w:sz="4" w:space="0" w:color="FFFFFF" w:themeColor="background1"/>
              <w:bottom w:val="single" w:sz="4" w:space="0" w:color="6F5591"/>
            </w:tcBorders>
            <w:shd w:val="clear" w:color="auto" w:fill="624C80"/>
            <w:tcMar>
              <w:top w:w="0" w:type="dxa"/>
              <w:left w:w="108" w:type="dxa"/>
              <w:bottom w:w="0" w:type="dxa"/>
              <w:right w:w="108" w:type="dxa"/>
            </w:tcMar>
          </w:tcPr>
          <w:p w:rsidR="00DA68EC" w:rsidRPr="00A649B0" w:rsidRDefault="00DA68EC" w:rsidP="008B4B5E">
            <w:pPr>
              <w:pStyle w:val="Tablebody"/>
              <w:rPr>
                <w:color w:val="FFFFFF" w:themeColor="background1"/>
              </w:rPr>
            </w:pPr>
            <w:r w:rsidRPr="00A649B0">
              <w:rPr>
                <w:color w:val="FFFFFF" w:themeColor="background1"/>
              </w:rPr>
              <w:t>CSO submit</w:t>
            </w:r>
            <w:r>
              <w:rPr>
                <w:color w:val="FFFFFF" w:themeColor="background1"/>
              </w:rPr>
              <w:t>s</w:t>
            </w:r>
          </w:p>
        </w:tc>
      </w:tr>
    </w:tbl>
    <w:p w:rsidR="00F34A23" w:rsidRPr="00E440E9" w:rsidRDefault="00F34A23" w:rsidP="00DA68EC">
      <w:pPr>
        <w:pStyle w:val="Caption"/>
        <w:rPr>
          <w:sz w:val="2"/>
        </w:rPr>
      </w:pPr>
    </w:p>
    <w:sectPr w:rsidR="00F34A23" w:rsidRPr="00E440E9" w:rsidSect="00E440E9">
      <w:headerReference w:type="even" r:id="rId19"/>
      <w:headerReference w:type="default" r:id="rId20"/>
      <w:footerReference w:type="even" r:id="rId21"/>
      <w:footerReference w:type="default" r:id="rId22"/>
      <w:headerReference w:type="first" r:id="rId23"/>
      <w:footerReference w:type="first" r:id="rId24"/>
      <w:pgSz w:w="11906" w:h="16838"/>
      <w:pgMar w:top="766" w:right="720" w:bottom="685" w:left="720" w:header="57"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BDF" w:rsidRDefault="00273BDF" w:rsidP="007D070A">
      <w:pPr>
        <w:spacing w:after="0"/>
      </w:pPr>
      <w:r>
        <w:separator/>
      </w:r>
    </w:p>
  </w:endnote>
  <w:endnote w:type="continuationSeparator" w:id="0">
    <w:p w:rsidR="00273BDF" w:rsidRDefault="00273BDF" w:rsidP="007D07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6F0" w:rsidRDefault="005E16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7866968"/>
      <w:docPartObj>
        <w:docPartGallery w:val="Page Numbers (Bottom of Page)"/>
        <w:docPartUnique/>
      </w:docPartObj>
    </w:sdtPr>
    <w:sdtEndPr>
      <w:rPr>
        <w:noProof/>
        <w:sz w:val="20"/>
        <w:szCs w:val="20"/>
      </w:rPr>
    </w:sdtEndPr>
    <w:sdtContent>
      <w:p w:rsidR="009A3706" w:rsidRPr="00C6614B" w:rsidRDefault="00C6614B" w:rsidP="00C6614B">
        <w:pPr>
          <w:pStyle w:val="Footer"/>
          <w:rPr>
            <w:noProof/>
            <w:sz w:val="20"/>
            <w:szCs w:val="20"/>
          </w:rPr>
        </w:pPr>
        <w:r w:rsidRPr="006F61B7">
          <w:rPr>
            <w:noProof/>
            <w:sz w:val="20"/>
            <w:szCs w:val="20"/>
            <w:lang w:eastAsia="en-AU"/>
          </w:rPr>
          <mc:AlternateContent>
            <mc:Choice Requires="wps">
              <w:drawing>
                <wp:anchor distT="0" distB="0" distL="114300" distR="114300" simplePos="0" relativeHeight="251655168" behindDoc="0" locked="0" layoutInCell="1" allowOverlap="1" wp14:anchorId="13F6797C" wp14:editId="719F5532">
                  <wp:simplePos x="0" y="0"/>
                  <wp:positionH relativeFrom="column">
                    <wp:posOffset>0</wp:posOffset>
                  </wp:positionH>
                  <wp:positionV relativeFrom="paragraph">
                    <wp:posOffset>-57785</wp:posOffset>
                  </wp:positionV>
                  <wp:extent cx="6648450" cy="47625"/>
                  <wp:effectExtent l="0" t="0" r="0" b="9525"/>
                  <wp:wrapNone/>
                  <wp:docPr id="13" name="Rectangle 1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D12A514" id="Rectangle 13" o:spid="_x0000_s1026" style="position:absolute;margin-left:0;margin-top:-4.55pt;width:523.5pt;height:3.7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JYblQ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" fillcolor="#483a70" stroked="f" strokeweight="2pt"/>
              </w:pict>
            </mc:Fallback>
          </mc:AlternateContent>
        </w:r>
        <w:r w:rsidR="00A30B40">
          <w:t>June 2020</w:t>
        </w:r>
        <w:r>
          <w:tab/>
          <w:t>PSPF online reporting portal—Quick start guide</w:t>
        </w:r>
        <w:r>
          <w:tab/>
        </w:r>
        <w:r>
          <w:fldChar w:fldCharType="begin"/>
        </w:r>
        <w:r>
          <w:instrText xml:space="preserve"> PAGE   \* MERGEFORMAT </w:instrText>
        </w:r>
        <w:r>
          <w:fldChar w:fldCharType="separate"/>
        </w:r>
        <w:r w:rsidR="005E16F0">
          <w:rPr>
            <w:noProof/>
          </w:rPr>
          <w:t>5</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4520098"/>
      <w:docPartObj>
        <w:docPartGallery w:val="Page Numbers (Bottom of Page)"/>
        <w:docPartUnique/>
      </w:docPartObj>
    </w:sdtPr>
    <w:sdtEndPr>
      <w:rPr>
        <w:noProof/>
        <w:sz w:val="20"/>
        <w:szCs w:val="20"/>
      </w:rPr>
    </w:sdtEndPr>
    <w:sdtContent>
      <w:p w:rsidR="009A3706" w:rsidRPr="004350F5" w:rsidRDefault="00C6614B" w:rsidP="00C6614B">
        <w:pPr>
          <w:pStyle w:val="Footer"/>
          <w:rPr>
            <w:noProof/>
            <w:sz w:val="20"/>
            <w:szCs w:val="20"/>
          </w:rPr>
        </w:pPr>
        <w:r w:rsidRPr="006F61B7">
          <w:rPr>
            <w:noProof/>
            <w:sz w:val="20"/>
            <w:szCs w:val="20"/>
            <w:lang w:eastAsia="en-AU"/>
          </w:rPr>
          <mc:AlternateContent>
            <mc:Choice Requires="wps">
              <w:drawing>
                <wp:anchor distT="0" distB="0" distL="114300" distR="114300" simplePos="0" relativeHeight="251657216" behindDoc="0" locked="0" layoutInCell="1" allowOverlap="1" wp14:anchorId="4375286C" wp14:editId="009C9965">
                  <wp:simplePos x="0" y="0"/>
                  <wp:positionH relativeFrom="column">
                    <wp:posOffset>0</wp:posOffset>
                  </wp:positionH>
                  <wp:positionV relativeFrom="paragraph">
                    <wp:posOffset>-57785</wp:posOffset>
                  </wp:positionV>
                  <wp:extent cx="6648450" cy="47625"/>
                  <wp:effectExtent l="0" t="0" r="0" b="9525"/>
                  <wp:wrapNone/>
                  <wp:docPr id="8" name="Rectangle 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71F262" id="Rectangle 8" o:spid="_x0000_s1026" style="position:absolute;margin-left:0;margin-top:-4.55pt;width:523.5pt;height:3.7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" fillcolor="#483a70" stroked="f" strokeweight="2pt"/>
              </w:pict>
            </mc:Fallback>
          </mc:AlternateContent>
        </w:r>
        <w:r w:rsidR="00D0043E">
          <w:t>June 2020</w:t>
        </w:r>
        <w:r>
          <w:tab/>
          <w:t>PSPF online reporting portal—Quick start guide</w:t>
        </w:r>
        <w:r>
          <w:tab/>
        </w:r>
        <w:r>
          <w:fldChar w:fldCharType="begin"/>
        </w:r>
        <w:r>
          <w:instrText xml:space="preserve"> PAGE   \* MERGEFORMAT </w:instrText>
        </w:r>
        <w:r>
          <w:fldChar w:fldCharType="separate"/>
        </w:r>
        <w:r w:rsidR="005E16F0">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BDF" w:rsidRDefault="00273BDF" w:rsidP="007D070A">
      <w:pPr>
        <w:spacing w:after="0"/>
      </w:pPr>
      <w:r>
        <w:separator/>
      </w:r>
    </w:p>
  </w:footnote>
  <w:footnote w:type="continuationSeparator" w:id="0">
    <w:p w:rsidR="00273BDF" w:rsidRDefault="00273BDF" w:rsidP="007D070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6F0" w:rsidRDefault="005E16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706" w:rsidRDefault="009A3706" w:rsidP="004350F5">
    <w:pPr>
      <w:pStyle w:val="Header"/>
      <w:spacing w:before="240"/>
    </w:pPr>
    <w:r w:rsidRPr="006F61B7">
      <w:t>Protective Security Policy Framework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706" w:rsidRDefault="009A3706" w:rsidP="004350F5">
    <w:pPr>
      <w:pStyle w:val="Header"/>
    </w:pPr>
    <w:r>
      <w:rPr>
        <w:noProof/>
        <w:lang w:eastAsia="en-AU"/>
      </w:rPr>
      <mc:AlternateContent>
        <mc:Choice Requires="wps">
          <w:drawing>
            <wp:anchor distT="0" distB="0" distL="114300" distR="114300" simplePos="0" relativeHeight="251661312" behindDoc="0" locked="0" layoutInCell="1" allowOverlap="1" wp14:anchorId="2C997488" wp14:editId="16184074">
              <wp:simplePos x="0" y="0"/>
              <wp:positionH relativeFrom="column">
                <wp:posOffset>2019300</wp:posOffset>
              </wp:positionH>
              <wp:positionV relativeFrom="paragraph">
                <wp:posOffset>1019175</wp:posOffset>
              </wp:positionV>
              <wp:extent cx="5200650" cy="66675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3706" w:rsidRPr="00361D34" w:rsidRDefault="009A3706" w:rsidP="004350F5">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997488" id="_x0000_t202" coordsize="21600,21600" o:spt="202" path="m,l,21600r21600,l21600,xe">
              <v:stroke joinstyle="miter"/>
              <v:path gradientshapeok="t" o:connecttype="rect"/>
            </v:shapetype>
            <v:shape id="Text Box 36" o:spid="_x0000_s1030" type="#_x0000_t202" style="position:absolute;margin-left:159pt;margin-top:80.25pt;width:409.5pt;height: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" filled="f" stroked="f" strokeweight=".5pt">
              <v:textbox>
                <w:txbxContent>
                  <w:p w:rsidR="009A3706" w:rsidRPr="00361D34" w:rsidRDefault="009A3706" w:rsidP="004350F5">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659264" behindDoc="1" locked="0" layoutInCell="1" allowOverlap="1" wp14:anchorId="3B6D5AB6" wp14:editId="6D3DD746">
          <wp:simplePos x="0" y="0"/>
          <wp:positionH relativeFrom="column">
            <wp:posOffset>0</wp:posOffset>
          </wp:positionH>
          <wp:positionV relativeFrom="paragraph">
            <wp:posOffset>371475</wp:posOffset>
          </wp:positionV>
          <wp:extent cx="6645275" cy="1288415"/>
          <wp:effectExtent l="0" t="0" r="3175" b="6985"/>
          <wp:wrapTight wrapText="bothSides">
            <wp:wrapPolygon edited="0">
              <wp:start x="0" y="0"/>
              <wp:lineTo x="0" y="21398"/>
              <wp:lineTo x="21548" y="21398"/>
              <wp:lineTo x="21548" y="0"/>
              <wp:lineTo x="0" y="0"/>
            </wp:wrapPolygon>
          </wp:wrapTight>
          <wp:docPr id="3" name="Picture 3"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275" cy="12884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4049B"/>
    <w:multiLevelType w:val="hybridMultilevel"/>
    <w:tmpl w:val="DEC6DEB8"/>
    <w:lvl w:ilvl="0" w:tplc="F9142DD0">
      <w:start w:val="1"/>
      <w:numFmt w:val="lowerRoman"/>
      <w:pStyle w:val="Tablebodybullet2"/>
      <w:lvlText w:val="%1."/>
      <w:lvlJc w:val="right"/>
      <w:pPr>
        <w:ind w:left="1440" w:hanging="360"/>
      </w:pPr>
    </w:lvl>
    <w:lvl w:ilvl="1" w:tplc="E840913E">
      <w:start w:val="1"/>
      <w:numFmt w:val="upperLetter"/>
      <w:pStyle w:val="Tablebodybullet3"/>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 w15:restartNumberingAfterBreak="0">
    <w:nsid w:val="040A2060"/>
    <w:multiLevelType w:val="hybridMultilevel"/>
    <w:tmpl w:val="972C2314"/>
    <w:lvl w:ilvl="0" w:tplc="D542DB16">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15:restartNumberingAfterBreak="0">
    <w:nsid w:val="0B684FC4"/>
    <w:multiLevelType w:val="hybridMultilevel"/>
    <w:tmpl w:val="AFF83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E14EA4"/>
    <w:multiLevelType w:val="multilevel"/>
    <w:tmpl w:val="93AE02CE"/>
    <w:styleLink w:val="Style1"/>
    <w:lvl w:ilvl="0">
      <w:start w:val="1"/>
      <w:numFmt w:val="decimal"/>
      <w:lvlText w:val="%1"/>
      <w:lvlJc w:val="left"/>
      <w:pPr>
        <w:ind w:left="720" w:hanging="360"/>
      </w:pPr>
      <w:rPr>
        <w:rFonts w:ascii="Times New Roman" w:hAnsi="Times New Roman" w:hint="default"/>
        <w:color w:val="5C5C5C"/>
        <w:sz w:val="22"/>
      </w:rPr>
    </w:lvl>
    <w:lvl w:ilvl="1">
      <w:start w:val="1"/>
      <w:numFmt w:val="lowerLetter"/>
      <w:lvlText w:val="%2"/>
      <w:lvlJc w:val="left"/>
      <w:pPr>
        <w:ind w:left="786" w:hanging="360"/>
      </w:pPr>
      <w:rPr>
        <w:rFonts w:asciiTheme="minorHAnsi" w:hAnsiTheme="minorHAnsi" w:hint="default"/>
        <w:color w:val="463A70"/>
        <w:sz w:val="22"/>
      </w:rPr>
    </w:lvl>
    <w:lvl w:ilvl="2">
      <w:start w:val="1"/>
      <w:numFmt w:val="lowerRoman"/>
      <w:lvlText w:val="%3"/>
      <w:lvlJc w:val="left"/>
      <w:pPr>
        <w:ind w:left="2160" w:hanging="360"/>
      </w:pPr>
      <w:rPr>
        <w:rFonts w:asciiTheme="minorHAnsi" w:hAnsiTheme="minorHAnsi" w:hint="default"/>
        <w:sz w:val="22"/>
      </w:rPr>
    </w:lvl>
    <w:lvl w:ilvl="3">
      <w:start w:val="1"/>
      <w:numFmt w:val="upperLetter"/>
      <w:lvlText w:val="%4"/>
      <w:lvlJc w:val="left"/>
      <w:pPr>
        <w:ind w:left="2880" w:hanging="360"/>
      </w:pPr>
      <w:rPr>
        <w:rFonts w:asciiTheme="minorHAnsi" w:hAnsiTheme="minorHAnsi"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160C3F"/>
    <w:multiLevelType w:val="hybridMultilevel"/>
    <w:tmpl w:val="ED2C5A8A"/>
    <w:lvl w:ilvl="0" w:tplc="D542DB16">
      <w:start w:val="1"/>
      <w:numFmt w:val="decimal"/>
      <w:lvlText w:val="%1)"/>
      <w:lvlJc w:val="left"/>
      <w:pPr>
        <w:ind w:left="10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D85298B"/>
    <w:multiLevelType w:val="hybridMultilevel"/>
    <w:tmpl w:val="EDB0049A"/>
    <w:lvl w:ilvl="0" w:tplc="DCCC0658">
      <w:start w:val="1"/>
      <w:numFmt w:val="decimal"/>
      <w:lvlText w:val="%1."/>
      <w:lvlJc w:val="left"/>
      <w:pPr>
        <w:ind w:left="360" w:hanging="360"/>
      </w:pPr>
      <w:rPr>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1F790E11"/>
    <w:multiLevelType w:val="hybridMultilevel"/>
    <w:tmpl w:val="433EEBFA"/>
    <w:lvl w:ilvl="0" w:tplc="53148620">
      <w:start w:val="1"/>
      <w:numFmt w:val="lowerLetter"/>
      <w:pStyle w:val="intensequotenumbered"/>
      <w:lvlText w:val="%1."/>
      <w:lvlJc w:val="left"/>
      <w:pPr>
        <w:ind w:left="1656" w:hanging="360"/>
      </w:pPr>
    </w:lvl>
    <w:lvl w:ilvl="1" w:tplc="0C090019" w:tentative="1">
      <w:start w:val="1"/>
      <w:numFmt w:val="lowerLetter"/>
      <w:lvlText w:val="%2."/>
      <w:lvlJc w:val="left"/>
      <w:pPr>
        <w:ind w:left="2376" w:hanging="360"/>
      </w:pPr>
    </w:lvl>
    <w:lvl w:ilvl="2" w:tplc="0C09001B" w:tentative="1">
      <w:start w:val="1"/>
      <w:numFmt w:val="lowerRoman"/>
      <w:lvlText w:val="%3."/>
      <w:lvlJc w:val="right"/>
      <w:pPr>
        <w:ind w:left="3096" w:hanging="180"/>
      </w:pPr>
    </w:lvl>
    <w:lvl w:ilvl="3" w:tplc="0C09000F" w:tentative="1">
      <w:start w:val="1"/>
      <w:numFmt w:val="decimal"/>
      <w:lvlText w:val="%4."/>
      <w:lvlJc w:val="left"/>
      <w:pPr>
        <w:ind w:left="3816" w:hanging="360"/>
      </w:pPr>
    </w:lvl>
    <w:lvl w:ilvl="4" w:tplc="0C090019" w:tentative="1">
      <w:start w:val="1"/>
      <w:numFmt w:val="lowerLetter"/>
      <w:lvlText w:val="%5."/>
      <w:lvlJc w:val="left"/>
      <w:pPr>
        <w:ind w:left="4536" w:hanging="360"/>
      </w:pPr>
    </w:lvl>
    <w:lvl w:ilvl="5" w:tplc="0C09001B" w:tentative="1">
      <w:start w:val="1"/>
      <w:numFmt w:val="lowerRoman"/>
      <w:lvlText w:val="%6."/>
      <w:lvlJc w:val="right"/>
      <w:pPr>
        <w:ind w:left="5256" w:hanging="180"/>
      </w:pPr>
    </w:lvl>
    <w:lvl w:ilvl="6" w:tplc="0C09000F" w:tentative="1">
      <w:start w:val="1"/>
      <w:numFmt w:val="decimal"/>
      <w:lvlText w:val="%7."/>
      <w:lvlJc w:val="left"/>
      <w:pPr>
        <w:ind w:left="5976" w:hanging="360"/>
      </w:pPr>
    </w:lvl>
    <w:lvl w:ilvl="7" w:tplc="0C090019" w:tentative="1">
      <w:start w:val="1"/>
      <w:numFmt w:val="lowerLetter"/>
      <w:lvlText w:val="%8."/>
      <w:lvlJc w:val="left"/>
      <w:pPr>
        <w:ind w:left="6696" w:hanging="360"/>
      </w:pPr>
    </w:lvl>
    <w:lvl w:ilvl="8" w:tplc="0C09001B" w:tentative="1">
      <w:start w:val="1"/>
      <w:numFmt w:val="lowerRoman"/>
      <w:lvlText w:val="%9."/>
      <w:lvlJc w:val="right"/>
      <w:pPr>
        <w:ind w:left="7416" w:hanging="180"/>
      </w:pPr>
    </w:lvl>
  </w:abstractNum>
  <w:abstractNum w:abstractNumId="7" w15:restartNumberingAfterBreak="0">
    <w:nsid w:val="26315B84"/>
    <w:multiLevelType w:val="hybridMultilevel"/>
    <w:tmpl w:val="56928FF4"/>
    <w:lvl w:ilvl="0" w:tplc="0C09000F">
      <w:start w:val="1"/>
      <w:numFmt w:val="decimal"/>
      <w:lvlText w:val="%1."/>
      <w:lvlJc w:val="left"/>
      <w:pPr>
        <w:ind w:left="10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BCB535C"/>
    <w:multiLevelType w:val="hybridMultilevel"/>
    <w:tmpl w:val="7EFC1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736DCB"/>
    <w:multiLevelType w:val="hybridMultilevel"/>
    <w:tmpl w:val="A63E11C8"/>
    <w:lvl w:ilvl="0" w:tplc="C3FE5EC4">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F51A73"/>
    <w:multiLevelType w:val="hybridMultilevel"/>
    <w:tmpl w:val="16C256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AC1657"/>
    <w:multiLevelType w:val="hybridMultilevel"/>
    <w:tmpl w:val="8A0684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E30921"/>
    <w:multiLevelType w:val="hybridMultilevel"/>
    <w:tmpl w:val="B436177C"/>
    <w:lvl w:ilvl="0" w:tplc="0C090001">
      <w:start w:val="1"/>
      <w:numFmt w:val="bullet"/>
      <w:lvlText w:val=""/>
      <w:lvlJc w:val="left"/>
      <w:pPr>
        <w:ind w:left="765" w:hanging="360"/>
      </w:pPr>
      <w:rPr>
        <w:rFonts w:ascii="Symbol" w:hAnsi="Symbol" w:hint="default"/>
      </w:rPr>
    </w:lvl>
    <w:lvl w:ilvl="1" w:tplc="0C090003">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13" w15:restartNumberingAfterBreak="0">
    <w:nsid w:val="3AF7558B"/>
    <w:multiLevelType w:val="hybridMultilevel"/>
    <w:tmpl w:val="EDB0049A"/>
    <w:lvl w:ilvl="0" w:tplc="DCCC0658">
      <w:start w:val="1"/>
      <w:numFmt w:val="decimal"/>
      <w:lvlText w:val="%1."/>
      <w:lvlJc w:val="left"/>
      <w:pPr>
        <w:ind w:left="360" w:hanging="360"/>
      </w:pPr>
      <w:rPr>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3BD47412"/>
    <w:multiLevelType w:val="hybridMultilevel"/>
    <w:tmpl w:val="6D5C03FC"/>
    <w:lvl w:ilvl="0" w:tplc="2EAAA8C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A47CDC"/>
    <w:multiLevelType w:val="hybridMultilevel"/>
    <w:tmpl w:val="9D46158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6" w15:restartNumberingAfterBreak="0">
    <w:nsid w:val="45E47A96"/>
    <w:multiLevelType w:val="hybridMultilevel"/>
    <w:tmpl w:val="79B80622"/>
    <w:lvl w:ilvl="0" w:tplc="21A29532">
      <w:start w:val="1"/>
      <w:numFmt w:val="bullet"/>
      <w:lvlText w:val="–"/>
      <w:lvlJc w:val="left"/>
      <w:pPr>
        <w:ind w:left="1494" w:hanging="360"/>
      </w:pPr>
      <w:rPr>
        <w:rFonts w:ascii="Calibri" w:hAnsi="Calibri" w:hint="default"/>
      </w:r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17" w15:restartNumberingAfterBreak="0">
    <w:nsid w:val="4EF12790"/>
    <w:multiLevelType w:val="hybridMultilevel"/>
    <w:tmpl w:val="879A9ACE"/>
    <w:lvl w:ilvl="0" w:tplc="0C090001">
      <w:start w:val="1"/>
      <w:numFmt w:val="bullet"/>
      <w:lvlText w:val=""/>
      <w:lvlJc w:val="left"/>
      <w:pPr>
        <w:ind w:left="720" w:hanging="360"/>
      </w:pPr>
      <w:rPr>
        <w:rFonts w:ascii="Symbol" w:hAnsi="Symbol" w:hint="default"/>
      </w:rPr>
    </w:lvl>
    <w:lvl w:ilvl="1" w:tplc="3C3406B6">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04E7A51"/>
    <w:multiLevelType w:val="hybridMultilevel"/>
    <w:tmpl w:val="8E10746A"/>
    <w:lvl w:ilvl="0" w:tplc="8FF412AE">
      <w:start w:val="1"/>
      <w:numFmt w:val="bullet"/>
      <w:lvlText w:val=""/>
      <w:lvlJc w:val="left"/>
      <w:pPr>
        <w:ind w:left="720" w:hanging="360"/>
      </w:pPr>
      <w:rPr>
        <w:rFonts w:ascii="Wingdings" w:hAnsi="Wingding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547E39C2"/>
    <w:multiLevelType w:val="hybridMultilevel"/>
    <w:tmpl w:val="1FF2FB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5929FF"/>
    <w:multiLevelType w:val="hybridMultilevel"/>
    <w:tmpl w:val="BB44BB70"/>
    <w:lvl w:ilvl="0" w:tplc="A530B300">
      <w:start w:val="1"/>
      <w:numFmt w:val="upperLetter"/>
      <w:pStyle w:val="ListBullet4"/>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21" w15:restartNumberingAfterBreak="0">
    <w:nsid w:val="62D53FEF"/>
    <w:multiLevelType w:val="hybridMultilevel"/>
    <w:tmpl w:val="E7F05E9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63A15FB9"/>
    <w:multiLevelType w:val="multilevel"/>
    <w:tmpl w:val="620E34F6"/>
    <w:lvl w:ilvl="0">
      <w:start w:val="1"/>
      <w:numFmt w:val="bullet"/>
      <w:pStyle w:val="Listbullet1"/>
      <w:lvlText w:val=""/>
      <w:lvlJc w:val="left"/>
      <w:pPr>
        <w:ind w:left="357" w:hanging="357"/>
      </w:pPr>
      <w:rPr>
        <w:rFonts w:ascii="Symbol" w:hAnsi="Symbol" w:hint="default"/>
        <w:color w:val="5C5C5C"/>
      </w:rPr>
    </w:lvl>
    <w:lvl w:ilvl="1">
      <w:start w:val="1"/>
      <w:numFmt w:val="bullet"/>
      <w:pStyle w:val="ListBullet2"/>
      <w:lvlText w:val=""/>
      <w:lvlJc w:val="left"/>
      <w:pPr>
        <w:ind w:left="680" w:hanging="340"/>
      </w:pPr>
      <w:rPr>
        <w:rFonts w:ascii="Wingdings" w:hAnsi="Wingdings" w:hint="default"/>
        <w:color w:val="5C5C5C"/>
      </w:rPr>
    </w:lvl>
    <w:lvl w:ilvl="2">
      <w:start w:val="1"/>
      <w:numFmt w:val="bullet"/>
      <w:pStyle w:val="ListBullet3"/>
      <w:lvlText w:val="–"/>
      <w:lvlJc w:val="left"/>
      <w:pPr>
        <w:ind w:left="1361" w:hanging="340"/>
      </w:pPr>
      <w:rPr>
        <w:rFonts w:ascii="Calibri" w:hAnsi="Calibri" w:hint="default"/>
      </w:rPr>
    </w:lvl>
    <w:lvl w:ilvl="3">
      <w:start w:val="1"/>
      <w:numFmt w:val="upperLetter"/>
      <w:lvlText w:val="%4"/>
      <w:lvlJc w:val="left"/>
      <w:pPr>
        <w:ind w:left="2520" w:hanging="360"/>
      </w:pPr>
      <w:rPr>
        <w:rFont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5A77CC3"/>
    <w:multiLevelType w:val="multilevel"/>
    <w:tmpl w:val="FF42316C"/>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6505CD4"/>
    <w:multiLevelType w:val="hybridMultilevel"/>
    <w:tmpl w:val="E60AAAD4"/>
    <w:lvl w:ilvl="0" w:tplc="C3FE5EC4">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3F0F61"/>
    <w:multiLevelType w:val="hybridMultilevel"/>
    <w:tmpl w:val="43FEE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686220"/>
    <w:multiLevelType w:val="hybridMultilevel"/>
    <w:tmpl w:val="461AA046"/>
    <w:lvl w:ilvl="0" w:tplc="0F348542">
      <w:start w:val="1"/>
      <w:numFmt w:val="lowerLetter"/>
      <w:pStyle w:val="Tablebodybullet1"/>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7C232A6A"/>
    <w:multiLevelType w:val="hybridMultilevel"/>
    <w:tmpl w:val="BE9E5FD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23"/>
  </w:num>
  <w:num w:numId="3">
    <w:abstractNumId w:val="26"/>
  </w:num>
  <w:num w:numId="4">
    <w:abstractNumId w:val="0"/>
  </w:num>
  <w:num w:numId="5">
    <w:abstractNumId w:val="6"/>
  </w:num>
  <w:num w:numId="6">
    <w:abstractNumId w:val="18"/>
  </w:num>
  <w:num w:numId="7">
    <w:abstractNumId w:val="16"/>
  </w:num>
  <w:num w:numId="8">
    <w:abstractNumId w:val="20"/>
  </w:num>
  <w:num w:numId="9">
    <w:abstractNumId w:val="19"/>
  </w:num>
  <w:num w:numId="10">
    <w:abstractNumId w:val="14"/>
  </w:num>
  <w:num w:numId="11">
    <w:abstractNumId w:val="17"/>
  </w:num>
  <w:num w:numId="12">
    <w:abstractNumId w:val="12"/>
  </w:num>
  <w:num w:numId="13">
    <w:abstractNumId w:val="21"/>
  </w:num>
  <w:num w:numId="14">
    <w:abstractNumId w:val="27"/>
  </w:num>
  <w:num w:numId="15">
    <w:abstractNumId w:val="15"/>
  </w:num>
  <w:num w:numId="16">
    <w:abstractNumId w:val="13"/>
  </w:num>
  <w:num w:numId="17">
    <w:abstractNumId w:val="5"/>
  </w:num>
  <w:num w:numId="18">
    <w:abstractNumId w:val="1"/>
  </w:num>
  <w:num w:numId="19">
    <w:abstractNumId w:val="4"/>
  </w:num>
  <w:num w:numId="20">
    <w:abstractNumId w:val="7"/>
  </w:num>
  <w:num w:numId="21">
    <w:abstractNumId w:val="25"/>
  </w:num>
  <w:num w:numId="22">
    <w:abstractNumId w:val="11"/>
  </w:num>
  <w:num w:numId="23">
    <w:abstractNumId w:val="10"/>
  </w:num>
  <w:num w:numId="24">
    <w:abstractNumId w:val="2"/>
  </w:num>
  <w:num w:numId="25">
    <w:abstractNumId w:val="18"/>
  </w:num>
  <w:num w:numId="26">
    <w:abstractNumId w:val="22"/>
  </w:num>
  <w:num w:numId="27">
    <w:abstractNumId w:val="23"/>
  </w:num>
  <w:num w:numId="28">
    <w:abstractNumId w:val="23"/>
  </w:num>
  <w:num w:numId="29">
    <w:abstractNumId w:val="23"/>
  </w:num>
  <w:num w:numId="30">
    <w:abstractNumId w:val="23"/>
  </w:num>
  <w:num w:numId="31">
    <w:abstractNumId w:val="6"/>
  </w:num>
  <w:num w:numId="32">
    <w:abstractNumId w:val="16"/>
  </w:num>
  <w:num w:numId="33">
    <w:abstractNumId w:val="20"/>
  </w:num>
  <w:num w:numId="34">
    <w:abstractNumId w:val="22"/>
  </w:num>
  <w:num w:numId="35">
    <w:abstractNumId w:val="3"/>
  </w:num>
  <w:num w:numId="36">
    <w:abstractNumId w:val="26"/>
  </w:num>
  <w:num w:numId="37">
    <w:abstractNumId w:val="0"/>
  </w:num>
  <w:num w:numId="38">
    <w:abstractNumId w:val="0"/>
  </w:num>
  <w:num w:numId="39">
    <w:abstractNumId w:val="9"/>
  </w:num>
  <w:num w:numId="40">
    <w:abstractNumId w:val="24"/>
  </w:num>
  <w:num w:numId="41">
    <w:abstractNumId w:val="22"/>
  </w:num>
  <w:num w:numId="42">
    <w:abstractNumId w:val="8"/>
  </w:num>
  <w:num w:numId="43">
    <w:abstractNumId w:val="22"/>
  </w:num>
  <w:num w:numId="44">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0F5"/>
    <w:rsid w:val="00004055"/>
    <w:rsid w:val="00006832"/>
    <w:rsid w:val="00006CDA"/>
    <w:rsid w:val="0001080B"/>
    <w:rsid w:val="00010933"/>
    <w:rsid w:val="00024010"/>
    <w:rsid w:val="0003019E"/>
    <w:rsid w:val="00032AA3"/>
    <w:rsid w:val="00033EDB"/>
    <w:rsid w:val="00036EE3"/>
    <w:rsid w:val="00042335"/>
    <w:rsid w:val="00047F64"/>
    <w:rsid w:val="00052621"/>
    <w:rsid w:val="00053A25"/>
    <w:rsid w:val="00061307"/>
    <w:rsid w:val="00062D41"/>
    <w:rsid w:val="00063481"/>
    <w:rsid w:val="00072CE3"/>
    <w:rsid w:val="00074038"/>
    <w:rsid w:val="00077FB4"/>
    <w:rsid w:val="0008116E"/>
    <w:rsid w:val="00085DB1"/>
    <w:rsid w:val="0008718B"/>
    <w:rsid w:val="000B0FE3"/>
    <w:rsid w:val="000B274F"/>
    <w:rsid w:val="000B60A9"/>
    <w:rsid w:val="000B68A2"/>
    <w:rsid w:val="000C7416"/>
    <w:rsid w:val="000D0660"/>
    <w:rsid w:val="000D774F"/>
    <w:rsid w:val="000E6ACF"/>
    <w:rsid w:val="00100785"/>
    <w:rsid w:val="0010347B"/>
    <w:rsid w:val="00104039"/>
    <w:rsid w:val="00107328"/>
    <w:rsid w:val="001127C6"/>
    <w:rsid w:val="00115326"/>
    <w:rsid w:val="00116E26"/>
    <w:rsid w:val="00120037"/>
    <w:rsid w:val="00121FA8"/>
    <w:rsid w:val="00123088"/>
    <w:rsid w:val="00127762"/>
    <w:rsid w:val="0013303F"/>
    <w:rsid w:val="00133E32"/>
    <w:rsid w:val="00142E2F"/>
    <w:rsid w:val="001516C3"/>
    <w:rsid w:val="00152550"/>
    <w:rsid w:val="00152F96"/>
    <w:rsid w:val="00153DF8"/>
    <w:rsid w:val="00155F39"/>
    <w:rsid w:val="00157386"/>
    <w:rsid w:val="00163C6F"/>
    <w:rsid w:val="001659FD"/>
    <w:rsid w:val="00175483"/>
    <w:rsid w:val="00176000"/>
    <w:rsid w:val="001800D4"/>
    <w:rsid w:val="00190ADA"/>
    <w:rsid w:val="001912F4"/>
    <w:rsid w:val="00194977"/>
    <w:rsid w:val="001A21CB"/>
    <w:rsid w:val="001A66C9"/>
    <w:rsid w:val="001A733A"/>
    <w:rsid w:val="001B4034"/>
    <w:rsid w:val="001B66A8"/>
    <w:rsid w:val="001C4F3B"/>
    <w:rsid w:val="001C50AD"/>
    <w:rsid w:val="001C6C6D"/>
    <w:rsid w:val="001D150C"/>
    <w:rsid w:val="001D559E"/>
    <w:rsid w:val="001D6B12"/>
    <w:rsid w:val="001E0847"/>
    <w:rsid w:val="001F1EA0"/>
    <w:rsid w:val="001F73BD"/>
    <w:rsid w:val="002002FE"/>
    <w:rsid w:val="002038CE"/>
    <w:rsid w:val="00207562"/>
    <w:rsid w:val="00210403"/>
    <w:rsid w:val="00212160"/>
    <w:rsid w:val="0021505F"/>
    <w:rsid w:val="00226583"/>
    <w:rsid w:val="00227A31"/>
    <w:rsid w:val="0024328D"/>
    <w:rsid w:val="00243BBC"/>
    <w:rsid w:val="00247FBC"/>
    <w:rsid w:val="00251926"/>
    <w:rsid w:val="00253267"/>
    <w:rsid w:val="002661AF"/>
    <w:rsid w:val="00271EA5"/>
    <w:rsid w:val="002720B6"/>
    <w:rsid w:val="00273713"/>
    <w:rsid w:val="00273BDF"/>
    <w:rsid w:val="0028047D"/>
    <w:rsid w:val="002875FD"/>
    <w:rsid w:val="002B13F5"/>
    <w:rsid w:val="002B74C0"/>
    <w:rsid w:val="002C3934"/>
    <w:rsid w:val="002D0D7F"/>
    <w:rsid w:val="002D208A"/>
    <w:rsid w:val="002E71F0"/>
    <w:rsid w:val="002F6AF4"/>
    <w:rsid w:val="002F6FC7"/>
    <w:rsid w:val="002F7D43"/>
    <w:rsid w:val="00301800"/>
    <w:rsid w:val="003055B7"/>
    <w:rsid w:val="00306855"/>
    <w:rsid w:val="00310BCB"/>
    <w:rsid w:val="00312E4F"/>
    <w:rsid w:val="00314C37"/>
    <w:rsid w:val="00315489"/>
    <w:rsid w:val="00316FD1"/>
    <w:rsid w:val="00321AAA"/>
    <w:rsid w:val="00322119"/>
    <w:rsid w:val="00322B09"/>
    <w:rsid w:val="00323787"/>
    <w:rsid w:val="00324203"/>
    <w:rsid w:val="0032516A"/>
    <w:rsid w:val="00335802"/>
    <w:rsid w:val="00336EC2"/>
    <w:rsid w:val="00341669"/>
    <w:rsid w:val="00351AFE"/>
    <w:rsid w:val="00354FE4"/>
    <w:rsid w:val="00356CFE"/>
    <w:rsid w:val="003573BE"/>
    <w:rsid w:val="00361D34"/>
    <w:rsid w:val="00363E38"/>
    <w:rsid w:val="003670D9"/>
    <w:rsid w:val="0037761E"/>
    <w:rsid w:val="003778F5"/>
    <w:rsid w:val="003943EC"/>
    <w:rsid w:val="003974D0"/>
    <w:rsid w:val="003A219E"/>
    <w:rsid w:val="003A6F26"/>
    <w:rsid w:val="003B30DB"/>
    <w:rsid w:val="003B3A4F"/>
    <w:rsid w:val="003B3F68"/>
    <w:rsid w:val="003B5322"/>
    <w:rsid w:val="003B5385"/>
    <w:rsid w:val="003B579A"/>
    <w:rsid w:val="003C09A6"/>
    <w:rsid w:val="003D18B1"/>
    <w:rsid w:val="003D6627"/>
    <w:rsid w:val="003E34F7"/>
    <w:rsid w:val="003F2F8D"/>
    <w:rsid w:val="0041437B"/>
    <w:rsid w:val="00420F94"/>
    <w:rsid w:val="00426131"/>
    <w:rsid w:val="00426B42"/>
    <w:rsid w:val="004350F5"/>
    <w:rsid w:val="0044340A"/>
    <w:rsid w:val="004462BF"/>
    <w:rsid w:val="0045139F"/>
    <w:rsid w:val="004540EF"/>
    <w:rsid w:val="00465B97"/>
    <w:rsid w:val="00472BD3"/>
    <w:rsid w:val="004843F6"/>
    <w:rsid w:val="004866B5"/>
    <w:rsid w:val="00494ED2"/>
    <w:rsid w:val="00494EFA"/>
    <w:rsid w:val="004A14CE"/>
    <w:rsid w:val="004B1D06"/>
    <w:rsid w:val="004B5846"/>
    <w:rsid w:val="004C3B38"/>
    <w:rsid w:val="004D0C20"/>
    <w:rsid w:val="004D45A8"/>
    <w:rsid w:val="004D7359"/>
    <w:rsid w:val="004F0EC1"/>
    <w:rsid w:val="004F2257"/>
    <w:rsid w:val="00513BEC"/>
    <w:rsid w:val="00525A06"/>
    <w:rsid w:val="00526883"/>
    <w:rsid w:val="005307E6"/>
    <w:rsid w:val="005339DB"/>
    <w:rsid w:val="00533CD1"/>
    <w:rsid w:val="0054145B"/>
    <w:rsid w:val="00541662"/>
    <w:rsid w:val="00541BAC"/>
    <w:rsid w:val="0055171A"/>
    <w:rsid w:val="00551F55"/>
    <w:rsid w:val="00555668"/>
    <w:rsid w:val="00563082"/>
    <w:rsid w:val="00566D97"/>
    <w:rsid w:val="005710CD"/>
    <w:rsid w:val="00571E2C"/>
    <w:rsid w:val="0057349E"/>
    <w:rsid w:val="00583024"/>
    <w:rsid w:val="005847C9"/>
    <w:rsid w:val="005949A9"/>
    <w:rsid w:val="005A3022"/>
    <w:rsid w:val="005B028C"/>
    <w:rsid w:val="005B1CE9"/>
    <w:rsid w:val="005C0EDE"/>
    <w:rsid w:val="005D38FD"/>
    <w:rsid w:val="005E16F0"/>
    <w:rsid w:val="005E47B8"/>
    <w:rsid w:val="005F09F7"/>
    <w:rsid w:val="005F2D09"/>
    <w:rsid w:val="005F46FF"/>
    <w:rsid w:val="005F7237"/>
    <w:rsid w:val="00604B08"/>
    <w:rsid w:val="00604B82"/>
    <w:rsid w:val="006057BE"/>
    <w:rsid w:val="00607059"/>
    <w:rsid w:val="00607295"/>
    <w:rsid w:val="00615A1C"/>
    <w:rsid w:val="006220A3"/>
    <w:rsid w:val="00622920"/>
    <w:rsid w:val="00622CF5"/>
    <w:rsid w:val="00623243"/>
    <w:rsid w:val="00626193"/>
    <w:rsid w:val="00626EE5"/>
    <w:rsid w:val="00630DFB"/>
    <w:rsid w:val="00631BB2"/>
    <w:rsid w:val="00632149"/>
    <w:rsid w:val="00635699"/>
    <w:rsid w:val="006403EA"/>
    <w:rsid w:val="00644B23"/>
    <w:rsid w:val="00644CAB"/>
    <w:rsid w:val="00652A5E"/>
    <w:rsid w:val="00653009"/>
    <w:rsid w:val="00660788"/>
    <w:rsid w:val="00661BF0"/>
    <w:rsid w:val="0066302F"/>
    <w:rsid w:val="0068552B"/>
    <w:rsid w:val="00686553"/>
    <w:rsid w:val="0069284F"/>
    <w:rsid w:val="00693A88"/>
    <w:rsid w:val="006A1072"/>
    <w:rsid w:val="006B548D"/>
    <w:rsid w:val="006C4952"/>
    <w:rsid w:val="006C6589"/>
    <w:rsid w:val="006D27B5"/>
    <w:rsid w:val="006D6541"/>
    <w:rsid w:val="006E0A96"/>
    <w:rsid w:val="006F5DE6"/>
    <w:rsid w:val="006F61B7"/>
    <w:rsid w:val="00702325"/>
    <w:rsid w:val="00712932"/>
    <w:rsid w:val="00715893"/>
    <w:rsid w:val="00715987"/>
    <w:rsid w:val="00731E10"/>
    <w:rsid w:val="0073601D"/>
    <w:rsid w:val="007423F9"/>
    <w:rsid w:val="00747939"/>
    <w:rsid w:val="00761347"/>
    <w:rsid w:val="007654F6"/>
    <w:rsid w:val="0077060B"/>
    <w:rsid w:val="0077206E"/>
    <w:rsid w:val="007908EF"/>
    <w:rsid w:val="00794775"/>
    <w:rsid w:val="007A01AA"/>
    <w:rsid w:val="007A0D74"/>
    <w:rsid w:val="007A2DE1"/>
    <w:rsid w:val="007B07B9"/>
    <w:rsid w:val="007B287D"/>
    <w:rsid w:val="007B450D"/>
    <w:rsid w:val="007B7A09"/>
    <w:rsid w:val="007D04AC"/>
    <w:rsid w:val="007D070A"/>
    <w:rsid w:val="007D6F5C"/>
    <w:rsid w:val="007E254B"/>
    <w:rsid w:val="007E42EE"/>
    <w:rsid w:val="007E638C"/>
    <w:rsid w:val="007F0D8F"/>
    <w:rsid w:val="00802E66"/>
    <w:rsid w:val="00812890"/>
    <w:rsid w:val="00814C01"/>
    <w:rsid w:val="00833C34"/>
    <w:rsid w:val="00840AE0"/>
    <w:rsid w:val="00840E1E"/>
    <w:rsid w:val="008477EB"/>
    <w:rsid w:val="0085012D"/>
    <w:rsid w:val="0085248A"/>
    <w:rsid w:val="00854BED"/>
    <w:rsid w:val="00855885"/>
    <w:rsid w:val="00856CAB"/>
    <w:rsid w:val="008571DB"/>
    <w:rsid w:val="00866A69"/>
    <w:rsid w:val="0088013C"/>
    <w:rsid w:val="00886144"/>
    <w:rsid w:val="008932DA"/>
    <w:rsid w:val="008A151E"/>
    <w:rsid w:val="008A6C57"/>
    <w:rsid w:val="008B3496"/>
    <w:rsid w:val="008B3F3E"/>
    <w:rsid w:val="008B537E"/>
    <w:rsid w:val="008C2381"/>
    <w:rsid w:val="008D09B0"/>
    <w:rsid w:val="008D2FDB"/>
    <w:rsid w:val="008D46DD"/>
    <w:rsid w:val="008D58AC"/>
    <w:rsid w:val="008E3351"/>
    <w:rsid w:val="008F033B"/>
    <w:rsid w:val="008F2C0B"/>
    <w:rsid w:val="008F3A2C"/>
    <w:rsid w:val="008F5887"/>
    <w:rsid w:val="009022C1"/>
    <w:rsid w:val="00912721"/>
    <w:rsid w:val="00920A24"/>
    <w:rsid w:val="00925860"/>
    <w:rsid w:val="0093361B"/>
    <w:rsid w:val="009402A1"/>
    <w:rsid w:val="00943FFB"/>
    <w:rsid w:val="00944990"/>
    <w:rsid w:val="009450A0"/>
    <w:rsid w:val="00960E63"/>
    <w:rsid w:val="0097162F"/>
    <w:rsid w:val="009762DF"/>
    <w:rsid w:val="0097632F"/>
    <w:rsid w:val="0098421B"/>
    <w:rsid w:val="00994307"/>
    <w:rsid w:val="009A3706"/>
    <w:rsid w:val="009A41D6"/>
    <w:rsid w:val="009B48B2"/>
    <w:rsid w:val="009B5F72"/>
    <w:rsid w:val="009D11EA"/>
    <w:rsid w:val="009D470D"/>
    <w:rsid w:val="009E7173"/>
    <w:rsid w:val="00A009A9"/>
    <w:rsid w:val="00A013AF"/>
    <w:rsid w:val="00A01CB4"/>
    <w:rsid w:val="00A03836"/>
    <w:rsid w:val="00A03FBF"/>
    <w:rsid w:val="00A05362"/>
    <w:rsid w:val="00A0691E"/>
    <w:rsid w:val="00A070A3"/>
    <w:rsid w:val="00A30B40"/>
    <w:rsid w:val="00A310C7"/>
    <w:rsid w:val="00A32223"/>
    <w:rsid w:val="00A33E66"/>
    <w:rsid w:val="00A347BF"/>
    <w:rsid w:val="00A577F1"/>
    <w:rsid w:val="00A63185"/>
    <w:rsid w:val="00A649B0"/>
    <w:rsid w:val="00A6621E"/>
    <w:rsid w:val="00A70CA2"/>
    <w:rsid w:val="00A742F1"/>
    <w:rsid w:val="00A8185E"/>
    <w:rsid w:val="00A92272"/>
    <w:rsid w:val="00A97B8F"/>
    <w:rsid w:val="00AA6DFC"/>
    <w:rsid w:val="00AB24F0"/>
    <w:rsid w:val="00AB55EC"/>
    <w:rsid w:val="00AB5672"/>
    <w:rsid w:val="00AC3304"/>
    <w:rsid w:val="00AD17EF"/>
    <w:rsid w:val="00AD2710"/>
    <w:rsid w:val="00AE5EA9"/>
    <w:rsid w:val="00AF0947"/>
    <w:rsid w:val="00AF5945"/>
    <w:rsid w:val="00B018D3"/>
    <w:rsid w:val="00B01B99"/>
    <w:rsid w:val="00B020D2"/>
    <w:rsid w:val="00B07094"/>
    <w:rsid w:val="00B12627"/>
    <w:rsid w:val="00B179AC"/>
    <w:rsid w:val="00B20F38"/>
    <w:rsid w:val="00B37181"/>
    <w:rsid w:val="00B46393"/>
    <w:rsid w:val="00B52D6B"/>
    <w:rsid w:val="00B5551F"/>
    <w:rsid w:val="00B5653A"/>
    <w:rsid w:val="00B649DD"/>
    <w:rsid w:val="00B70F1B"/>
    <w:rsid w:val="00B7191F"/>
    <w:rsid w:val="00B826FA"/>
    <w:rsid w:val="00B95357"/>
    <w:rsid w:val="00B96C76"/>
    <w:rsid w:val="00BB3845"/>
    <w:rsid w:val="00BB3C6F"/>
    <w:rsid w:val="00BB6B57"/>
    <w:rsid w:val="00BE2861"/>
    <w:rsid w:val="00BE5A32"/>
    <w:rsid w:val="00BF088A"/>
    <w:rsid w:val="00BF26EF"/>
    <w:rsid w:val="00BF2F2C"/>
    <w:rsid w:val="00BF5A61"/>
    <w:rsid w:val="00C0148C"/>
    <w:rsid w:val="00C04D8E"/>
    <w:rsid w:val="00C166C3"/>
    <w:rsid w:val="00C23F1C"/>
    <w:rsid w:val="00C25BB0"/>
    <w:rsid w:val="00C3777D"/>
    <w:rsid w:val="00C47B92"/>
    <w:rsid w:val="00C50198"/>
    <w:rsid w:val="00C5148B"/>
    <w:rsid w:val="00C57321"/>
    <w:rsid w:val="00C65A83"/>
    <w:rsid w:val="00C6614B"/>
    <w:rsid w:val="00C71892"/>
    <w:rsid w:val="00C74E9A"/>
    <w:rsid w:val="00C76771"/>
    <w:rsid w:val="00C86505"/>
    <w:rsid w:val="00C8681E"/>
    <w:rsid w:val="00C95494"/>
    <w:rsid w:val="00CA30E7"/>
    <w:rsid w:val="00CA4AC3"/>
    <w:rsid w:val="00CB4027"/>
    <w:rsid w:val="00CB5781"/>
    <w:rsid w:val="00CC0ABE"/>
    <w:rsid w:val="00CC1A4C"/>
    <w:rsid w:val="00CC6B0E"/>
    <w:rsid w:val="00CC78B7"/>
    <w:rsid w:val="00CD2F71"/>
    <w:rsid w:val="00CD3527"/>
    <w:rsid w:val="00CE1D87"/>
    <w:rsid w:val="00CE2DB1"/>
    <w:rsid w:val="00CF7154"/>
    <w:rsid w:val="00D0043E"/>
    <w:rsid w:val="00D056A7"/>
    <w:rsid w:val="00D06CDC"/>
    <w:rsid w:val="00D1122A"/>
    <w:rsid w:val="00D178B0"/>
    <w:rsid w:val="00D2064C"/>
    <w:rsid w:val="00D24E4D"/>
    <w:rsid w:val="00D30381"/>
    <w:rsid w:val="00D3153F"/>
    <w:rsid w:val="00D327E7"/>
    <w:rsid w:val="00D37F8D"/>
    <w:rsid w:val="00D46576"/>
    <w:rsid w:val="00D47E88"/>
    <w:rsid w:val="00D52A29"/>
    <w:rsid w:val="00D5646A"/>
    <w:rsid w:val="00D575DF"/>
    <w:rsid w:val="00D61220"/>
    <w:rsid w:val="00D63767"/>
    <w:rsid w:val="00D64F36"/>
    <w:rsid w:val="00D70F1A"/>
    <w:rsid w:val="00D85AB8"/>
    <w:rsid w:val="00D86E43"/>
    <w:rsid w:val="00D9331D"/>
    <w:rsid w:val="00D937F9"/>
    <w:rsid w:val="00DA5924"/>
    <w:rsid w:val="00DA6127"/>
    <w:rsid w:val="00DA68EC"/>
    <w:rsid w:val="00DC2E2B"/>
    <w:rsid w:val="00DC4297"/>
    <w:rsid w:val="00DD1726"/>
    <w:rsid w:val="00DD7C23"/>
    <w:rsid w:val="00DE000A"/>
    <w:rsid w:val="00DE592D"/>
    <w:rsid w:val="00DE6CE5"/>
    <w:rsid w:val="00DF12D4"/>
    <w:rsid w:val="00DF16A7"/>
    <w:rsid w:val="00E002F0"/>
    <w:rsid w:val="00E02E21"/>
    <w:rsid w:val="00E127AD"/>
    <w:rsid w:val="00E27952"/>
    <w:rsid w:val="00E34558"/>
    <w:rsid w:val="00E4273C"/>
    <w:rsid w:val="00E440E9"/>
    <w:rsid w:val="00E4555D"/>
    <w:rsid w:val="00E458B9"/>
    <w:rsid w:val="00E56A7A"/>
    <w:rsid w:val="00E75D3F"/>
    <w:rsid w:val="00E76AC3"/>
    <w:rsid w:val="00E80417"/>
    <w:rsid w:val="00E82C95"/>
    <w:rsid w:val="00E9571B"/>
    <w:rsid w:val="00E96612"/>
    <w:rsid w:val="00EA2FD0"/>
    <w:rsid w:val="00EA7473"/>
    <w:rsid w:val="00EB1B7D"/>
    <w:rsid w:val="00EC7DBB"/>
    <w:rsid w:val="00EE0CF7"/>
    <w:rsid w:val="00EF021C"/>
    <w:rsid w:val="00F02546"/>
    <w:rsid w:val="00F14481"/>
    <w:rsid w:val="00F15401"/>
    <w:rsid w:val="00F15E7C"/>
    <w:rsid w:val="00F20B92"/>
    <w:rsid w:val="00F21474"/>
    <w:rsid w:val="00F23C3E"/>
    <w:rsid w:val="00F24A1D"/>
    <w:rsid w:val="00F25C5F"/>
    <w:rsid w:val="00F32EC6"/>
    <w:rsid w:val="00F34A23"/>
    <w:rsid w:val="00F35FB5"/>
    <w:rsid w:val="00F552E9"/>
    <w:rsid w:val="00F5763E"/>
    <w:rsid w:val="00F60BF2"/>
    <w:rsid w:val="00F62A59"/>
    <w:rsid w:val="00F6450E"/>
    <w:rsid w:val="00F6525B"/>
    <w:rsid w:val="00F66BBB"/>
    <w:rsid w:val="00F71A24"/>
    <w:rsid w:val="00F73C05"/>
    <w:rsid w:val="00F8094A"/>
    <w:rsid w:val="00F81F31"/>
    <w:rsid w:val="00F92F84"/>
    <w:rsid w:val="00F942A8"/>
    <w:rsid w:val="00F972C7"/>
    <w:rsid w:val="00FA4BA5"/>
    <w:rsid w:val="00FA7E77"/>
    <w:rsid w:val="00FB2873"/>
    <w:rsid w:val="00FB5CFE"/>
    <w:rsid w:val="00FC20C1"/>
    <w:rsid w:val="00FC5831"/>
    <w:rsid w:val="00FD4A3C"/>
    <w:rsid w:val="00FE5B70"/>
    <w:rsid w:val="00FE72D5"/>
    <w:rsid w:val="00FF1B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14B"/>
    <w:pPr>
      <w:spacing w:after="120" w:line="240" w:lineRule="auto"/>
    </w:pPr>
    <w:rPr>
      <w:rFonts w:ascii="Calibri" w:eastAsia="Calibri" w:hAnsi="Calibri" w:cs="Calibri"/>
      <w:kern w:val="40"/>
    </w:rPr>
  </w:style>
  <w:style w:type="paragraph" w:styleId="Heading1">
    <w:name w:val="heading 1"/>
    <w:aliases w:val="Document Title"/>
    <w:basedOn w:val="Normal"/>
    <w:next w:val="Normal"/>
    <w:link w:val="Heading1Char"/>
    <w:uiPriority w:val="9"/>
    <w:qFormat/>
    <w:rsid w:val="00C6614B"/>
    <w:pPr>
      <w:keepNext/>
      <w:spacing w:after="0"/>
      <w:outlineLvl w:val="0"/>
    </w:pPr>
    <w:rPr>
      <w:rFonts w:eastAsia="SimSun" w:cs="Angsana New"/>
      <w:b/>
      <w:bCs/>
      <w:color w:val="404040"/>
      <w:kern w:val="32"/>
      <w:sz w:val="52"/>
      <w:szCs w:val="52"/>
    </w:rPr>
  </w:style>
  <w:style w:type="paragraph" w:styleId="Heading2">
    <w:name w:val="heading 2"/>
    <w:aliases w:val="Content Heading 1 Section name"/>
    <w:basedOn w:val="Normal"/>
    <w:next w:val="Normal"/>
    <w:link w:val="Heading2Char"/>
    <w:uiPriority w:val="9"/>
    <w:unhideWhenUsed/>
    <w:qFormat/>
    <w:rsid w:val="00C6614B"/>
    <w:pPr>
      <w:keepNext/>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C6614B"/>
    <w:pPr>
      <w:keepNext/>
      <w:spacing w:before="240" w:after="60"/>
      <w:outlineLvl w:val="2"/>
    </w:pPr>
    <w:rPr>
      <w:rFonts w:eastAsia="SimSun" w:cs="Angsana New"/>
      <w:b/>
      <w:bCs/>
      <w:color w:val="404040"/>
      <w:sz w:val="32"/>
      <w:szCs w:val="32"/>
    </w:rPr>
  </w:style>
  <w:style w:type="paragraph" w:styleId="Heading4">
    <w:name w:val="heading 4"/>
    <w:aliases w:val="Content Heading 3 Sub-heading"/>
    <w:basedOn w:val="Heading3"/>
    <w:next w:val="Normal"/>
    <w:link w:val="Heading4Char"/>
    <w:uiPriority w:val="9"/>
    <w:unhideWhenUsed/>
    <w:qFormat/>
    <w:rsid w:val="00C6614B"/>
    <w:pPr>
      <w:numPr>
        <w:ilvl w:val="2"/>
      </w:numPr>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C6614B"/>
    <w:pPr>
      <w:keepNext/>
      <w:keepLines/>
      <w:spacing w:before="200" w:after="0"/>
      <w:outlineLvl w:val="4"/>
    </w:pPr>
    <w:rPr>
      <w:rFonts w:asciiTheme="minorHAnsi" w:eastAsiaTheme="majorEastAsia" w:hAnsiTheme="minorHAnsi" w:cstheme="majorBidi"/>
      <w:color w:val="243F60" w:themeColor="accent1" w:themeShade="7F"/>
    </w:rPr>
  </w:style>
  <w:style w:type="paragraph" w:styleId="Heading6">
    <w:name w:val="heading 6"/>
    <w:basedOn w:val="Normal"/>
    <w:next w:val="Normal"/>
    <w:link w:val="Heading6Char"/>
    <w:uiPriority w:val="9"/>
    <w:semiHidden/>
    <w:unhideWhenUsed/>
    <w:rsid w:val="00C6614B"/>
    <w:pPr>
      <w:keepNext/>
      <w:keepLines/>
      <w:numPr>
        <w:ilvl w:val="5"/>
        <w:numId w:val="30"/>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6614B"/>
    <w:pPr>
      <w:keepNext/>
      <w:keepLines/>
      <w:numPr>
        <w:ilvl w:val="6"/>
        <w:numId w:val="3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6614B"/>
    <w:pPr>
      <w:keepNext/>
      <w:keepLines/>
      <w:numPr>
        <w:ilvl w:val="7"/>
        <w:numId w:val="3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6614B"/>
    <w:pPr>
      <w:keepNext/>
      <w:keepLines/>
      <w:numPr>
        <w:ilvl w:val="8"/>
        <w:numId w:val="3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6614B"/>
    <w:pPr>
      <w:tabs>
        <w:tab w:val="center" w:pos="4513"/>
        <w:tab w:val="right" w:pos="9026"/>
      </w:tabs>
      <w:spacing w:after="0"/>
    </w:pPr>
    <w:rPr>
      <w:sz w:val="20"/>
      <w:szCs w:val="20"/>
    </w:rPr>
  </w:style>
  <w:style w:type="character" w:customStyle="1" w:styleId="HeaderChar">
    <w:name w:val="Header Char"/>
    <w:basedOn w:val="DefaultParagraphFont"/>
    <w:link w:val="Header"/>
    <w:uiPriority w:val="99"/>
    <w:rsid w:val="00C6614B"/>
    <w:rPr>
      <w:rFonts w:ascii="Calibri" w:eastAsia="Calibri" w:hAnsi="Calibri" w:cs="Calibri"/>
      <w:kern w:val="40"/>
      <w:sz w:val="20"/>
      <w:szCs w:val="20"/>
    </w:rPr>
  </w:style>
  <w:style w:type="paragraph" w:styleId="Footer">
    <w:name w:val="footer"/>
    <w:basedOn w:val="Normal"/>
    <w:link w:val="FooterChar"/>
    <w:uiPriority w:val="99"/>
    <w:unhideWhenUsed/>
    <w:qFormat/>
    <w:rsid w:val="00C6614B"/>
    <w:pPr>
      <w:tabs>
        <w:tab w:val="center" w:pos="5233"/>
        <w:tab w:val="right" w:pos="10467"/>
      </w:tabs>
      <w:spacing w:after="0"/>
    </w:pPr>
    <w:rPr>
      <w:sz w:val="18"/>
    </w:rPr>
  </w:style>
  <w:style w:type="character" w:customStyle="1" w:styleId="FooterChar">
    <w:name w:val="Footer Char"/>
    <w:basedOn w:val="DefaultParagraphFont"/>
    <w:link w:val="Footer"/>
    <w:uiPriority w:val="99"/>
    <w:rsid w:val="00C6614B"/>
    <w:rPr>
      <w:rFonts w:ascii="Calibri" w:eastAsia="Calibri" w:hAnsi="Calibri" w:cs="Calibri"/>
      <w:kern w:val="40"/>
      <w:sz w:val="18"/>
    </w:rPr>
  </w:style>
  <w:style w:type="character" w:customStyle="1" w:styleId="Heading1Char">
    <w:name w:val="Heading 1 Char"/>
    <w:aliases w:val="Document Title Char"/>
    <w:basedOn w:val="DefaultParagraphFont"/>
    <w:link w:val="Heading1"/>
    <w:uiPriority w:val="9"/>
    <w:rsid w:val="00C6614B"/>
    <w:rPr>
      <w:rFonts w:ascii="Calibri" w:eastAsia="SimSun" w:hAnsi="Calibri" w:cs="Angsana New"/>
      <w:b/>
      <w:bCs/>
      <w:color w:val="404040"/>
      <w:kern w:val="32"/>
      <w:sz w:val="52"/>
      <w:szCs w:val="52"/>
    </w:rPr>
  </w:style>
  <w:style w:type="character" w:customStyle="1" w:styleId="Heading2Char">
    <w:name w:val="Heading 2 Char"/>
    <w:aliases w:val="Content Heading 1 Section name Char"/>
    <w:basedOn w:val="DefaultParagraphFont"/>
    <w:link w:val="Heading2"/>
    <w:uiPriority w:val="9"/>
    <w:rsid w:val="00C6614B"/>
    <w:rPr>
      <w:rFonts w:ascii="Calibri" w:eastAsia="SimSun" w:hAnsi="Calibri" w:cs="Angsana New"/>
      <w:b/>
      <w:bCs/>
      <w:iCs/>
      <w:color w:val="463A70"/>
      <w:kern w:val="40"/>
      <w:sz w:val="40"/>
      <w:szCs w:val="48"/>
    </w:rPr>
  </w:style>
  <w:style w:type="character" w:customStyle="1" w:styleId="Heading3Char">
    <w:name w:val="Heading 3 Char"/>
    <w:aliases w:val="Content Heading 2 Char"/>
    <w:basedOn w:val="DefaultParagraphFont"/>
    <w:link w:val="Heading3"/>
    <w:uiPriority w:val="9"/>
    <w:rsid w:val="00C6614B"/>
    <w:rPr>
      <w:rFonts w:ascii="Calibri" w:eastAsia="SimSun" w:hAnsi="Calibri" w:cs="Angsana New"/>
      <w:b/>
      <w:bCs/>
      <w:color w:val="404040"/>
      <w:kern w:val="40"/>
      <w:sz w:val="32"/>
      <w:szCs w:val="32"/>
    </w:rPr>
  </w:style>
  <w:style w:type="character" w:customStyle="1" w:styleId="Heading4Char">
    <w:name w:val="Heading 4 Char"/>
    <w:aliases w:val="Content Heading 3 Sub-heading Char"/>
    <w:basedOn w:val="DefaultParagraphFont"/>
    <w:link w:val="Heading4"/>
    <w:uiPriority w:val="9"/>
    <w:rsid w:val="00C6614B"/>
    <w:rPr>
      <w:rFonts w:ascii="Calibri" w:eastAsia="SimSun" w:hAnsi="Calibri" w:cs="Angsana New"/>
      <w:b/>
      <w:bCs/>
      <w:color w:val="595959" w:themeColor="text1" w:themeTint="A6"/>
      <w:kern w:val="40"/>
      <w:sz w:val="26"/>
      <w:szCs w:val="26"/>
    </w:rPr>
  </w:style>
  <w:style w:type="paragraph" w:styleId="Subtitle">
    <w:name w:val="Subtitle"/>
    <w:basedOn w:val="Title"/>
    <w:next w:val="Normal"/>
    <w:link w:val="SubtitleChar"/>
    <w:uiPriority w:val="11"/>
    <w:rsid w:val="00C6614B"/>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C6614B"/>
    <w:rPr>
      <w:rFonts w:ascii="Calibri" w:eastAsia="SimSun" w:hAnsi="Calibri" w:cs="Angsana New"/>
      <w:b/>
      <w:bCs/>
      <w:noProof/>
      <w:kern w:val="28"/>
      <w:sz w:val="28"/>
      <w:szCs w:val="28"/>
    </w:rPr>
  </w:style>
  <w:style w:type="paragraph" w:customStyle="1" w:styleId="Listbullet1">
    <w:name w:val="List bullet 1"/>
    <w:basedOn w:val="Normal"/>
    <w:qFormat/>
    <w:rsid w:val="00C6614B"/>
    <w:pPr>
      <w:numPr>
        <w:numId w:val="34"/>
      </w:numPr>
    </w:pPr>
  </w:style>
  <w:style w:type="paragraph" w:styleId="ListBullet2">
    <w:name w:val="List Bullet 2"/>
    <w:basedOn w:val="ListBullet"/>
    <w:autoRedefine/>
    <w:uiPriority w:val="99"/>
    <w:unhideWhenUsed/>
    <w:qFormat/>
    <w:rsid w:val="00226583"/>
    <w:pPr>
      <w:numPr>
        <w:ilvl w:val="1"/>
        <w:numId w:val="34"/>
      </w:numPr>
      <w:contextualSpacing w:val="0"/>
    </w:pPr>
  </w:style>
  <w:style w:type="paragraph" w:styleId="ListBullet">
    <w:name w:val="List Bullet"/>
    <w:aliases w:val="List Bullet 1"/>
    <w:basedOn w:val="Normal"/>
    <w:uiPriority w:val="99"/>
    <w:unhideWhenUsed/>
    <w:rsid w:val="00C6614B"/>
    <w:pPr>
      <w:contextualSpacing/>
    </w:pPr>
  </w:style>
  <w:style w:type="paragraph" w:styleId="Title">
    <w:name w:val="Title"/>
    <w:basedOn w:val="Normal"/>
    <w:next w:val="Normal"/>
    <w:link w:val="TitleChar"/>
    <w:uiPriority w:val="10"/>
    <w:rsid w:val="00C6614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6614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C6614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614B"/>
    <w:rPr>
      <w:rFonts w:ascii="Tahoma" w:eastAsia="Calibri" w:hAnsi="Tahoma" w:cs="Tahoma"/>
      <w:kern w:val="40"/>
      <w:sz w:val="16"/>
      <w:szCs w:val="16"/>
    </w:rPr>
  </w:style>
  <w:style w:type="paragraph" w:customStyle="1" w:styleId="BasicParagraph">
    <w:name w:val="[Basic Paragraph]"/>
    <w:basedOn w:val="Normal"/>
    <w:uiPriority w:val="99"/>
    <w:rsid w:val="00C6614B"/>
    <w:pPr>
      <w:autoSpaceDE w:val="0"/>
      <w:autoSpaceDN w:val="0"/>
      <w:adjustRightInd w:val="0"/>
      <w:spacing w:after="0" w:line="288" w:lineRule="auto"/>
      <w:textAlignment w:val="center"/>
    </w:pPr>
    <w:rPr>
      <w:rFonts w:ascii="Times New Roman" w:eastAsiaTheme="minorHAnsi" w:hAnsi="Times New Roman" w:cs="Times New Roman"/>
      <w:color w:val="000000"/>
      <w:kern w:val="0"/>
      <w:sz w:val="24"/>
      <w:szCs w:val="24"/>
      <w:lang w:val="en-GB"/>
    </w:rPr>
  </w:style>
  <w:style w:type="table" w:styleId="TableGrid">
    <w:name w:val="Table Grid"/>
    <w:basedOn w:val="TableNormal"/>
    <w:uiPriority w:val="59"/>
    <w:rsid w:val="00C66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C6614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6614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C6614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4">
    <w:name w:val="Light Shading Accent 4"/>
    <w:basedOn w:val="TableNormal"/>
    <w:uiPriority w:val="60"/>
    <w:rsid w:val="00C6614B"/>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numbering" w:customStyle="1" w:styleId="Style1">
    <w:name w:val="Style1"/>
    <w:uiPriority w:val="99"/>
    <w:rsid w:val="00C6614B"/>
    <w:pPr>
      <w:numPr>
        <w:numId w:val="1"/>
      </w:numPr>
    </w:pPr>
  </w:style>
  <w:style w:type="paragraph" w:styleId="ListBullet3">
    <w:name w:val="List Bullet 3"/>
    <w:basedOn w:val="Normal"/>
    <w:uiPriority w:val="99"/>
    <w:unhideWhenUsed/>
    <w:qFormat/>
    <w:rsid w:val="00226583"/>
    <w:pPr>
      <w:numPr>
        <w:ilvl w:val="2"/>
        <w:numId w:val="34"/>
      </w:numPr>
    </w:pPr>
  </w:style>
  <w:style w:type="paragraph" w:styleId="ListBullet4">
    <w:name w:val="List Bullet 4"/>
    <w:basedOn w:val="Normal"/>
    <w:uiPriority w:val="99"/>
    <w:unhideWhenUsed/>
    <w:qFormat/>
    <w:rsid w:val="00C6614B"/>
    <w:pPr>
      <w:numPr>
        <w:numId w:val="33"/>
      </w:numPr>
    </w:pPr>
  </w:style>
  <w:style w:type="character" w:customStyle="1" w:styleId="Heading5Char">
    <w:name w:val="Heading 5 Char"/>
    <w:aliases w:val="Content heading 4 Minor heading Char"/>
    <w:basedOn w:val="DefaultParagraphFont"/>
    <w:link w:val="Heading5"/>
    <w:uiPriority w:val="9"/>
    <w:rsid w:val="00C6614B"/>
    <w:rPr>
      <w:rFonts w:eastAsiaTheme="majorEastAsia" w:cstheme="majorBidi"/>
      <w:color w:val="243F60" w:themeColor="accent1" w:themeShade="7F"/>
      <w:kern w:val="40"/>
    </w:rPr>
  </w:style>
  <w:style w:type="character" w:customStyle="1" w:styleId="Heading6Char">
    <w:name w:val="Heading 6 Char"/>
    <w:basedOn w:val="DefaultParagraphFont"/>
    <w:link w:val="Heading6"/>
    <w:uiPriority w:val="9"/>
    <w:semiHidden/>
    <w:rsid w:val="00C6614B"/>
    <w:rPr>
      <w:rFonts w:asciiTheme="majorHAnsi" w:eastAsiaTheme="majorEastAsia" w:hAnsiTheme="majorHAnsi" w:cstheme="majorBidi"/>
      <w:i/>
      <w:iCs/>
      <w:color w:val="243F60" w:themeColor="accent1" w:themeShade="7F"/>
      <w:kern w:val="40"/>
    </w:rPr>
  </w:style>
  <w:style w:type="character" w:customStyle="1" w:styleId="Heading7Char">
    <w:name w:val="Heading 7 Char"/>
    <w:basedOn w:val="DefaultParagraphFont"/>
    <w:link w:val="Heading7"/>
    <w:uiPriority w:val="9"/>
    <w:semiHidden/>
    <w:rsid w:val="00C6614B"/>
    <w:rPr>
      <w:rFonts w:asciiTheme="majorHAnsi" w:eastAsiaTheme="majorEastAsia" w:hAnsiTheme="majorHAnsi" w:cstheme="majorBidi"/>
      <w:i/>
      <w:iCs/>
      <w:color w:val="404040" w:themeColor="text1" w:themeTint="BF"/>
      <w:kern w:val="40"/>
    </w:rPr>
  </w:style>
  <w:style w:type="character" w:customStyle="1" w:styleId="Heading8Char">
    <w:name w:val="Heading 8 Char"/>
    <w:basedOn w:val="DefaultParagraphFont"/>
    <w:link w:val="Heading8"/>
    <w:uiPriority w:val="9"/>
    <w:semiHidden/>
    <w:rsid w:val="00C6614B"/>
    <w:rPr>
      <w:rFonts w:asciiTheme="majorHAnsi" w:eastAsiaTheme="majorEastAsia" w:hAnsiTheme="majorHAnsi" w:cstheme="majorBidi"/>
      <w:color w:val="404040" w:themeColor="text1" w:themeTint="BF"/>
      <w:kern w:val="40"/>
      <w:sz w:val="20"/>
      <w:szCs w:val="20"/>
    </w:rPr>
  </w:style>
  <w:style w:type="character" w:customStyle="1" w:styleId="Heading9Char">
    <w:name w:val="Heading 9 Char"/>
    <w:basedOn w:val="DefaultParagraphFont"/>
    <w:link w:val="Heading9"/>
    <w:uiPriority w:val="9"/>
    <w:semiHidden/>
    <w:rsid w:val="00C6614B"/>
    <w:rPr>
      <w:rFonts w:asciiTheme="majorHAnsi" w:eastAsiaTheme="majorEastAsia" w:hAnsiTheme="majorHAnsi" w:cstheme="majorBidi"/>
      <w:i/>
      <w:iCs/>
      <w:color w:val="404040" w:themeColor="text1" w:themeTint="BF"/>
      <w:kern w:val="40"/>
      <w:sz w:val="20"/>
      <w:szCs w:val="20"/>
    </w:rPr>
  </w:style>
  <w:style w:type="paragraph" w:styleId="Quote">
    <w:name w:val="Quote"/>
    <w:basedOn w:val="Listbullet1"/>
    <w:next w:val="Normal"/>
    <w:link w:val="QuoteChar"/>
    <w:uiPriority w:val="29"/>
    <w:rsid w:val="00C6614B"/>
    <w:pPr>
      <w:numPr>
        <w:numId w:val="0"/>
      </w:numPr>
      <w:ind w:left="864"/>
    </w:pPr>
    <w:rPr>
      <w:i/>
    </w:rPr>
  </w:style>
  <w:style w:type="character" w:customStyle="1" w:styleId="QuoteChar">
    <w:name w:val="Quote Char"/>
    <w:basedOn w:val="DefaultParagraphFont"/>
    <w:link w:val="Quote"/>
    <w:uiPriority w:val="29"/>
    <w:rsid w:val="00C6614B"/>
    <w:rPr>
      <w:rFonts w:ascii="Calibri" w:eastAsia="Calibri" w:hAnsi="Calibri" w:cs="Calibri"/>
      <w:i/>
      <w:kern w:val="40"/>
    </w:rPr>
  </w:style>
  <w:style w:type="paragraph" w:styleId="IntenseQuote">
    <w:name w:val="Intense Quote"/>
    <w:basedOn w:val="Normal"/>
    <w:next w:val="Normal"/>
    <w:link w:val="IntenseQuoteChar"/>
    <w:uiPriority w:val="30"/>
    <w:rsid w:val="00C6614B"/>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C6614B"/>
    <w:rPr>
      <w:rFonts w:ascii="Calibri" w:eastAsia="Calibri" w:hAnsi="Calibri" w:cs="Calibri"/>
      <w:b/>
      <w:bCs/>
      <w:i/>
      <w:iCs/>
      <w:color w:val="463A70"/>
      <w:kern w:val="40"/>
    </w:rPr>
  </w:style>
  <w:style w:type="paragraph" w:styleId="Caption">
    <w:name w:val="caption"/>
    <w:basedOn w:val="Normal"/>
    <w:next w:val="Normal"/>
    <w:uiPriority w:val="35"/>
    <w:unhideWhenUsed/>
    <w:qFormat/>
    <w:rsid w:val="00C6614B"/>
    <w:pPr>
      <w:keepNext/>
      <w:spacing w:before="120" w:after="0"/>
    </w:pPr>
    <w:rPr>
      <w:b/>
      <w:bCs/>
      <w:color w:val="463A70"/>
      <w:sz w:val="18"/>
      <w:szCs w:val="18"/>
    </w:rPr>
  </w:style>
  <w:style w:type="character" w:styleId="Strong">
    <w:name w:val="Strong"/>
    <w:uiPriority w:val="22"/>
    <w:qFormat/>
    <w:rsid w:val="00C6614B"/>
    <w:rPr>
      <w:b/>
      <w:color w:val="000000" w:themeColor="text1"/>
    </w:rPr>
  </w:style>
  <w:style w:type="paragraph" w:customStyle="1" w:styleId="Tablebody">
    <w:name w:val="Table body"/>
    <w:basedOn w:val="Normal"/>
    <w:qFormat/>
    <w:rsid w:val="008477EB"/>
    <w:pPr>
      <w:spacing w:after="0"/>
    </w:pPr>
    <w:rPr>
      <w:bCs/>
      <w:color w:val="000000" w:themeColor="text1"/>
      <w:sz w:val="20"/>
    </w:rPr>
  </w:style>
  <w:style w:type="paragraph" w:customStyle="1" w:styleId="Tablebodybullet1">
    <w:name w:val="Table body bullet 1"/>
    <w:basedOn w:val="Tablebody"/>
    <w:qFormat/>
    <w:rsid w:val="00C6614B"/>
    <w:pPr>
      <w:numPr>
        <w:numId w:val="36"/>
      </w:numPr>
    </w:pPr>
    <w:rPr>
      <w:bCs w:val="0"/>
    </w:rPr>
  </w:style>
  <w:style w:type="paragraph" w:customStyle="1" w:styleId="Tablebodybullet2">
    <w:name w:val="Table body bullet 2"/>
    <w:basedOn w:val="Tablebodybullet1"/>
    <w:qFormat/>
    <w:rsid w:val="00C6614B"/>
    <w:pPr>
      <w:numPr>
        <w:numId w:val="38"/>
      </w:numPr>
    </w:pPr>
  </w:style>
  <w:style w:type="paragraph" w:customStyle="1" w:styleId="Tablebodybullet3">
    <w:name w:val="Table body bullet 3"/>
    <w:basedOn w:val="Tablebodybullet2"/>
    <w:qFormat/>
    <w:rsid w:val="00C6614B"/>
    <w:pPr>
      <w:numPr>
        <w:ilvl w:val="1"/>
      </w:numPr>
    </w:pPr>
  </w:style>
  <w:style w:type="paragraph" w:styleId="FootnoteText">
    <w:name w:val="footnote text"/>
    <w:basedOn w:val="Normal"/>
    <w:link w:val="FootnoteTextChar"/>
    <w:uiPriority w:val="99"/>
    <w:unhideWhenUsed/>
    <w:rsid w:val="00C6614B"/>
    <w:pPr>
      <w:spacing w:after="0"/>
    </w:pPr>
    <w:rPr>
      <w:sz w:val="20"/>
      <w:szCs w:val="20"/>
    </w:rPr>
  </w:style>
  <w:style w:type="character" w:customStyle="1" w:styleId="FootnoteTextChar">
    <w:name w:val="Footnote Text Char"/>
    <w:basedOn w:val="DefaultParagraphFont"/>
    <w:link w:val="FootnoteText"/>
    <w:uiPriority w:val="99"/>
    <w:rsid w:val="00C6614B"/>
    <w:rPr>
      <w:rFonts w:ascii="Calibri" w:eastAsia="Calibri" w:hAnsi="Calibri" w:cs="Calibri"/>
      <w:kern w:val="40"/>
      <w:sz w:val="20"/>
      <w:szCs w:val="20"/>
    </w:rPr>
  </w:style>
  <w:style w:type="character" w:styleId="FootnoteReference">
    <w:name w:val="footnote reference"/>
    <w:basedOn w:val="DefaultParagraphFont"/>
    <w:uiPriority w:val="99"/>
    <w:semiHidden/>
    <w:unhideWhenUsed/>
    <w:rsid w:val="00C6614B"/>
    <w:rPr>
      <w:vertAlign w:val="superscript"/>
    </w:rPr>
  </w:style>
  <w:style w:type="paragraph" w:customStyle="1" w:styleId="Footnote">
    <w:name w:val="Footnote"/>
    <w:basedOn w:val="FootnoteText"/>
    <w:qFormat/>
    <w:rsid w:val="00C6614B"/>
    <w:rPr>
      <w:kern w:val="0"/>
    </w:rPr>
  </w:style>
  <w:style w:type="paragraph" w:customStyle="1" w:styleId="Basictext">
    <w:name w:val="Basic text"/>
    <w:basedOn w:val="Tablebody"/>
    <w:rsid w:val="00C6614B"/>
    <w:rPr>
      <w:vertAlign w:val="superscript"/>
    </w:rPr>
  </w:style>
  <w:style w:type="character" w:styleId="Hyperlink">
    <w:name w:val="Hyperlink"/>
    <w:basedOn w:val="DefaultParagraphFont"/>
    <w:uiPriority w:val="99"/>
    <w:unhideWhenUsed/>
    <w:qFormat/>
    <w:rsid w:val="00C6614B"/>
    <w:rPr>
      <w:color w:val="0000FF" w:themeColor="hyperlink"/>
      <w:u w:val="single"/>
    </w:rPr>
  </w:style>
  <w:style w:type="paragraph" w:customStyle="1" w:styleId="requirementcrossreference">
    <w:name w:val="requirement cross reference"/>
    <w:basedOn w:val="Listbullet1"/>
    <w:rsid w:val="00C6614B"/>
    <w:rPr>
      <w:b/>
    </w:rPr>
  </w:style>
  <w:style w:type="paragraph" w:customStyle="1" w:styleId="Figuretext">
    <w:name w:val="Figure text"/>
    <w:basedOn w:val="Normal"/>
    <w:qFormat/>
    <w:rsid w:val="00C6614B"/>
    <w:pPr>
      <w:spacing w:after="0"/>
      <w:jc w:val="center"/>
    </w:pPr>
    <w:rPr>
      <w:bCs/>
      <w:color w:val="5F497A" w:themeColor="accent4" w:themeShade="BF"/>
      <w:sz w:val="20"/>
      <w:szCs w:val="20"/>
    </w:rPr>
  </w:style>
  <w:style w:type="paragraph" w:customStyle="1" w:styleId="Casestudytitle">
    <w:name w:val="Case study title"/>
    <w:basedOn w:val="Figuretext"/>
    <w:rsid w:val="00C6614B"/>
    <w:pPr>
      <w:keepNext/>
      <w:jc w:val="left"/>
    </w:pPr>
    <w:rPr>
      <w:b/>
    </w:rPr>
  </w:style>
  <w:style w:type="paragraph" w:customStyle="1" w:styleId="Casestudytext">
    <w:name w:val="Case study text"/>
    <w:basedOn w:val="Figuretext"/>
    <w:rsid w:val="00C6614B"/>
    <w:pPr>
      <w:pBdr>
        <w:top w:val="single" w:sz="12" w:space="1" w:color="463A70"/>
        <w:left w:val="single" w:sz="12" w:space="4" w:color="463A70"/>
        <w:bottom w:val="single" w:sz="12" w:space="1" w:color="463A70"/>
        <w:right w:val="single" w:sz="12" w:space="4" w:color="463A70"/>
      </w:pBdr>
      <w:spacing w:after="240"/>
      <w:jc w:val="left"/>
    </w:pPr>
  </w:style>
  <w:style w:type="paragraph" w:styleId="EndnoteText">
    <w:name w:val="endnote text"/>
    <w:basedOn w:val="Normal"/>
    <w:link w:val="EndnoteTextChar"/>
    <w:uiPriority w:val="99"/>
    <w:semiHidden/>
    <w:unhideWhenUsed/>
    <w:rsid w:val="00C6614B"/>
    <w:pPr>
      <w:spacing w:after="0"/>
    </w:pPr>
    <w:rPr>
      <w:sz w:val="20"/>
      <w:szCs w:val="20"/>
    </w:rPr>
  </w:style>
  <w:style w:type="character" w:customStyle="1" w:styleId="EndnoteTextChar">
    <w:name w:val="Endnote Text Char"/>
    <w:basedOn w:val="DefaultParagraphFont"/>
    <w:link w:val="EndnoteText"/>
    <w:uiPriority w:val="99"/>
    <w:semiHidden/>
    <w:rsid w:val="00C6614B"/>
    <w:rPr>
      <w:rFonts w:ascii="Calibri" w:eastAsia="Calibri" w:hAnsi="Calibri" w:cs="Calibri"/>
      <w:kern w:val="40"/>
      <w:sz w:val="20"/>
      <w:szCs w:val="20"/>
    </w:rPr>
  </w:style>
  <w:style w:type="character" w:styleId="EndnoteReference">
    <w:name w:val="endnote reference"/>
    <w:basedOn w:val="DefaultParagraphFont"/>
    <w:uiPriority w:val="99"/>
    <w:semiHidden/>
    <w:unhideWhenUsed/>
    <w:rsid w:val="00C6614B"/>
    <w:rPr>
      <w:vertAlign w:val="superscript"/>
    </w:rPr>
  </w:style>
  <w:style w:type="paragraph" w:customStyle="1" w:styleId="Tablenotes">
    <w:name w:val="Table notes"/>
    <w:basedOn w:val="EndnoteText"/>
    <w:rsid w:val="00C6614B"/>
    <w:rPr>
      <w:color w:val="463A70"/>
    </w:rPr>
  </w:style>
  <w:style w:type="paragraph" w:customStyle="1" w:styleId="Annexheading">
    <w:name w:val="Annex heading"/>
    <w:basedOn w:val="Heading2"/>
    <w:rsid w:val="00C6614B"/>
    <w:pPr>
      <w:ind w:left="432" w:hanging="432"/>
    </w:pPr>
  </w:style>
  <w:style w:type="paragraph" w:customStyle="1" w:styleId="Annextext">
    <w:name w:val="Annex text"/>
    <w:basedOn w:val="Listbullet1"/>
    <w:rsid w:val="00C6614B"/>
    <w:pPr>
      <w:numPr>
        <w:numId w:val="0"/>
      </w:numPr>
    </w:pPr>
  </w:style>
  <w:style w:type="paragraph" w:customStyle="1" w:styleId="intensequotenumbered">
    <w:name w:val="intense quote numbered"/>
    <w:basedOn w:val="IntenseQuote"/>
    <w:rsid w:val="00C6614B"/>
    <w:pPr>
      <w:numPr>
        <w:numId w:val="31"/>
      </w:numPr>
    </w:pPr>
  </w:style>
  <w:style w:type="paragraph" w:styleId="ListParagraph">
    <w:name w:val="List Paragraph"/>
    <w:basedOn w:val="Normal"/>
    <w:uiPriority w:val="34"/>
    <w:qFormat/>
    <w:rsid w:val="0008116E"/>
    <w:pPr>
      <w:spacing w:after="200" w:line="276" w:lineRule="auto"/>
      <w:ind w:left="720"/>
      <w:contextualSpacing/>
    </w:pPr>
    <w:rPr>
      <w:rFonts w:cs="Times New Roman"/>
      <w:kern w:val="0"/>
    </w:rPr>
  </w:style>
  <w:style w:type="character" w:styleId="CommentReference">
    <w:name w:val="annotation reference"/>
    <w:basedOn w:val="DefaultParagraphFont"/>
    <w:uiPriority w:val="99"/>
    <w:semiHidden/>
    <w:unhideWhenUsed/>
    <w:rsid w:val="00653009"/>
    <w:rPr>
      <w:sz w:val="16"/>
      <w:szCs w:val="16"/>
    </w:rPr>
  </w:style>
  <w:style w:type="paragraph" w:styleId="CommentText">
    <w:name w:val="annotation text"/>
    <w:basedOn w:val="Normal"/>
    <w:link w:val="CommentTextChar"/>
    <w:uiPriority w:val="99"/>
    <w:semiHidden/>
    <w:unhideWhenUsed/>
    <w:rsid w:val="00653009"/>
    <w:rPr>
      <w:sz w:val="20"/>
      <w:szCs w:val="20"/>
    </w:rPr>
  </w:style>
  <w:style w:type="character" w:customStyle="1" w:styleId="CommentTextChar">
    <w:name w:val="Comment Text Char"/>
    <w:basedOn w:val="DefaultParagraphFont"/>
    <w:link w:val="CommentText"/>
    <w:uiPriority w:val="99"/>
    <w:semiHidden/>
    <w:rsid w:val="00653009"/>
    <w:rPr>
      <w:rFonts w:ascii="Calibri" w:eastAsia="Calibri" w:hAnsi="Calibri" w:cs="Calibri"/>
      <w:w w:val="105"/>
      <w:kern w:val="40"/>
      <w:sz w:val="20"/>
      <w:szCs w:val="20"/>
    </w:rPr>
  </w:style>
  <w:style w:type="paragraph" w:styleId="CommentSubject">
    <w:name w:val="annotation subject"/>
    <w:basedOn w:val="CommentText"/>
    <w:next w:val="CommentText"/>
    <w:link w:val="CommentSubjectChar"/>
    <w:uiPriority w:val="99"/>
    <w:semiHidden/>
    <w:unhideWhenUsed/>
    <w:rsid w:val="00653009"/>
    <w:rPr>
      <w:b/>
      <w:bCs/>
    </w:rPr>
  </w:style>
  <w:style w:type="character" w:customStyle="1" w:styleId="CommentSubjectChar">
    <w:name w:val="Comment Subject Char"/>
    <w:basedOn w:val="CommentTextChar"/>
    <w:link w:val="CommentSubject"/>
    <w:uiPriority w:val="99"/>
    <w:semiHidden/>
    <w:rsid w:val="00653009"/>
    <w:rPr>
      <w:rFonts w:ascii="Calibri" w:eastAsia="Calibri" w:hAnsi="Calibri" w:cs="Calibri"/>
      <w:b/>
      <w:bCs/>
      <w:w w:val="105"/>
      <w:kern w:val="40"/>
      <w:sz w:val="20"/>
      <w:szCs w:val="20"/>
    </w:rPr>
  </w:style>
  <w:style w:type="paragraph" w:styleId="Revision">
    <w:name w:val="Revision"/>
    <w:hidden/>
    <w:uiPriority w:val="99"/>
    <w:semiHidden/>
    <w:rsid w:val="00653009"/>
    <w:pPr>
      <w:spacing w:after="0" w:line="240" w:lineRule="auto"/>
    </w:pPr>
    <w:rPr>
      <w:rFonts w:ascii="Calibri" w:eastAsia="Calibri" w:hAnsi="Calibri" w:cs="Calibri"/>
      <w:w w:val="105"/>
      <w:kern w:val="40"/>
    </w:rPr>
  </w:style>
  <w:style w:type="table" w:customStyle="1" w:styleId="ListTable7Colorful-Accent41">
    <w:name w:val="List Table 7 Colorful - Accent 41"/>
    <w:basedOn w:val="TableNormal"/>
    <w:uiPriority w:val="52"/>
    <w:rsid w:val="00660788"/>
    <w:pPr>
      <w:spacing w:after="0"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ghtShading-Accent41">
    <w:name w:val="Light Shading - Accent 41"/>
    <w:basedOn w:val="TableNormal"/>
    <w:next w:val="LightShading-Accent4"/>
    <w:uiPriority w:val="60"/>
    <w:rsid w:val="00314C37"/>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GridTable7Colorful-Accent4">
    <w:name w:val="Grid Table 7 Colorful Accent 4"/>
    <w:basedOn w:val="TableNormal"/>
    <w:uiPriority w:val="52"/>
    <w:rsid w:val="00C6614B"/>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09803">
      <w:bodyDiv w:val="1"/>
      <w:marLeft w:val="0"/>
      <w:marRight w:val="0"/>
      <w:marTop w:val="0"/>
      <w:marBottom w:val="0"/>
      <w:divBdr>
        <w:top w:val="none" w:sz="0" w:space="0" w:color="auto"/>
        <w:left w:val="none" w:sz="0" w:space="0" w:color="auto"/>
        <w:bottom w:val="none" w:sz="0" w:space="0" w:color="auto"/>
        <w:right w:val="none" w:sz="0" w:space="0" w:color="auto"/>
      </w:divBdr>
    </w:div>
    <w:div w:id="551422758">
      <w:bodyDiv w:val="1"/>
      <w:marLeft w:val="0"/>
      <w:marRight w:val="0"/>
      <w:marTop w:val="0"/>
      <w:marBottom w:val="0"/>
      <w:divBdr>
        <w:top w:val="none" w:sz="0" w:space="0" w:color="auto"/>
        <w:left w:val="none" w:sz="0" w:space="0" w:color="auto"/>
        <w:bottom w:val="none" w:sz="0" w:space="0" w:color="auto"/>
        <w:right w:val="none" w:sz="0" w:space="0" w:color="auto"/>
      </w:divBdr>
      <w:divsChild>
        <w:div w:id="1477642932">
          <w:marLeft w:val="0"/>
          <w:marRight w:val="0"/>
          <w:marTop w:val="100"/>
          <w:marBottom w:val="100"/>
          <w:divBdr>
            <w:top w:val="none" w:sz="0" w:space="0" w:color="auto"/>
            <w:left w:val="none" w:sz="0" w:space="0" w:color="auto"/>
            <w:bottom w:val="none" w:sz="0" w:space="0" w:color="auto"/>
            <w:right w:val="none" w:sz="0" w:space="0" w:color="auto"/>
          </w:divBdr>
          <w:divsChild>
            <w:div w:id="580257428">
              <w:marLeft w:val="0"/>
              <w:marRight w:val="0"/>
              <w:marTop w:val="0"/>
              <w:marBottom w:val="0"/>
              <w:divBdr>
                <w:top w:val="none" w:sz="0" w:space="0" w:color="auto"/>
                <w:left w:val="none" w:sz="0" w:space="0" w:color="auto"/>
                <w:bottom w:val="none" w:sz="0" w:space="0" w:color="auto"/>
                <w:right w:val="none" w:sz="0" w:space="0" w:color="auto"/>
              </w:divBdr>
              <w:divsChild>
                <w:div w:id="2028630719">
                  <w:marLeft w:val="0"/>
                  <w:marRight w:val="0"/>
                  <w:marTop w:val="0"/>
                  <w:marBottom w:val="0"/>
                  <w:divBdr>
                    <w:top w:val="none" w:sz="0" w:space="0" w:color="auto"/>
                    <w:left w:val="none" w:sz="0" w:space="0" w:color="auto"/>
                    <w:bottom w:val="none" w:sz="0" w:space="0" w:color="auto"/>
                    <w:right w:val="none" w:sz="0" w:space="0" w:color="auto"/>
                  </w:divBdr>
                  <w:divsChild>
                    <w:div w:id="58015561">
                      <w:marLeft w:val="0"/>
                      <w:marRight w:val="0"/>
                      <w:marTop w:val="0"/>
                      <w:marBottom w:val="0"/>
                      <w:divBdr>
                        <w:top w:val="none" w:sz="0" w:space="0" w:color="auto"/>
                        <w:left w:val="none" w:sz="0" w:space="0" w:color="auto"/>
                        <w:bottom w:val="none" w:sz="0" w:space="0" w:color="auto"/>
                        <w:right w:val="none" w:sz="0" w:space="0" w:color="auto"/>
                      </w:divBdr>
                      <w:divsChild>
                        <w:div w:id="569004248">
                          <w:marLeft w:val="0"/>
                          <w:marRight w:val="0"/>
                          <w:marTop w:val="0"/>
                          <w:marBottom w:val="0"/>
                          <w:divBdr>
                            <w:top w:val="none" w:sz="0" w:space="0" w:color="auto"/>
                            <w:left w:val="none" w:sz="0" w:space="0" w:color="auto"/>
                            <w:bottom w:val="none" w:sz="0" w:space="0" w:color="auto"/>
                            <w:right w:val="none" w:sz="0" w:space="0" w:color="auto"/>
                          </w:divBdr>
                          <w:divsChild>
                            <w:div w:id="985209762">
                              <w:marLeft w:val="0"/>
                              <w:marRight w:val="0"/>
                              <w:marTop w:val="0"/>
                              <w:marBottom w:val="0"/>
                              <w:divBdr>
                                <w:top w:val="none" w:sz="0" w:space="0" w:color="auto"/>
                                <w:left w:val="none" w:sz="0" w:space="0" w:color="auto"/>
                                <w:bottom w:val="none" w:sz="0" w:space="0" w:color="auto"/>
                                <w:right w:val="none" w:sz="0" w:space="0" w:color="auto"/>
                              </w:divBdr>
                              <w:divsChild>
                                <w:div w:id="12959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7331083">
      <w:bodyDiv w:val="1"/>
      <w:marLeft w:val="0"/>
      <w:marRight w:val="0"/>
      <w:marTop w:val="0"/>
      <w:marBottom w:val="0"/>
      <w:divBdr>
        <w:top w:val="none" w:sz="0" w:space="0" w:color="auto"/>
        <w:left w:val="none" w:sz="0" w:space="0" w:color="auto"/>
        <w:bottom w:val="none" w:sz="0" w:space="0" w:color="auto"/>
        <w:right w:val="none" w:sz="0" w:space="0" w:color="auto"/>
      </w:divBdr>
    </w:div>
    <w:div w:id="986008538">
      <w:bodyDiv w:val="1"/>
      <w:marLeft w:val="0"/>
      <w:marRight w:val="0"/>
      <w:marTop w:val="0"/>
      <w:marBottom w:val="0"/>
      <w:divBdr>
        <w:top w:val="none" w:sz="0" w:space="0" w:color="auto"/>
        <w:left w:val="none" w:sz="0" w:space="0" w:color="auto"/>
        <w:bottom w:val="none" w:sz="0" w:space="0" w:color="auto"/>
        <w:right w:val="none" w:sz="0" w:space="0" w:color="auto"/>
      </w:divBdr>
    </w:div>
    <w:div w:id="1135181094">
      <w:bodyDiv w:val="1"/>
      <w:marLeft w:val="0"/>
      <w:marRight w:val="0"/>
      <w:marTop w:val="0"/>
      <w:marBottom w:val="0"/>
      <w:divBdr>
        <w:top w:val="none" w:sz="0" w:space="0" w:color="auto"/>
        <w:left w:val="none" w:sz="0" w:space="0" w:color="auto"/>
        <w:bottom w:val="none" w:sz="0" w:space="0" w:color="auto"/>
        <w:right w:val="none" w:sz="0" w:space="0" w:color="auto"/>
      </w:divBdr>
    </w:div>
    <w:div w:id="1253708119">
      <w:bodyDiv w:val="1"/>
      <w:marLeft w:val="0"/>
      <w:marRight w:val="0"/>
      <w:marTop w:val="0"/>
      <w:marBottom w:val="0"/>
      <w:divBdr>
        <w:top w:val="none" w:sz="0" w:space="0" w:color="auto"/>
        <w:left w:val="none" w:sz="0" w:space="0" w:color="auto"/>
        <w:bottom w:val="none" w:sz="0" w:space="0" w:color="auto"/>
        <w:right w:val="none" w:sz="0" w:space="0" w:color="auto"/>
      </w:divBdr>
    </w:div>
    <w:div w:id="1976910803">
      <w:bodyDiv w:val="1"/>
      <w:marLeft w:val="0"/>
      <w:marRight w:val="0"/>
      <w:marTop w:val="0"/>
      <w:marBottom w:val="0"/>
      <w:divBdr>
        <w:top w:val="none" w:sz="0" w:space="0" w:color="auto"/>
        <w:left w:val="none" w:sz="0" w:space="0" w:color="auto"/>
        <w:bottom w:val="none" w:sz="0" w:space="0" w:color="auto"/>
        <w:right w:val="none" w:sz="0" w:space="0" w:color="auto"/>
      </w:divBdr>
    </w:div>
    <w:div w:id="2041859697">
      <w:bodyDiv w:val="1"/>
      <w:marLeft w:val="0"/>
      <w:marRight w:val="0"/>
      <w:marTop w:val="0"/>
      <w:marBottom w:val="0"/>
      <w:divBdr>
        <w:top w:val="none" w:sz="0" w:space="0" w:color="auto"/>
        <w:left w:val="none" w:sz="0" w:space="0" w:color="auto"/>
        <w:bottom w:val="none" w:sz="0" w:space="0" w:color="auto"/>
        <w:right w:val="none" w:sz="0" w:space="0" w:color="auto"/>
      </w:divBdr>
    </w:div>
    <w:div w:id="208503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tectivesecurity.gov.au" TargetMode="External"/><Relationship Id="rId13" Type="http://schemas.openxmlformats.org/officeDocument/2006/relationships/hyperlink" Target="mailto:PSPFreporting@ag.gov.au" TargetMode="External"/><Relationship Id="rId18" Type="http://schemas.microsoft.com/office/2007/relationships/diagramDrawing" Target="diagrams/drawing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PSPFreporting@ag.gov.au" TargetMode="External"/><Relationship Id="rId17" Type="http://schemas.openxmlformats.org/officeDocument/2006/relationships/diagramColors" Target="diagrams/colors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tectivesecurity.gov.a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diagramLayout" Target="diagrams/layout1.xml"/><Relationship Id="rId23" Type="http://schemas.openxmlformats.org/officeDocument/2006/relationships/header" Target="header3.xml"/><Relationship Id="rId10" Type="http://schemas.openxmlformats.org/officeDocument/2006/relationships/hyperlink" Target="https://www.protectivesecurity.gov.au/about/Pages/annual-reporting.aspx"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rotectivesecurity.gov.au/governance/reporting-on-security/Pages/default.aspx" TargetMode="External"/><Relationship Id="rId14" Type="http://schemas.openxmlformats.org/officeDocument/2006/relationships/diagramData" Target="diagrams/data1.xm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diagrams/colors1.xml><?xml version="1.0" encoding="utf-8"?>
<dgm:colorsDef xmlns:dgm="http://schemas.openxmlformats.org/drawingml/2006/diagram" xmlns:a="http://schemas.openxmlformats.org/drawingml/2006/main" uniqueId="urn:microsoft.com/office/officeart/2005/8/colors/accent4_2">
  <dgm:title val=""/>
  <dgm:desc val=""/>
  <dgm:catLst>
    <dgm:cat type="accent4" pri="11200"/>
  </dgm:catLst>
  <dgm:styleLbl name="node0">
    <dgm:fillClrLst meth="repeat">
      <a:schemeClr val="accent4"/>
    </dgm:fillClrLst>
    <dgm:linClrLst meth="repeat">
      <a:schemeClr val="lt1"/>
    </dgm:linClrLst>
    <dgm:effectClrLst/>
    <dgm:txLinClrLst/>
    <dgm:txFillClrLst/>
    <dgm:txEffectClrLst/>
  </dgm:styleLbl>
  <dgm:styleLbl name="node1">
    <dgm:fillClrLst meth="repeat">
      <a:schemeClr val="accent4"/>
    </dgm:fillClrLst>
    <dgm:linClrLst meth="repeat">
      <a:schemeClr val="lt1"/>
    </dgm:linClrLst>
    <dgm:effectClrLst/>
    <dgm:txLinClrLst/>
    <dgm:txFillClrLst/>
    <dgm:txEffectClrLst/>
  </dgm:styleLbl>
  <dgm:styleLbl name="alignNode1">
    <dgm:fillClrLst meth="repeat">
      <a:schemeClr val="accent4"/>
    </dgm:fillClrLst>
    <dgm:linClrLst meth="repeat">
      <a:schemeClr val="accent4"/>
    </dgm:linClrLst>
    <dgm:effectClrLst/>
    <dgm:txLinClrLst/>
    <dgm:txFillClrLst/>
    <dgm:txEffectClrLst/>
  </dgm:styleLbl>
  <dgm:styleLbl name="lnNode1">
    <dgm:fillClrLst meth="repeat">
      <a:schemeClr val="accent4"/>
    </dgm:fillClrLst>
    <dgm:linClrLst meth="repeat">
      <a:schemeClr val="lt1"/>
    </dgm:linClrLst>
    <dgm:effectClrLst/>
    <dgm:txLinClrLst/>
    <dgm:txFillClrLst/>
    <dgm:txEffectClrLst/>
  </dgm:styleLbl>
  <dgm:styleLbl name="vennNode1">
    <dgm:fillClrLst meth="repeat">
      <a:schemeClr val="accent4">
        <a:alpha val="50000"/>
      </a:schemeClr>
    </dgm:fillClrLst>
    <dgm:linClrLst meth="repeat">
      <a:schemeClr val="lt1"/>
    </dgm:linClrLst>
    <dgm:effectClrLst/>
    <dgm:txLinClrLst/>
    <dgm:txFillClrLst/>
    <dgm:txEffectClrLst/>
  </dgm:styleLbl>
  <dgm:styleLbl name="node2">
    <dgm:fillClrLst meth="repeat">
      <a:schemeClr val="accent4"/>
    </dgm:fillClrLst>
    <dgm:linClrLst meth="repeat">
      <a:schemeClr val="lt1"/>
    </dgm:linClrLst>
    <dgm:effectClrLst/>
    <dgm:txLinClrLst/>
    <dgm:txFillClrLst/>
    <dgm:txEffectClrLst/>
  </dgm:styleLbl>
  <dgm:styleLbl name="node3">
    <dgm:fillClrLst meth="repeat">
      <a:schemeClr val="accent4"/>
    </dgm:fillClrLst>
    <dgm:linClrLst meth="repeat">
      <a:schemeClr val="lt1"/>
    </dgm:linClrLst>
    <dgm:effectClrLst/>
    <dgm:txLinClrLst/>
    <dgm:txFillClrLst/>
    <dgm:txEffectClrLst/>
  </dgm:styleLbl>
  <dgm:styleLbl name="node4">
    <dgm:fillClrLst meth="repeat">
      <a:schemeClr val="accent4"/>
    </dgm:fillClrLst>
    <dgm:linClrLst meth="repeat">
      <a:schemeClr val="lt1"/>
    </dgm:linClrLst>
    <dgm:effectClrLst/>
    <dgm:txLinClrLst/>
    <dgm:txFillClrLst/>
    <dgm:txEffectClrLst/>
  </dgm:styleLbl>
  <dgm:styleLbl name="fg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4">
        <a:tint val="60000"/>
      </a:schemeClr>
    </dgm:fillClrLst>
    <dgm:linClrLst meth="repeat">
      <a:schemeClr val="accent4">
        <a:tint val="60000"/>
      </a:schemeClr>
    </dgm:linClrLst>
    <dgm:effectClrLst/>
    <dgm:txLinClrLst/>
    <dgm:txFillClrLst/>
    <dgm:txEffectClrLst/>
  </dgm:styleLbl>
  <dgm:styleLbl name="fgSibTrans2D1">
    <dgm:fillClrLst meth="repeat">
      <a:schemeClr val="accent4">
        <a:tint val="60000"/>
      </a:schemeClr>
    </dgm:fillClrLst>
    <dgm:linClrLst meth="repeat">
      <a:schemeClr val="accent4">
        <a:tint val="60000"/>
      </a:schemeClr>
    </dgm:linClrLst>
    <dgm:effectClrLst/>
    <dgm:txLinClrLst/>
    <dgm:txFillClrLst/>
    <dgm:txEffectClrLst/>
  </dgm:styleLbl>
  <dgm:styleLbl name="bgSibTrans2D1">
    <dgm:fillClrLst meth="repeat">
      <a:schemeClr val="accent4">
        <a:tint val="60000"/>
      </a:schemeClr>
    </dgm:fillClrLst>
    <dgm:linClrLst meth="repeat">
      <a:schemeClr val="accent4">
        <a:tint val="60000"/>
      </a:schemeClr>
    </dgm:linClrLst>
    <dgm:effectClrLst/>
    <dgm:txLinClrLst/>
    <dgm:txFillClrLst/>
    <dgm:txEffectClrLst/>
  </dgm:styleLbl>
  <dgm:styleLbl name="sibTrans1D1">
    <dgm:fillClrLst meth="repeat">
      <a:schemeClr val="accent4"/>
    </dgm:fillClrLst>
    <dgm:linClrLst meth="repeat">
      <a:schemeClr val="accent4"/>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dgm:linClrLst>
    <dgm:effectClrLst/>
    <dgm:txLinClrLst/>
    <dgm:txFillClrLst/>
    <dgm:txEffectClrLst/>
  </dgm:styleLbl>
  <dgm:styleLbl name="asst1">
    <dgm:fillClrLst meth="repeat">
      <a:schemeClr val="accent4"/>
    </dgm:fillClrLst>
    <dgm:linClrLst meth="repeat">
      <a:schemeClr val="lt1"/>
    </dgm:linClrLst>
    <dgm:effectClrLst/>
    <dgm:txLinClrLst/>
    <dgm:txFillClrLst/>
    <dgm:txEffectClrLst/>
  </dgm:styleLbl>
  <dgm:styleLbl name="asst2">
    <dgm:fillClrLst meth="repeat">
      <a:schemeClr val="accent4"/>
    </dgm:fillClrLst>
    <dgm:linClrLst meth="repeat">
      <a:schemeClr val="lt1"/>
    </dgm:linClrLst>
    <dgm:effectClrLst/>
    <dgm:txLinClrLst/>
    <dgm:txFillClrLst/>
    <dgm:txEffectClrLst/>
  </dgm:styleLbl>
  <dgm:styleLbl name="asst3">
    <dgm:fillClrLst meth="repeat">
      <a:schemeClr val="accent4"/>
    </dgm:fillClrLst>
    <dgm:linClrLst meth="repeat">
      <a:schemeClr val="lt1"/>
    </dgm:linClrLst>
    <dgm:effectClrLst/>
    <dgm:txLinClrLst/>
    <dgm:txFillClrLst/>
    <dgm:txEffectClrLst/>
  </dgm:styleLbl>
  <dgm:styleLbl name="asst4">
    <dgm:fillClrLst meth="repeat">
      <a:schemeClr val="accent4"/>
    </dgm:fillClrLst>
    <dgm:linClrLst meth="repeat">
      <a:schemeClr val="lt1"/>
    </dgm:linClrLst>
    <dgm:effectClrLst/>
    <dgm:txLinClrLst/>
    <dgm:txFillClrLst/>
    <dgm:txEffectClrLst/>
  </dgm:styleLbl>
  <dgm:styleLbl name="parChTrans2D1">
    <dgm:fillClrLst meth="repeat">
      <a:schemeClr val="accent4">
        <a:tint val="60000"/>
      </a:schemeClr>
    </dgm:fillClrLst>
    <dgm:linClrLst meth="repeat">
      <a:schemeClr val="accent4">
        <a:tint val="60000"/>
      </a:schemeClr>
    </dgm:linClrLst>
    <dgm:effectClrLst/>
    <dgm:txLinClrLst/>
    <dgm:txFillClrLst meth="repeat">
      <a:schemeClr val="lt1"/>
    </dgm:txFillClrLst>
    <dgm:txEffectClrLst/>
  </dgm:styleLbl>
  <dgm:styleLbl name="parChTrans2D2">
    <dgm:fillClrLst meth="repeat">
      <a:schemeClr val="accent4"/>
    </dgm:fillClrLst>
    <dgm:linClrLst meth="repeat">
      <a:schemeClr val="accent4"/>
    </dgm:linClrLst>
    <dgm:effectClrLst/>
    <dgm:txLinClrLst/>
    <dgm:txFillClrLst meth="repeat">
      <a:schemeClr val="lt1"/>
    </dgm:txFillClrLst>
    <dgm:txEffectClrLst/>
  </dgm:styleLbl>
  <dgm:styleLbl name="parChTrans2D3">
    <dgm:fillClrLst meth="repeat">
      <a:schemeClr val="accent4"/>
    </dgm:fillClrLst>
    <dgm:linClrLst meth="repeat">
      <a:schemeClr val="accent4"/>
    </dgm:linClrLst>
    <dgm:effectClrLst/>
    <dgm:txLinClrLst/>
    <dgm:txFillClrLst meth="repeat">
      <a:schemeClr val="lt1"/>
    </dgm:txFillClrLst>
    <dgm:txEffectClrLst/>
  </dgm:styleLbl>
  <dgm:styleLbl name="parChTrans2D4">
    <dgm:fillClrLst meth="repeat">
      <a:schemeClr val="accent4"/>
    </dgm:fillClrLst>
    <dgm:linClrLst meth="repeat">
      <a:schemeClr val="accent4"/>
    </dgm:linClrLst>
    <dgm:effectClrLst/>
    <dgm:txLinClrLst/>
    <dgm:txFillClrLst meth="repeat">
      <a:schemeClr val="lt1"/>
    </dgm:txFillClrLst>
    <dgm:txEffectClrLst/>
  </dgm:styleLbl>
  <dgm:styleLbl name="parChTrans1D1">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2">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3">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parChTrans1D4">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solidFgAcc1">
    <dgm:fillClrLst meth="repeat">
      <a:schemeClr val="lt1"/>
    </dgm:fillClrLst>
    <dgm:linClrLst meth="repeat">
      <a:schemeClr val="accent4"/>
    </dgm:linClrLst>
    <dgm:effectClrLst/>
    <dgm:txLinClrLst/>
    <dgm:txFillClrLst meth="repeat">
      <a:schemeClr val="dk1"/>
    </dgm:txFillClrLst>
    <dgm:txEffectClrLst/>
  </dgm:styleLbl>
  <dgm:styleLbl name="solidAlignAcc1">
    <dgm:fillClrLst meth="repeat">
      <a:schemeClr val="lt1"/>
    </dgm:fillClrLst>
    <dgm:linClrLst meth="repeat">
      <a:schemeClr val="accent4"/>
    </dgm:linClrLst>
    <dgm:effectClrLst/>
    <dgm:txLinClrLst/>
    <dgm:txFillClrLst meth="repeat">
      <a:schemeClr val="dk1"/>
    </dgm:txFillClrLst>
    <dgm:txEffectClrLst/>
  </dgm:styleLbl>
  <dgm:styleLbl name="solidBgAcc1">
    <dgm:fillClrLst meth="repeat">
      <a:schemeClr val="lt1"/>
    </dgm:fillClrLst>
    <dgm:linClrLst meth="repeat">
      <a:schemeClr val="accent4"/>
    </dgm:linClrLst>
    <dgm:effectClrLst/>
    <dgm:txLinClrLst/>
    <dgm:txFillClrLst meth="repeat">
      <a:schemeClr val="dk1"/>
    </dgm:txFillClrLst>
    <dgm:txEffectClrLst/>
  </dgm:styleLbl>
  <dgm:styleLbl name="fg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align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bg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accent4"/>
    </dgm:linClrLst>
    <dgm:effectClrLst/>
    <dgm:txLinClrLst/>
    <dgm:txFillClrLst meth="repeat">
      <a:schemeClr val="dk1"/>
    </dgm:txFillClrLst>
    <dgm:txEffectClrLst/>
  </dgm:styleLbl>
  <dgm:styleLbl name="dkBgShp">
    <dgm:fillClrLst meth="repeat">
      <a:schemeClr val="accent4">
        <a:shade val="80000"/>
      </a:schemeClr>
    </dgm:fillClrLst>
    <dgm:linClrLst meth="repeat">
      <a:schemeClr val="accent4"/>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2083258-2E99-465D-9867-6414C25F202C}" type="doc">
      <dgm:prSet loTypeId="urn:microsoft.com/office/officeart/2005/8/layout/hProcess7" loCatId="process" qsTypeId="urn:microsoft.com/office/officeart/2005/8/quickstyle/simple1" qsCatId="simple" csTypeId="urn:microsoft.com/office/officeart/2005/8/colors/accent4_2" csCatId="accent4" phldr="1"/>
      <dgm:spPr/>
      <dgm:t>
        <a:bodyPr/>
        <a:lstStyle/>
        <a:p>
          <a:endParaRPr lang="en-GB"/>
        </a:p>
      </dgm:t>
    </dgm:pt>
    <dgm:pt modelId="{6C65C8DF-F95B-4729-9ECE-6EB970A74D19}">
      <dgm:prSet phldrT="[Text]" custT="1"/>
      <dgm:spPr/>
      <dgm:t>
        <a:bodyPr/>
        <a:lstStyle/>
        <a:p>
          <a:r>
            <a:rPr lang="en-GB" sz="1700"/>
            <a:t>1. Reporting obligations</a:t>
          </a:r>
        </a:p>
      </dgm:t>
      <dgm:extLst>
        <a:ext uri="{E40237B7-FDA0-4F09-8148-C483321AD2D9}">
          <dgm14:cNvPr xmlns:dgm14="http://schemas.microsoft.com/office/drawing/2010/diagram" id="0" name="" descr="Commencing the assessment.&#10;There are four text boxes in this figure. &#10;&#10;Text box one.&#10;Reporting obligations&#10;Outlines the PSPF reporting obligations for non-corporate Commonwealth entities.&#10;&#10;PRESS 'Next Step' to acknowledge the reporting obligations.&#10;&#10;Text box two.&#10;Security classification&#10;&#10;Allows entities to select the security classification of the data to be entered into the portal.&#10;&#10;SELECT classification of data inputs&#10;- Selecting PROTECTED/ OFFICIAL: Sensitive will allow reporting through the portal.&#10; &#10;- Selecting SECRET/TOP SECRET will provide a fillable reporting template.&#10; &#10;PRESS 'Next Step' to continue.&#10;&#10;Text box three.&#10;Setup users&#10;&#10;Allows the CSO to delegate user administration and manage additional users. &#10;&#10;- (optional) ENTER email address of the person who will admister user access in your entity.&#10; &#10;- (optional) PRESS '+Add new user' to manage additional users—see 'user management' on page 4 to complete this step.&#10; &#10;PRESS 'Next Step' to continue.&#10;&#10;Text box four.&#10;Finalise creation&#10;&#10;Creates the assessment form for the reporting period.&#10;&#10;PRESS 'Create Assessment' to allow your entity to input data for the reporting period.&#10;"/>
        </a:ext>
      </dgm:extLst>
    </dgm:pt>
    <dgm:pt modelId="{357AA1D0-3C62-44CE-97DE-6C379481ED81}" type="parTrans" cxnId="{9C2B4196-F5E9-467B-B00E-1B7BD31F9B14}">
      <dgm:prSet/>
      <dgm:spPr/>
      <dgm:t>
        <a:bodyPr/>
        <a:lstStyle/>
        <a:p>
          <a:endParaRPr lang="en-GB"/>
        </a:p>
      </dgm:t>
    </dgm:pt>
    <dgm:pt modelId="{62DE87A3-6F87-40C5-9CFC-A74B792EC6AB}" type="sibTrans" cxnId="{9C2B4196-F5E9-467B-B00E-1B7BD31F9B14}">
      <dgm:prSet/>
      <dgm:spPr/>
      <dgm:t>
        <a:bodyPr/>
        <a:lstStyle/>
        <a:p>
          <a:endParaRPr lang="en-GB"/>
        </a:p>
      </dgm:t>
    </dgm:pt>
    <dgm:pt modelId="{A75F50C0-3F4F-4F78-A9B4-56A7D5DC2B86}">
      <dgm:prSet phldrT="[Text]" custT="1"/>
      <dgm:spPr/>
      <dgm:t>
        <a:bodyPr/>
        <a:lstStyle/>
        <a:p>
          <a:r>
            <a:rPr lang="en-GB" sz="1050" i="1"/>
            <a:t>Outlines </a:t>
          </a:r>
          <a:r>
            <a:rPr lang="en-AU" sz="1050" i="1"/>
            <a:t>the PSPF reporting obligations for non-corporate Commonwealth entities</a:t>
          </a:r>
        </a:p>
        <a:p>
          <a:endParaRPr lang="en-GB" sz="1050" i="1"/>
        </a:p>
      </dgm:t>
    </dgm:pt>
    <dgm:pt modelId="{7311954B-D9AC-4254-971F-546BD40B9F86}" type="parTrans" cxnId="{123D1E0F-3E24-4491-8D3E-CED64520B0D8}">
      <dgm:prSet/>
      <dgm:spPr/>
      <dgm:t>
        <a:bodyPr/>
        <a:lstStyle/>
        <a:p>
          <a:endParaRPr lang="en-GB"/>
        </a:p>
      </dgm:t>
    </dgm:pt>
    <dgm:pt modelId="{8A545D0B-C11B-4644-8831-2C6EF42D1ACA}" type="sibTrans" cxnId="{123D1E0F-3E24-4491-8D3E-CED64520B0D8}">
      <dgm:prSet/>
      <dgm:spPr/>
      <dgm:t>
        <a:bodyPr/>
        <a:lstStyle/>
        <a:p>
          <a:endParaRPr lang="en-GB"/>
        </a:p>
      </dgm:t>
    </dgm:pt>
    <dgm:pt modelId="{C4B7315A-1A79-4187-B672-EA972C94679D}">
      <dgm:prSet phldrT="[Text]" custT="1"/>
      <dgm:spPr/>
      <dgm:t>
        <a:bodyPr/>
        <a:lstStyle/>
        <a:p>
          <a:r>
            <a:rPr lang="en-GB" sz="1700"/>
            <a:t>2. Security classification</a:t>
          </a:r>
        </a:p>
      </dgm:t>
    </dgm:pt>
    <dgm:pt modelId="{35A56878-4223-48E0-BA8A-ADD4D6551204}" type="parTrans" cxnId="{1CAE5751-E16B-4B4F-8A0D-2A6BA9B92C8D}">
      <dgm:prSet/>
      <dgm:spPr/>
      <dgm:t>
        <a:bodyPr/>
        <a:lstStyle/>
        <a:p>
          <a:endParaRPr lang="en-GB"/>
        </a:p>
      </dgm:t>
    </dgm:pt>
    <dgm:pt modelId="{D6029F4C-30BC-429D-900B-45ACB796F0C0}" type="sibTrans" cxnId="{1CAE5751-E16B-4B4F-8A0D-2A6BA9B92C8D}">
      <dgm:prSet/>
      <dgm:spPr/>
      <dgm:t>
        <a:bodyPr/>
        <a:lstStyle/>
        <a:p>
          <a:endParaRPr lang="en-GB"/>
        </a:p>
      </dgm:t>
    </dgm:pt>
    <dgm:pt modelId="{BC7451F3-5CDA-444C-A6CD-0751226D9D18}">
      <dgm:prSet phldrT="[Text]" custT="1"/>
      <dgm:spPr/>
      <dgm:t>
        <a:bodyPr/>
        <a:lstStyle/>
        <a:p>
          <a:r>
            <a:rPr lang="en-GB" sz="1050" i="1"/>
            <a:t>Allows entities to select the security classification of the data to be entered into the portal</a:t>
          </a:r>
        </a:p>
        <a:p>
          <a:endParaRPr lang="en-GB" sz="1050" i="1"/>
        </a:p>
      </dgm:t>
    </dgm:pt>
    <dgm:pt modelId="{F27B7939-867B-4F65-9FB5-3F5341542F69}" type="parTrans" cxnId="{E487DFB5-FFB2-4B1D-82B8-957217F794F6}">
      <dgm:prSet/>
      <dgm:spPr/>
      <dgm:t>
        <a:bodyPr/>
        <a:lstStyle/>
        <a:p>
          <a:endParaRPr lang="en-GB"/>
        </a:p>
      </dgm:t>
    </dgm:pt>
    <dgm:pt modelId="{D9DF2930-493A-4604-8CF2-2B83AEC785FD}" type="sibTrans" cxnId="{E487DFB5-FFB2-4B1D-82B8-957217F794F6}">
      <dgm:prSet/>
      <dgm:spPr/>
      <dgm:t>
        <a:bodyPr/>
        <a:lstStyle/>
        <a:p>
          <a:endParaRPr lang="en-GB"/>
        </a:p>
      </dgm:t>
    </dgm:pt>
    <dgm:pt modelId="{D07F348F-46FF-463E-8087-E9CAC5FADF83}">
      <dgm:prSet phldrT="[Text]" custT="1"/>
      <dgm:spPr/>
      <dgm:t>
        <a:bodyPr/>
        <a:lstStyle/>
        <a:p>
          <a:r>
            <a:rPr lang="en-GB" sz="1700"/>
            <a:t>3. Setup users</a:t>
          </a:r>
        </a:p>
      </dgm:t>
    </dgm:pt>
    <dgm:pt modelId="{91A52BD7-0385-4253-BBC6-B699C6C9630F}" type="parTrans" cxnId="{AA0CAE93-7AFA-4784-996D-82BFCFE8B630}">
      <dgm:prSet/>
      <dgm:spPr/>
      <dgm:t>
        <a:bodyPr/>
        <a:lstStyle/>
        <a:p>
          <a:endParaRPr lang="en-GB"/>
        </a:p>
      </dgm:t>
    </dgm:pt>
    <dgm:pt modelId="{94398159-0F70-4744-B497-165350DBB7E4}" type="sibTrans" cxnId="{AA0CAE93-7AFA-4784-996D-82BFCFE8B630}">
      <dgm:prSet/>
      <dgm:spPr/>
      <dgm:t>
        <a:bodyPr/>
        <a:lstStyle/>
        <a:p>
          <a:endParaRPr lang="en-GB"/>
        </a:p>
      </dgm:t>
    </dgm:pt>
    <dgm:pt modelId="{D910FC07-9464-4D1A-B9A1-76C735030FCE}">
      <dgm:prSet phldrT="[Text]" custT="1"/>
      <dgm:spPr/>
      <dgm:t>
        <a:bodyPr/>
        <a:lstStyle/>
        <a:p>
          <a:r>
            <a:rPr lang="en-GB" sz="1050" i="1"/>
            <a:t>Allows the CSO to delegate user administration and manage additional users</a:t>
          </a:r>
        </a:p>
        <a:p>
          <a:endParaRPr lang="en-GB" sz="1050" i="1"/>
        </a:p>
      </dgm:t>
    </dgm:pt>
    <dgm:pt modelId="{48B80D2E-85A1-42F0-A969-DAFDF9E3D740}" type="parTrans" cxnId="{A634AA2D-1E80-488F-9E94-0BD46310EDDB}">
      <dgm:prSet/>
      <dgm:spPr/>
      <dgm:t>
        <a:bodyPr/>
        <a:lstStyle/>
        <a:p>
          <a:endParaRPr lang="en-GB"/>
        </a:p>
      </dgm:t>
    </dgm:pt>
    <dgm:pt modelId="{C74ADBF9-5F24-4CA4-AC32-9FFE89CDCB2E}" type="sibTrans" cxnId="{A634AA2D-1E80-488F-9E94-0BD46310EDDB}">
      <dgm:prSet/>
      <dgm:spPr/>
      <dgm:t>
        <a:bodyPr/>
        <a:lstStyle/>
        <a:p>
          <a:endParaRPr lang="en-GB"/>
        </a:p>
      </dgm:t>
    </dgm:pt>
    <dgm:pt modelId="{22019B46-4D84-4808-987D-A2C2277E51B2}">
      <dgm:prSet phldrT="[Text]" custT="1"/>
      <dgm:spPr/>
      <dgm:t>
        <a:bodyPr/>
        <a:lstStyle/>
        <a:p>
          <a:r>
            <a:rPr lang="en-GB" sz="1700"/>
            <a:t>4. Finalise creation</a:t>
          </a:r>
        </a:p>
      </dgm:t>
    </dgm:pt>
    <dgm:pt modelId="{AB8718D7-7FC1-46F2-92A9-C735C706D547}" type="parTrans" cxnId="{0E4ABF1D-3DBA-4F67-AD5B-34C866192E28}">
      <dgm:prSet/>
      <dgm:spPr/>
      <dgm:t>
        <a:bodyPr/>
        <a:lstStyle/>
        <a:p>
          <a:endParaRPr lang="en-GB"/>
        </a:p>
      </dgm:t>
    </dgm:pt>
    <dgm:pt modelId="{5942358D-AD99-4C4A-A291-406A809A5E4E}" type="sibTrans" cxnId="{0E4ABF1D-3DBA-4F67-AD5B-34C866192E28}">
      <dgm:prSet/>
      <dgm:spPr/>
      <dgm:t>
        <a:bodyPr/>
        <a:lstStyle/>
        <a:p>
          <a:endParaRPr lang="en-GB"/>
        </a:p>
      </dgm:t>
    </dgm:pt>
    <dgm:pt modelId="{F876FF9F-4E5A-4DBF-8F71-A00B00D5B423}">
      <dgm:prSet phldrT="[Text]" custT="1"/>
      <dgm:spPr/>
      <dgm:t>
        <a:bodyPr/>
        <a:lstStyle/>
        <a:p>
          <a:r>
            <a:rPr lang="en-GB" sz="1050"/>
            <a:t>(optional) </a:t>
          </a:r>
          <a:r>
            <a:rPr lang="en-GB" sz="1050" b="1"/>
            <a:t>ENTER</a:t>
          </a:r>
          <a:r>
            <a:rPr lang="en-GB" sz="1050"/>
            <a:t> email address of the person who will administer user access in your entity</a:t>
          </a:r>
        </a:p>
      </dgm:t>
    </dgm:pt>
    <dgm:pt modelId="{E6386B02-036E-4CFF-A118-C3BB9C7BD4FB}" type="parTrans" cxnId="{EFF74166-09C0-47B5-AA77-5FCE6D158B75}">
      <dgm:prSet/>
      <dgm:spPr/>
      <dgm:t>
        <a:bodyPr/>
        <a:lstStyle/>
        <a:p>
          <a:endParaRPr lang="en-GB"/>
        </a:p>
      </dgm:t>
    </dgm:pt>
    <dgm:pt modelId="{45027FEC-F648-4AA4-8C8E-DA427704E41E}" type="sibTrans" cxnId="{EFF74166-09C0-47B5-AA77-5FCE6D158B75}">
      <dgm:prSet/>
      <dgm:spPr/>
      <dgm:t>
        <a:bodyPr/>
        <a:lstStyle/>
        <a:p>
          <a:endParaRPr lang="en-GB"/>
        </a:p>
      </dgm:t>
    </dgm:pt>
    <dgm:pt modelId="{A0117A07-2F62-4A0D-B4D2-AE650A55E722}">
      <dgm:prSet phldrT="[Text]" custT="1"/>
      <dgm:spPr/>
      <dgm:t>
        <a:bodyPr/>
        <a:lstStyle/>
        <a:p>
          <a:r>
            <a:rPr lang="en-GB" sz="1050" b="1"/>
            <a:t>PRESS</a:t>
          </a:r>
          <a:r>
            <a:rPr lang="en-GB" sz="1050"/>
            <a:t> 'Next Step' to acknowledge the reporting obligations</a:t>
          </a:r>
        </a:p>
      </dgm:t>
    </dgm:pt>
    <dgm:pt modelId="{3CFE7C9F-F9C5-40A9-B783-F0AC4AAF800A}" type="parTrans" cxnId="{684030D2-A38C-4DFE-94D0-D9EECA5D48D1}">
      <dgm:prSet/>
      <dgm:spPr/>
      <dgm:t>
        <a:bodyPr/>
        <a:lstStyle/>
        <a:p>
          <a:endParaRPr lang="en-GB"/>
        </a:p>
      </dgm:t>
    </dgm:pt>
    <dgm:pt modelId="{7FFB793C-C872-4F9D-8A21-E0017C89D501}" type="sibTrans" cxnId="{684030D2-A38C-4DFE-94D0-D9EECA5D48D1}">
      <dgm:prSet/>
      <dgm:spPr/>
      <dgm:t>
        <a:bodyPr/>
        <a:lstStyle/>
        <a:p>
          <a:endParaRPr lang="en-GB"/>
        </a:p>
      </dgm:t>
    </dgm:pt>
    <dgm:pt modelId="{9CD3BB95-565F-4D3E-805A-D47F52020B27}">
      <dgm:prSet phldrT="[Text]" custT="1"/>
      <dgm:spPr/>
      <dgm:t>
        <a:bodyPr/>
        <a:lstStyle/>
        <a:p>
          <a:r>
            <a:rPr lang="en-GB" sz="1050" b="1"/>
            <a:t>SELECT</a:t>
          </a:r>
          <a:r>
            <a:rPr lang="en-GB" sz="1050"/>
            <a:t> classification of data inputs</a:t>
          </a:r>
        </a:p>
      </dgm:t>
    </dgm:pt>
    <dgm:pt modelId="{732CBDB4-A952-4D16-8C82-ED5E17D94DD5}" type="parTrans" cxnId="{3AD4EEFF-AE96-4819-B9E4-E9D42201B22F}">
      <dgm:prSet/>
      <dgm:spPr/>
      <dgm:t>
        <a:bodyPr/>
        <a:lstStyle/>
        <a:p>
          <a:endParaRPr lang="en-GB"/>
        </a:p>
      </dgm:t>
    </dgm:pt>
    <dgm:pt modelId="{3A75AA22-E28A-4A71-A459-DFFEA4FD1C05}" type="sibTrans" cxnId="{3AD4EEFF-AE96-4819-B9E4-E9D42201B22F}">
      <dgm:prSet/>
      <dgm:spPr/>
      <dgm:t>
        <a:bodyPr/>
        <a:lstStyle/>
        <a:p>
          <a:endParaRPr lang="en-GB"/>
        </a:p>
      </dgm:t>
    </dgm:pt>
    <dgm:pt modelId="{2BD83D28-785B-4FB7-A4C4-DB69A24721F4}">
      <dgm:prSet phldrT="[Text]" custT="1"/>
      <dgm:spPr/>
      <dgm:t>
        <a:bodyPr/>
        <a:lstStyle/>
        <a:p>
          <a:r>
            <a:rPr lang="en-AU" sz="1050"/>
            <a:t>Selecting </a:t>
          </a:r>
          <a:r>
            <a:rPr lang="en-AU" sz="1050" b="1"/>
            <a:t>PROTECTED/ OFFICIAL: Sensitive </a:t>
          </a:r>
          <a:r>
            <a:rPr lang="en-AU" sz="1050"/>
            <a:t>will allow reporting through the portal</a:t>
          </a:r>
          <a:endParaRPr lang="en-GB" sz="1050"/>
        </a:p>
      </dgm:t>
    </dgm:pt>
    <dgm:pt modelId="{3A25884C-FB0B-43BF-979E-FFB4BA816D2B}" type="parTrans" cxnId="{65E0A901-8DE2-4707-B5B1-7C997E3B9DF0}">
      <dgm:prSet/>
      <dgm:spPr/>
      <dgm:t>
        <a:bodyPr/>
        <a:lstStyle/>
        <a:p>
          <a:endParaRPr lang="en-GB"/>
        </a:p>
      </dgm:t>
    </dgm:pt>
    <dgm:pt modelId="{89DE137F-6480-428D-956B-B153AE60B111}" type="sibTrans" cxnId="{65E0A901-8DE2-4707-B5B1-7C997E3B9DF0}">
      <dgm:prSet/>
      <dgm:spPr/>
      <dgm:t>
        <a:bodyPr/>
        <a:lstStyle/>
        <a:p>
          <a:endParaRPr lang="en-GB"/>
        </a:p>
      </dgm:t>
    </dgm:pt>
    <dgm:pt modelId="{52CBD4AD-BDEA-4A5E-B0C5-03C953081359}">
      <dgm:prSet phldrT="[Text]" custT="1"/>
      <dgm:spPr/>
      <dgm:t>
        <a:bodyPr/>
        <a:lstStyle/>
        <a:p>
          <a:r>
            <a:rPr lang="en-AU" sz="1050"/>
            <a:t>Selecting </a:t>
          </a:r>
          <a:r>
            <a:rPr lang="en-AU" sz="1050" b="1"/>
            <a:t>SECRET/TOP SECRET </a:t>
          </a:r>
          <a:r>
            <a:rPr lang="en-AU" sz="1050"/>
            <a:t>will provide a fillable offline reporting template</a:t>
          </a:r>
          <a:endParaRPr lang="en-GB" sz="1050"/>
        </a:p>
      </dgm:t>
    </dgm:pt>
    <dgm:pt modelId="{728FB8DF-CF8D-47F2-B7F8-9DB3849C9E42}" type="parTrans" cxnId="{8CCA8CD4-E72C-4A58-B283-A070CFBFBFE1}">
      <dgm:prSet/>
      <dgm:spPr/>
      <dgm:t>
        <a:bodyPr/>
        <a:lstStyle/>
        <a:p>
          <a:endParaRPr lang="en-GB"/>
        </a:p>
      </dgm:t>
    </dgm:pt>
    <dgm:pt modelId="{CAF83DE0-2243-49D4-8FC0-AFF36349DFD5}" type="sibTrans" cxnId="{8CCA8CD4-E72C-4A58-B283-A070CFBFBFE1}">
      <dgm:prSet/>
      <dgm:spPr/>
      <dgm:t>
        <a:bodyPr/>
        <a:lstStyle/>
        <a:p>
          <a:endParaRPr lang="en-GB"/>
        </a:p>
      </dgm:t>
    </dgm:pt>
    <dgm:pt modelId="{11FF6C0D-DFE6-46AA-B0AC-12D47AA605C1}">
      <dgm:prSet phldrT="[Text]" custT="1"/>
      <dgm:spPr/>
      <dgm:t>
        <a:bodyPr/>
        <a:lstStyle/>
        <a:p>
          <a:r>
            <a:rPr lang="en-GB" sz="1050"/>
            <a:t>(optional) </a:t>
          </a:r>
          <a:r>
            <a:rPr lang="en-GB" sz="1050" b="1"/>
            <a:t>PRESS</a:t>
          </a:r>
          <a:r>
            <a:rPr lang="en-GB" sz="1050" b="0"/>
            <a:t> '+Add new user' to manage additional users</a:t>
          </a:r>
          <a:r>
            <a:rPr lang="en-GB" sz="1050" b="0">
              <a:latin typeface="Calibri" panose="020F0502020204030204" pitchFamily="34" charset="0"/>
              <a:cs typeface="Calibri" panose="020F0502020204030204" pitchFamily="34" charset="0"/>
            </a:rPr>
            <a:t>—see 'user management' on page 4 to complete this step</a:t>
          </a:r>
          <a:endParaRPr lang="en-GB" sz="1050"/>
        </a:p>
      </dgm:t>
    </dgm:pt>
    <dgm:pt modelId="{39BA308D-33B6-41DA-B0A4-036BBB7009AD}" type="parTrans" cxnId="{474466FC-BFC1-43B2-B629-FF9FB7ADE41F}">
      <dgm:prSet/>
      <dgm:spPr/>
      <dgm:t>
        <a:bodyPr/>
        <a:lstStyle/>
        <a:p>
          <a:endParaRPr lang="en-GB"/>
        </a:p>
      </dgm:t>
    </dgm:pt>
    <dgm:pt modelId="{07C5CC87-5D96-49C7-9DAF-8E4C6EF34356}" type="sibTrans" cxnId="{474466FC-BFC1-43B2-B629-FF9FB7ADE41F}">
      <dgm:prSet/>
      <dgm:spPr/>
      <dgm:t>
        <a:bodyPr/>
        <a:lstStyle/>
        <a:p>
          <a:endParaRPr lang="en-GB"/>
        </a:p>
      </dgm:t>
    </dgm:pt>
    <dgm:pt modelId="{F8EC4F7F-10B4-4DD1-9AE4-5BB2E5A4A005}">
      <dgm:prSet phldrT="[Text]" custT="1"/>
      <dgm:spPr/>
      <dgm:t>
        <a:bodyPr/>
        <a:lstStyle/>
        <a:p>
          <a:r>
            <a:rPr lang="en-GB" sz="1050" b="1"/>
            <a:t>PRESS</a:t>
          </a:r>
          <a:r>
            <a:rPr lang="en-GB" sz="1050"/>
            <a:t> 'Next Step' to continue</a:t>
          </a:r>
        </a:p>
      </dgm:t>
    </dgm:pt>
    <dgm:pt modelId="{4999902A-14E7-4D42-A90C-5B8CFFA68F10}" type="parTrans" cxnId="{9DEAC824-100D-466D-B18A-832AB79E8635}">
      <dgm:prSet/>
      <dgm:spPr/>
      <dgm:t>
        <a:bodyPr/>
        <a:lstStyle/>
        <a:p>
          <a:endParaRPr lang="en-GB"/>
        </a:p>
      </dgm:t>
    </dgm:pt>
    <dgm:pt modelId="{DE641785-6E22-4CD4-B65A-4E01372B40A1}" type="sibTrans" cxnId="{9DEAC824-100D-466D-B18A-832AB79E8635}">
      <dgm:prSet/>
      <dgm:spPr/>
      <dgm:t>
        <a:bodyPr/>
        <a:lstStyle/>
        <a:p>
          <a:endParaRPr lang="en-GB"/>
        </a:p>
      </dgm:t>
    </dgm:pt>
    <dgm:pt modelId="{96FE3CEF-5711-4C04-80FF-219683245C54}">
      <dgm:prSet phldrT="[Text]" custT="1"/>
      <dgm:spPr/>
      <dgm:t>
        <a:bodyPr/>
        <a:lstStyle/>
        <a:p>
          <a:r>
            <a:rPr lang="en-GB" sz="1050" b="1"/>
            <a:t>PRESS</a:t>
          </a:r>
          <a:r>
            <a:rPr lang="en-GB" sz="1050"/>
            <a:t> 'Create Assessment' to allow your entity to input data for the reporting period</a:t>
          </a:r>
        </a:p>
      </dgm:t>
    </dgm:pt>
    <dgm:pt modelId="{0251336B-6483-488B-8ECB-88928BEC41D4}" type="parTrans" cxnId="{A5AF589A-88C3-48B5-8972-26486B229396}">
      <dgm:prSet/>
      <dgm:spPr/>
      <dgm:t>
        <a:bodyPr/>
        <a:lstStyle/>
        <a:p>
          <a:endParaRPr lang="en-GB"/>
        </a:p>
      </dgm:t>
    </dgm:pt>
    <dgm:pt modelId="{3E9AB2A0-9731-4580-8FBA-F220C5447A53}" type="sibTrans" cxnId="{A5AF589A-88C3-48B5-8972-26486B229396}">
      <dgm:prSet/>
      <dgm:spPr/>
      <dgm:t>
        <a:bodyPr/>
        <a:lstStyle/>
        <a:p>
          <a:endParaRPr lang="en-GB"/>
        </a:p>
      </dgm:t>
    </dgm:pt>
    <dgm:pt modelId="{DCF91930-5D66-44D1-A93F-DFF4A450D72F}">
      <dgm:prSet phldrT="[Text]" custT="1"/>
      <dgm:spPr/>
      <dgm:t>
        <a:bodyPr/>
        <a:lstStyle/>
        <a:p>
          <a:r>
            <a:rPr lang="en-GB" sz="1050" i="1"/>
            <a:t>Creates the assessment form for the reporting period</a:t>
          </a:r>
          <a:br>
            <a:rPr lang="en-GB" sz="1050" i="1"/>
          </a:br>
          <a:r>
            <a:rPr lang="en-GB" sz="1050" i="1"/>
            <a:t/>
          </a:r>
          <a:br>
            <a:rPr lang="en-GB" sz="1050" i="1"/>
          </a:br>
          <a:endParaRPr lang="en-GB" sz="1050" i="1"/>
        </a:p>
        <a:p>
          <a:endParaRPr lang="en-GB" sz="1050" i="1"/>
        </a:p>
      </dgm:t>
    </dgm:pt>
    <dgm:pt modelId="{A3588C53-4D5B-4B06-940C-9344F4880454}" type="parTrans" cxnId="{1D5869E7-1046-499F-90D2-E258D1FD2685}">
      <dgm:prSet/>
      <dgm:spPr/>
      <dgm:t>
        <a:bodyPr/>
        <a:lstStyle/>
        <a:p>
          <a:endParaRPr lang="en-GB"/>
        </a:p>
      </dgm:t>
    </dgm:pt>
    <dgm:pt modelId="{D0EB1DBF-473E-445D-ABC5-8B1991651128}" type="sibTrans" cxnId="{1D5869E7-1046-499F-90D2-E258D1FD2685}">
      <dgm:prSet/>
      <dgm:spPr/>
      <dgm:t>
        <a:bodyPr/>
        <a:lstStyle/>
        <a:p>
          <a:endParaRPr lang="en-GB"/>
        </a:p>
      </dgm:t>
    </dgm:pt>
    <dgm:pt modelId="{C9A0ACE1-5B6D-4AFA-AEEC-E494BEB2CADD}">
      <dgm:prSet phldrT="[Text]" custT="1"/>
      <dgm:spPr/>
      <dgm:t>
        <a:bodyPr/>
        <a:lstStyle/>
        <a:p>
          <a:endParaRPr lang="en-GB" sz="1050"/>
        </a:p>
      </dgm:t>
    </dgm:pt>
    <dgm:pt modelId="{13067FE7-5BD2-418C-B320-1B2D4FA3703E}" type="parTrans" cxnId="{25055136-33FB-49C9-91CE-90F849553BF1}">
      <dgm:prSet/>
      <dgm:spPr/>
      <dgm:t>
        <a:bodyPr/>
        <a:lstStyle/>
        <a:p>
          <a:endParaRPr lang="en-GB"/>
        </a:p>
      </dgm:t>
    </dgm:pt>
    <dgm:pt modelId="{1013AA36-9903-4D1F-87F2-300FF5223A5D}" type="sibTrans" cxnId="{25055136-33FB-49C9-91CE-90F849553BF1}">
      <dgm:prSet/>
      <dgm:spPr/>
      <dgm:t>
        <a:bodyPr/>
        <a:lstStyle/>
        <a:p>
          <a:endParaRPr lang="en-GB"/>
        </a:p>
      </dgm:t>
    </dgm:pt>
    <dgm:pt modelId="{0B43E711-A757-4C3B-A04A-1FE01518AC30}">
      <dgm:prSet phldrT="[Text]" custT="1"/>
      <dgm:spPr/>
      <dgm:t>
        <a:bodyPr/>
        <a:lstStyle/>
        <a:p>
          <a:endParaRPr lang="en-GB" sz="1050"/>
        </a:p>
      </dgm:t>
    </dgm:pt>
    <dgm:pt modelId="{30076DA3-E5CA-4A7F-8305-1581CDF8677E}" type="parTrans" cxnId="{41C4870D-4B53-41B6-ACEB-D2D41F10EE7D}">
      <dgm:prSet/>
      <dgm:spPr/>
      <dgm:t>
        <a:bodyPr/>
        <a:lstStyle/>
        <a:p>
          <a:endParaRPr lang="en-GB"/>
        </a:p>
      </dgm:t>
    </dgm:pt>
    <dgm:pt modelId="{0D1A86C5-B9B5-46D0-9F2D-3F11B560F3A6}" type="sibTrans" cxnId="{41C4870D-4B53-41B6-ACEB-D2D41F10EE7D}">
      <dgm:prSet/>
      <dgm:spPr/>
      <dgm:t>
        <a:bodyPr/>
        <a:lstStyle/>
        <a:p>
          <a:endParaRPr lang="en-GB"/>
        </a:p>
      </dgm:t>
    </dgm:pt>
    <dgm:pt modelId="{9E49B60B-B7D6-4BCE-B492-13A510139563}">
      <dgm:prSet phldrT="[Text]" custT="1"/>
      <dgm:spPr/>
      <dgm:t>
        <a:bodyPr/>
        <a:lstStyle/>
        <a:p>
          <a:endParaRPr lang="en-GB" sz="1050"/>
        </a:p>
      </dgm:t>
    </dgm:pt>
    <dgm:pt modelId="{A12357EC-065C-4BC9-A147-BB33BDD9A627}" type="parTrans" cxnId="{FDC4C036-5887-4EB2-9569-73287290BFE5}">
      <dgm:prSet/>
      <dgm:spPr/>
      <dgm:t>
        <a:bodyPr/>
        <a:lstStyle/>
        <a:p>
          <a:endParaRPr lang="en-GB"/>
        </a:p>
      </dgm:t>
    </dgm:pt>
    <dgm:pt modelId="{DB385F12-B4B5-4EF6-9E54-2DCB2F4C4E92}" type="sibTrans" cxnId="{FDC4C036-5887-4EB2-9569-73287290BFE5}">
      <dgm:prSet/>
      <dgm:spPr/>
      <dgm:t>
        <a:bodyPr/>
        <a:lstStyle/>
        <a:p>
          <a:endParaRPr lang="en-GB"/>
        </a:p>
      </dgm:t>
    </dgm:pt>
    <dgm:pt modelId="{FCEB75C5-820A-49B8-8CEA-C802F82AE3C7}">
      <dgm:prSet phldrT="[Text]" custT="1"/>
      <dgm:spPr/>
      <dgm:t>
        <a:bodyPr/>
        <a:lstStyle/>
        <a:p>
          <a:r>
            <a:rPr lang="en-GB" sz="1050" b="1"/>
            <a:t>PRESS</a:t>
          </a:r>
          <a:r>
            <a:rPr lang="en-GB" sz="1050"/>
            <a:t> 'Next Step' to continue</a:t>
          </a:r>
        </a:p>
      </dgm:t>
    </dgm:pt>
    <dgm:pt modelId="{41D140EB-8F45-4729-94A2-8383E75AAD30}" type="parTrans" cxnId="{9BD768A2-1BC2-4099-8719-E7DB1EEA3B87}">
      <dgm:prSet/>
      <dgm:spPr/>
      <dgm:t>
        <a:bodyPr/>
        <a:lstStyle/>
        <a:p>
          <a:endParaRPr lang="en-GB"/>
        </a:p>
      </dgm:t>
    </dgm:pt>
    <dgm:pt modelId="{03EDF6B1-1F75-48E2-9D82-0827264EC635}" type="sibTrans" cxnId="{9BD768A2-1BC2-4099-8719-E7DB1EEA3B87}">
      <dgm:prSet/>
      <dgm:spPr/>
      <dgm:t>
        <a:bodyPr/>
        <a:lstStyle/>
        <a:p>
          <a:endParaRPr lang="en-GB"/>
        </a:p>
      </dgm:t>
    </dgm:pt>
    <dgm:pt modelId="{31806200-A106-426A-ACE2-9E95CA64C5D2}">
      <dgm:prSet phldrT="[Text]" custT="1"/>
      <dgm:spPr/>
      <dgm:t>
        <a:bodyPr/>
        <a:lstStyle/>
        <a:p>
          <a:endParaRPr lang="en-GB" sz="1050"/>
        </a:p>
      </dgm:t>
    </dgm:pt>
    <dgm:pt modelId="{7FE4B5AC-4AEE-4E64-B927-40173C5E969D}" type="parTrans" cxnId="{9895F138-0C3A-401E-8526-CB00D244FF52}">
      <dgm:prSet/>
      <dgm:spPr/>
      <dgm:t>
        <a:bodyPr/>
        <a:lstStyle/>
        <a:p>
          <a:endParaRPr lang="en-GB"/>
        </a:p>
      </dgm:t>
    </dgm:pt>
    <dgm:pt modelId="{6AE77B1C-3B71-4203-81F8-F0F2F607A29A}" type="sibTrans" cxnId="{9895F138-0C3A-401E-8526-CB00D244FF52}">
      <dgm:prSet/>
      <dgm:spPr/>
      <dgm:t>
        <a:bodyPr/>
        <a:lstStyle/>
        <a:p>
          <a:endParaRPr lang="en-GB"/>
        </a:p>
      </dgm:t>
    </dgm:pt>
    <dgm:pt modelId="{5FB16EB5-0104-415C-9BF0-DF275F957DFA}" type="pres">
      <dgm:prSet presAssocID="{32083258-2E99-465D-9867-6414C25F202C}" presName="Name0" presStyleCnt="0">
        <dgm:presLayoutVars>
          <dgm:dir/>
          <dgm:animLvl val="lvl"/>
          <dgm:resizeHandles val="exact"/>
        </dgm:presLayoutVars>
      </dgm:prSet>
      <dgm:spPr/>
      <dgm:t>
        <a:bodyPr/>
        <a:lstStyle/>
        <a:p>
          <a:endParaRPr lang="en-GB"/>
        </a:p>
      </dgm:t>
    </dgm:pt>
    <dgm:pt modelId="{98EC831A-901A-4156-AE28-BDFD1E5E0000}" type="pres">
      <dgm:prSet presAssocID="{6C65C8DF-F95B-4729-9ECE-6EB970A74D19}" presName="compositeNode" presStyleCnt="0">
        <dgm:presLayoutVars>
          <dgm:bulletEnabled val="1"/>
        </dgm:presLayoutVars>
      </dgm:prSet>
      <dgm:spPr/>
    </dgm:pt>
    <dgm:pt modelId="{2F20B4F0-F06F-4760-9371-533DB826DEDD}" type="pres">
      <dgm:prSet presAssocID="{6C65C8DF-F95B-4729-9ECE-6EB970A74D19}" presName="bgRect" presStyleLbl="node1" presStyleIdx="0" presStyleCnt="4" custScaleY="185838" custLinFactNeighborX="1623" custLinFactNeighborY="-994"/>
      <dgm:spPr/>
      <dgm:t>
        <a:bodyPr/>
        <a:lstStyle/>
        <a:p>
          <a:endParaRPr lang="en-GB"/>
        </a:p>
      </dgm:t>
    </dgm:pt>
    <dgm:pt modelId="{0F099839-A13A-4471-B988-1532F3A9EA61}" type="pres">
      <dgm:prSet presAssocID="{6C65C8DF-F95B-4729-9ECE-6EB970A74D19}" presName="parentNode" presStyleLbl="node1" presStyleIdx="0" presStyleCnt="4">
        <dgm:presLayoutVars>
          <dgm:chMax val="0"/>
          <dgm:bulletEnabled val="1"/>
        </dgm:presLayoutVars>
      </dgm:prSet>
      <dgm:spPr/>
      <dgm:t>
        <a:bodyPr/>
        <a:lstStyle/>
        <a:p>
          <a:endParaRPr lang="en-GB"/>
        </a:p>
      </dgm:t>
    </dgm:pt>
    <dgm:pt modelId="{82F4A98E-45A1-43AD-A778-D5FE0D2C10EE}" type="pres">
      <dgm:prSet presAssocID="{6C65C8DF-F95B-4729-9ECE-6EB970A74D19}" presName="childNode" presStyleLbl="node1" presStyleIdx="0" presStyleCnt="4">
        <dgm:presLayoutVars>
          <dgm:bulletEnabled val="1"/>
        </dgm:presLayoutVars>
      </dgm:prSet>
      <dgm:spPr/>
      <dgm:t>
        <a:bodyPr/>
        <a:lstStyle/>
        <a:p>
          <a:endParaRPr lang="en-GB"/>
        </a:p>
      </dgm:t>
    </dgm:pt>
    <dgm:pt modelId="{00FDDC15-A9B9-475D-BDF0-5ED2C05729C0}" type="pres">
      <dgm:prSet presAssocID="{62DE87A3-6F87-40C5-9CFC-A74B792EC6AB}" presName="hSp" presStyleCnt="0"/>
      <dgm:spPr/>
    </dgm:pt>
    <dgm:pt modelId="{688AC1DB-3533-4C42-869F-492A94444A2F}" type="pres">
      <dgm:prSet presAssocID="{62DE87A3-6F87-40C5-9CFC-A74B792EC6AB}" presName="vProcSp" presStyleCnt="0"/>
      <dgm:spPr/>
    </dgm:pt>
    <dgm:pt modelId="{834F9BCC-E7EB-4536-8A5A-32D874CCC557}" type="pres">
      <dgm:prSet presAssocID="{62DE87A3-6F87-40C5-9CFC-A74B792EC6AB}" presName="vSp1" presStyleCnt="0"/>
      <dgm:spPr/>
    </dgm:pt>
    <dgm:pt modelId="{7ADB7F9C-6262-4088-BF19-EE1A27E58470}" type="pres">
      <dgm:prSet presAssocID="{62DE87A3-6F87-40C5-9CFC-A74B792EC6AB}" presName="simulatedConn" presStyleLbl="solidFgAcc1" presStyleIdx="0" presStyleCnt="3" custLinFactY="300000" custLinFactNeighborY="362040"/>
      <dgm:spPr/>
    </dgm:pt>
    <dgm:pt modelId="{3D10E3E8-6318-4048-ADEB-C240C0E77076}" type="pres">
      <dgm:prSet presAssocID="{62DE87A3-6F87-40C5-9CFC-A74B792EC6AB}" presName="vSp2" presStyleCnt="0"/>
      <dgm:spPr/>
    </dgm:pt>
    <dgm:pt modelId="{D9315FD6-54FE-4109-9EF4-BBEEF09ACEBF}" type="pres">
      <dgm:prSet presAssocID="{62DE87A3-6F87-40C5-9CFC-A74B792EC6AB}" presName="sibTrans" presStyleCnt="0"/>
      <dgm:spPr/>
    </dgm:pt>
    <dgm:pt modelId="{7FE660F2-F57B-46B9-8A46-71C9EEE80865}" type="pres">
      <dgm:prSet presAssocID="{C4B7315A-1A79-4187-B672-EA972C94679D}" presName="compositeNode" presStyleCnt="0">
        <dgm:presLayoutVars>
          <dgm:bulletEnabled val="1"/>
        </dgm:presLayoutVars>
      </dgm:prSet>
      <dgm:spPr/>
    </dgm:pt>
    <dgm:pt modelId="{606E2540-CDE4-4334-9AA9-675CA7C7A664}" type="pres">
      <dgm:prSet presAssocID="{C4B7315A-1A79-4187-B672-EA972C94679D}" presName="bgRect" presStyleLbl="node1" presStyleIdx="1" presStyleCnt="4" custScaleY="185838"/>
      <dgm:spPr/>
      <dgm:t>
        <a:bodyPr/>
        <a:lstStyle/>
        <a:p>
          <a:endParaRPr lang="en-GB"/>
        </a:p>
      </dgm:t>
    </dgm:pt>
    <dgm:pt modelId="{47CCC4A7-2D4A-4CAD-8652-F7D138B181E5}" type="pres">
      <dgm:prSet presAssocID="{C4B7315A-1A79-4187-B672-EA972C94679D}" presName="parentNode" presStyleLbl="node1" presStyleIdx="1" presStyleCnt="4">
        <dgm:presLayoutVars>
          <dgm:chMax val="0"/>
          <dgm:bulletEnabled val="1"/>
        </dgm:presLayoutVars>
      </dgm:prSet>
      <dgm:spPr/>
      <dgm:t>
        <a:bodyPr/>
        <a:lstStyle/>
        <a:p>
          <a:endParaRPr lang="en-GB"/>
        </a:p>
      </dgm:t>
    </dgm:pt>
    <dgm:pt modelId="{F479EDF8-CB69-4DBC-B939-E8A8A7BBFC5B}" type="pres">
      <dgm:prSet presAssocID="{C4B7315A-1A79-4187-B672-EA972C94679D}" presName="childNode" presStyleLbl="node1" presStyleIdx="1" presStyleCnt="4">
        <dgm:presLayoutVars>
          <dgm:bulletEnabled val="1"/>
        </dgm:presLayoutVars>
      </dgm:prSet>
      <dgm:spPr/>
      <dgm:t>
        <a:bodyPr/>
        <a:lstStyle/>
        <a:p>
          <a:endParaRPr lang="en-GB"/>
        </a:p>
      </dgm:t>
    </dgm:pt>
    <dgm:pt modelId="{53A5F35D-D3B4-41EE-A64D-CA919E317630}" type="pres">
      <dgm:prSet presAssocID="{D6029F4C-30BC-429D-900B-45ACB796F0C0}" presName="hSp" presStyleCnt="0"/>
      <dgm:spPr/>
    </dgm:pt>
    <dgm:pt modelId="{28104964-19CA-4649-8CDF-2EFF9302E76C}" type="pres">
      <dgm:prSet presAssocID="{D6029F4C-30BC-429D-900B-45ACB796F0C0}" presName="vProcSp" presStyleCnt="0"/>
      <dgm:spPr/>
    </dgm:pt>
    <dgm:pt modelId="{B39138DD-3045-4F61-92C6-08CEFA513F51}" type="pres">
      <dgm:prSet presAssocID="{D6029F4C-30BC-429D-900B-45ACB796F0C0}" presName="vSp1" presStyleCnt="0"/>
      <dgm:spPr/>
    </dgm:pt>
    <dgm:pt modelId="{DC2F2997-DB48-40A6-9A9F-2576AB3939C0}" type="pres">
      <dgm:prSet presAssocID="{D6029F4C-30BC-429D-900B-45ACB796F0C0}" presName="simulatedConn" presStyleLbl="solidFgAcc1" presStyleIdx="1" presStyleCnt="3" custLinFactY="300000" custLinFactNeighborY="362040"/>
      <dgm:spPr/>
    </dgm:pt>
    <dgm:pt modelId="{74745D5C-6CB4-490C-AE7E-81BA55A73167}" type="pres">
      <dgm:prSet presAssocID="{D6029F4C-30BC-429D-900B-45ACB796F0C0}" presName="vSp2" presStyleCnt="0"/>
      <dgm:spPr/>
    </dgm:pt>
    <dgm:pt modelId="{BB225FCB-17F6-4827-8E9D-520F6D5A4F6A}" type="pres">
      <dgm:prSet presAssocID="{D6029F4C-30BC-429D-900B-45ACB796F0C0}" presName="sibTrans" presStyleCnt="0"/>
      <dgm:spPr/>
    </dgm:pt>
    <dgm:pt modelId="{1F455850-6F61-4E75-93AE-665F5E491640}" type="pres">
      <dgm:prSet presAssocID="{D07F348F-46FF-463E-8087-E9CAC5FADF83}" presName="compositeNode" presStyleCnt="0">
        <dgm:presLayoutVars>
          <dgm:bulletEnabled val="1"/>
        </dgm:presLayoutVars>
      </dgm:prSet>
      <dgm:spPr/>
    </dgm:pt>
    <dgm:pt modelId="{6E8D925E-ECCE-4EF3-A462-D80AF5E5544F}" type="pres">
      <dgm:prSet presAssocID="{D07F348F-46FF-463E-8087-E9CAC5FADF83}" presName="bgRect" presStyleLbl="node1" presStyleIdx="2" presStyleCnt="4" custScaleY="185838"/>
      <dgm:spPr/>
      <dgm:t>
        <a:bodyPr/>
        <a:lstStyle/>
        <a:p>
          <a:endParaRPr lang="en-GB"/>
        </a:p>
      </dgm:t>
    </dgm:pt>
    <dgm:pt modelId="{F0F49704-407F-4E40-872F-D821678F74D8}" type="pres">
      <dgm:prSet presAssocID="{D07F348F-46FF-463E-8087-E9CAC5FADF83}" presName="parentNode" presStyleLbl="node1" presStyleIdx="2" presStyleCnt="4">
        <dgm:presLayoutVars>
          <dgm:chMax val="0"/>
          <dgm:bulletEnabled val="1"/>
        </dgm:presLayoutVars>
      </dgm:prSet>
      <dgm:spPr/>
      <dgm:t>
        <a:bodyPr/>
        <a:lstStyle/>
        <a:p>
          <a:endParaRPr lang="en-GB"/>
        </a:p>
      </dgm:t>
    </dgm:pt>
    <dgm:pt modelId="{114629E4-36D1-412A-9CAB-20D8A69368DC}" type="pres">
      <dgm:prSet presAssocID="{D07F348F-46FF-463E-8087-E9CAC5FADF83}" presName="childNode" presStyleLbl="node1" presStyleIdx="2" presStyleCnt="4">
        <dgm:presLayoutVars>
          <dgm:bulletEnabled val="1"/>
        </dgm:presLayoutVars>
      </dgm:prSet>
      <dgm:spPr/>
      <dgm:t>
        <a:bodyPr/>
        <a:lstStyle/>
        <a:p>
          <a:endParaRPr lang="en-GB"/>
        </a:p>
      </dgm:t>
    </dgm:pt>
    <dgm:pt modelId="{58347EE9-E698-467C-9943-98CC60C51F10}" type="pres">
      <dgm:prSet presAssocID="{94398159-0F70-4744-B497-165350DBB7E4}" presName="hSp" presStyleCnt="0"/>
      <dgm:spPr/>
    </dgm:pt>
    <dgm:pt modelId="{155DA380-BCF2-45A4-BE4B-36722E511057}" type="pres">
      <dgm:prSet presAssocID="{94398159-0F70-4744-B497-165350DBB7E4}" presName="vProcSp" presStyleCnt="0"/>
      <dgm:spPr/>
    </dgm:pt>
    <dgm:pt modelId="{C6A41084-D619-4FC4-B178-9EE4A324AF29}" type="pres">
      <dgm:prSet presAssocID="{94398159-0F70-4744-B497-165350DBB7E4}" presName="vSp1" presStyleCnt="0"/>
      <dgm:spPr/>
    </dgm:pt>
    <dgm:pt modelId="{2819C0AC-71E4-4D9E-9624-46446DDE511A}" type="pres">
      <dgm:prSet presAssocID="{94398159-0F70-4744-B497-165350DBB7E4}" presName="simulatedConn" presStyleLbl="solidFgAcc1" presStyleIdx="2" presStyleCnt="3" custLinFactY="300000" custLinFactNeighborY="362040"/>
      <dgm:spPr/>
    </dgm:pt>
    <dgm:pt modelId="{2FC1828C-D1AF-4F09-9B90-87C51BE03DD4}" type="pres">
      <dgm:prSet presAssocID="{94398159-0F70-4744-B497-165350DBB7E4}" presName="vSp2" presStyleCnt="0"/>
      <dgm:spPr/>
    </dgm:pt>
    <dgm:pt modelId="{32C153C4-56E5-4522-AB84-FA9763D3DF60}" type="pres">
      <dgm:prSet presAssocID="{94398159-0F70-4744-B497-165350DBB7E4}" presName="sibTrans" presStyleCnt="0"/>
      <dgm:spPr/>
    </dgm:pt>
    <dgm:pt modelId="{7E361116-C26C-466A-897D-D8A219645D7E}" type="pres">
      <dgm:prSet presAssocID="{22019B46-4D84-4808-987D-A2C2277E51B2}" presName="compositeNode" presStyleCnt="0">
        <dgm:presLayoutVars>
          <dgm:bulletEnabled val="1"/>
        </dgm:presLayoutVars>
      </dgm:prSet>
      <dgm:spPr/>
    </dgm:pt>
    <dgm:pt modelId="{3D4AF6E9-D347-46DF-91DF-217D6AE56341}" type="pres">
      <dgm:prSet presAssocID="{22019B46-4D84-4808-987D-A2C2277E51B2}" presName="bgRect" presStyleLbl="node1" presStyleIdx="3" presStyleCnt="4" custScaleY="185838" custLinFactNeighborX="166" custLinFactNeighborY="0"/>
      <dgm:spPr/>
      <dgm:t>
        <a:bodyPr/>
        <a:lstStyle/>
        <a:p>
          <a:endParaRPr lang="en-GB"/>
        </a:p>
      </dgm:t>
    </dgm:pt>
    <dgm:pt modelId="{61CD8126-584E-4311-844E-1E2976DD3AAD}" type="pres">
      <dgm:prSet presAssocID="{22019B46-4D84-4808-987D-A2C2277E51B2}" presName="parentNode" presStyleLbl="node1" presStyleIdx="3" presStyleCnt="4">
        <dgm:presLayoutVars>
          <dgm:chMax val="0"/>
          <dgm:bulletEnabled val="1"/>
        </dgm:presLayoutVars>
      </dgm:prSet>
      <dgm:spPr/>
      <dgm:t>
        <a:bodyPr/>
        <a:lstStyle/>
        <a:p>
          <a:endParaRPr lang="en-GB"/>
        </a:p>
      </dgm:t>
    </dgm:pt>
    <dgm:pt modelId="{53907D1D-9F25-47CB-A790-FDDCBA363FE1}" type="pres">
      <dgm:prSet presAssocID="{22019B46-4D84-4808-987D-A2C2277E51B2}" presName="childNode" presStyleLbl="node1" presStyleIdx="3" presStyleCnt="4">
        <dgm:presLayoutVars>
          <dgm:bulletEnabled val="1"/>
        </dgm:presLayoutVars>
      </dgm:prSet>
      <dgm:spPr/>
      <dgm:t>
        <a:bodyPr/>
        <a:lstStyle/>
        <a:p>
          <a:endParaRPr lang="en-GB"/>
        </a:p>
      </dgm:t>
    </dgm:pt>
  </dgm:ptLst>
  <dgm:cxnLst>
    <dgm:cxn modelId="{79BB03EC-D06F-4DDF-9C6E-ADB90170542A}" type="presOf" srcId="{96FE3CEF-5711-4C04-80FF-219683245C54}" destId="{53907D1D-9F25-47CB-A790-FDDCBA363FE1}" srcOrd="0" destOrd="1" presId="urn:microsoft.com/office/officeart/2005/8/layout/hProcess7"/>
    <dgm:cxn modelId="{9895F138-0C3A-401E-8526-CB00D244FF52}" srcId="{9CD3BB95-565F-4D3E-805A-D47F52020B27}" destId="{31806200-A106-426A-ACE2-9E95CA64C5D2}" srcOrd="3" destOrd="0" parTransId="{7FE4B5AC-4AEE-4E64-B927-40173C5E969D}" sibTransId="{6AE77B1C-3B71-4203-81F8-F0F2F607A29A}"/>
    <dgm:cxn modelId="{E4CD5FFF-FA6A-497F-A049-52174A115030}" type="presOf" srcId="{F8EC4F7F-10B4-4DD1-9AE4-5BB2E5A4A005}" destId="{114629E4-36D1-412A-9CAB-20D8A69368DC}" srcOrd="0" destOrd="5" presId="urn:microsoft.com/office/officeart/2005/8/layout/hProcess7"/>
    <dgm:cxn modelId="{1D5869E7-1046-499F-90D2-E258D1FD2685}" srcId="{22019B46-4D84-4808-987D-A2C2277E51B2}" destId="{DCF91930-5D66-44D1-A93F-DFF4A450D72F}" srcOrd="0" destOrd="0" parTransId="{A3588C53-4D5B-4B06-940C-9344F4880454}" sibTransId="{D0EB1DBF-473E-445D-ABC5-8B1991651128}"/>
    <dgm:cxn modelId="{41C4870D-4B53-41B6-ACEB-D2D41F10EE7D}" srcId="{D910FC07-9464-4D1A-B9A1-76C735030FCE}" destId="{0B43E711-A757-4C3B-A04A-1FE01518AC30}" srcOrd="3" destOrd="0" parTransId="{30076DA3-E5CA-4A7F-8305-1581CDF8677E}" sibTransId="{0D1A86C5-B9B5-46D0-9F2D-3F11B560F3A6}"/>
    <dgm:cxn modelId="{9DEAC824-100D-466D-B18A-832AB79E8635}" srcId="{D07F348F-46FF-463E-8087-E9CAC5FADF83}" destId="{F8EC4F7F-10B4-4DD1-9AE4-5BB2E5A4A005}" srcOrd="1" destOrd="0" parTransId="{4999902A-14E7-4D42-A90C-5B8CFFA68F10}" sibTransId="{DE641785-6E22-4CD4-B65A-4E01372B40A1}"/>
    <dgm:cxn modelId="{FDC4C036-5887-4EB2-9569-73287290BFE5}" srcId="{D910FC07-9464-4D1A-B9A1-76C735030FCE}" destId="{9E49B60B-B7D6-4BCE-B492-13A510139563}" srcOrd="1" destOrd="0" parTransId="{A12357EC-065C-4BC9-A147-BB33BDD9A627}" sibTransId="{DB385F12-B4B5-4EF6-9E54-2DCB2F4C4E92}"/>
    <dgm:cxn modelId="{8655791D-B664-4317-9AB2-F249C7611F43}" type="presOf" srcId="{D07F348F-46FF-463E-8087-E9CAC5FADF83}" destId="{6E8D925E-ECCE-4EF3-A462-D80AF5E5544F}" srcOrd="0" destOrd="0" presId="urn:microsoft.com/office/officeart/2005/8/layout/hProcess7"/>
    <dgm:cxn modelId="{618D8682-039E-4D85-8EA1-E727694D6F2F}" type="presOf" srcId="{D910FC07-9464-4D1A-B9A1-76C735030FCE}" destId="{114629E4-36D1-412A-9CAB-20D8A69368DC}" srcOrd="0" destOrd="0" presId="urn:microsoft.com/office/officeart/2005/8/layout/hProcess7"/>
    <dgm:cxn modelId="{949D6D1F-4223-415E-822F-9AB673D95BFF}" type="presOf" srcId="{11FF6C0D-DFE6-46AA-B0AC-12D47AA605C1}" destId="{114629E4-36D1-412A-9CAB-20D8A69368DC}" srcOrd="0" destOrd="3" presId="urn:microsoft.com/office/officeart/2005/8/layout/hProcess7"/>
    <dgm:cxn modelId="{83CE49B1-E1C4-475D-A9E8-50A826CCEBE7}" type="presOf" srcId="{2BD83D28-785B-4FB7-A4C4-DB69A24721F4}" destId="{F479EDF8-CB69-4DBC-B939-E8A8A7BBFC5B}" srcOrd="0" destOrd="2" presId="urn:microsoft.com/office/officeart/2005/8/layout/hProcess7"/>
    <dgm:cxn modelId="{5497F7A2-AA27-496C-A3C4-363CAF1E30E3}" type="presOf" srcId="{6C65C8DF-F95B-4729-9ECE-6EB970A74D19}" destId="{0F099839-A13A-4471-B988-1532F3A9EA61}" srcOrd="1" destOrd="0" presId="urn:microsoft.com/office/officeart/2005/8/layout/hProcess7"/>
    <dgm:cxn modelId="{7A8D9518-40D2-41B1-8601-2B3C841699FF}" type="presOf" srcId="{BC7451F3-5CDA-444C-A6CD-0751226D9D18}" destId="{F479EDF8-CB69-4DBC-B939-E8A8A7BBFC5B}" srcOrd="0" destOrd="0" presId="urn:microsoft.com/office/officeart/2005/8/layout/hProcess7"/>
    <dgm:cxn modelId="{AA0CAE93-7AFA-4784-996D-82BFCFE8B630}" srcId="{32083258-2E99-465D-9867-6414C25F202C}" destId="{D07F348F-46FF-463E-8087-E9CAC5FADF83}" srcOrd="2" destOrd="0" parTransId="{91A52BD7-0385-4253-BBC6-B699C6C9630F}" sibTransId="{94398159-0F70-4744-B497-165350DBB7E4}"/>
    <dgm:cxn modelId="{7CD61BC3-3900-4375-A46E-840A78DC98C0}" type="presOf" srcId="{DCF91930-5D66-44D1-A93F-DFF4A450D72F}" destId="{53907D1D-9F25-47CB-A790-FDDCBA363FE1}" srcOrd="0" destOrd="0" presId="urn:microsoft.com/office/officeart/2005/8/layout/hProcess7"/>
    <dgm:cxn modelId="{3DC590E0-8FF4-4BFF-9152-A7ABF9BD1327}" type="presOf" srcId="{22019B46-4D84-4808-987D-A2C2277E51B2}" destId="{61CD8126-584E-4311-844E-1E2976DD3AAD}" srcOrd="1" destOrd="0" presId="urn:microsoft.com/office/officeart/2005/8/layout/hProcess7"/>
    <dgm:cxn modelId="{E1EDDFED-476F-44F5-81DF-0819E29B0A80}" type="presOf" srcId="{A75F50C0-3F4F-4F78-A9B4-56A7D5DC2B86}" destId="{82F4A98E-45A1-43AD-A778-D5FE0D2C10EE}" srcOrd="0" destOrd="0" presId="urn:microsoft.com/office/officeart/2005/8/layout/hProcess7"/>
    <dgm:cxn modelId="{7E58C829-08AE-49AB-A704-53B7FB04E9A3}" type="presOf" srcId="{9E49B60B-B7D6-4BCE-B492-13A510139563}" destId="{114629E4-36D1-412A-9CAB-20D8A69368DC}" srcOrd="0" destOrd="2" presId="urn:microsoft.com/office/officeart/2005/8/layout/hProcess7"/>
    <dgm:cxn modelId="{9940A479-A7B8-4FBE-956C-EE0F7FC16AC1}" type="presOf" srcId="{9CD3BB95-565F-4D3E-805A-D47F52020B27}" destId="{F479EDF8-CB69-4DBC-B939-E8A8A7BBFC5B}" srcOrd="0" destOrd="1" presId="urn:microsoft.com/office/officeart/2005/8/layout/hProcess7"/>
    <dgm:cxn modelId="{F6233B18-95CE-42FC-81BE-64C45D909E84}" type="presOf" srcId="{52CBD4AD-BDEA-4A5E-B0C5-03C953081359}" destId="{F479EDF8-CB69-4DBC-B939-E8A8A7BBFC5B}" srcOrd="0" destOrd="4" presId="urn:microsoft.com/office/officeart/2005/8/layout/hProcess7"/>
    <dgm:cxn modelId="{9BD768A2-1BC2-4099-8719-E7DB1EEA3B87}" srcId="{C4B7315A-1A79-4187-B672-EA972C94679D}" destId="{FCEB75C5-820A-49B8-8CEA-C802F82AE3C7}" srcOrd="2" destOrd="0" parTransId="{41D140EB-8F45-4729-94A2-8383E75AAD30}" sibTransId="{03EDF6B1-1F75-48E2-9D82-0827264EC635}"/>
    <dgm:cxn modelId="{14626EA7-D46A-4F5D-A94E-F4E363648982}" type="presOf" srcId="{6C65C8DF-F95B-4729-9ECE-6EB970A74D19}" destId="{2F20B4F0-F06F-4760-9371-533DB826DEDD}" srcOrd="0" destOrd="0" presId="urn:microsoft.com/office/officeart/2005/8/layout/hProcess7"/>
    <dgm:cxn modelId="{1EBC8FBC-3008-4F9B-BC07-7BFFD0A41458}" type="presOf" srcId="{F876FF9F-4E5A-4DBF-8F71-A00B00D5B423}" destId="{114629E4-36D1-412A-9CAB-20D8A69368DC}" srcOrd="0" destOrd="1" presId="urn:microsoft.com/office/officeart/2005/8/layout/hProcess7"/>
    <dgm:cxn modelId="{E487DFB5-FFB2-4B1D-82B8-957217F794F6}" srcId="{C4B7315A-1A79-4187-B672-EA972C94679D}" destId="{BC7451F3-5CDA-444C-A6CD-0751226D9D18}" srcOrd="0" destOrd="0" parTransId="{F27B7939-867B-4F65-9FB5-3F5341542F69}" sibTransId="{D9DF2930-493A-4604-8CF2-2B83AEC785FD}"/>
    <dgm:cxn modelId="{66FFF391-3A1C-4C9E-AAF2-409491BB2702}" type="presOf" srcId="{A0117A07-2F62-4A0D-B4D2-AE650A55E722}" destId="{82F4A98E-45A1-43AD-A778-D5FE0D2C10EE}" srcOrd="0" destOrd="1" presId="urn:microsoft.com/office/officeart/2005/8/layout/hProcess7"/>
    <dgm:cxn modelId="{474466FC-BFC1-43B2-B629-FF9FB7ADE41F}" srcId="{D910FC07-9464-4D1A-B9A1-76C735030FCE}" destId="{11FF6C0D-DFE6-46AA-B0AC-12D47AA605C1}" srcOrd="2" destOrd="0" parTransId="{39BA308D-33B6-41DA-B0A4-036BBB7009AD}" sibTransId="{07C5CC87-5D96-49C7-9DAF-8E4C6EF34356}"/>
    <dgm:cxn modelId="{6E4CE903-51DF-4955-AB45-5EEEC92F1630}" type="presOf" srcId="{32083258-2E99-465D-9867-6414C25F202C}" destId="{5FB16EB5-0104-415C-9BF0-DF275F957DFA}" srcOrd="0" destOrd="0" presId="urn:microsoft.com/office/officeart/2005/8/layout/hProcess7"/>
    <dgm:cxn modelId="{FB339225-2C40-47EA-9E2A-FA259582DEDA}" type="presOf" srcId="{0B43E711-A757-4C3B-A04A-1FE01518AC30}" destId="{114629E4-36D1-412A-9CAB-20D8A69368DC}" srcOrd="0" destOrd="4" presId="urn:microsoft.com/office/officeart/2005/8/layout/hProcess7"/>
    <dgm:cxn modelId="{8CCA8CD4-E72C-4A58-B283-A070CFBFBFE1}" srcId="{9CD3BB95-565F-4D3E-805A-D47F52020B27}" destId="{52CBD4AD-BDEA-4A5E-B0C5-03C953081359}" srcOrd="2" destOrd="0" parTransId="{728FB8DF-CF8D-47F2-B7F8-9DB3849C9E42}" sibTransId="{CAF83DE0-2243-49D4-8FC0-AFF36349DFD5}"/>
    <dgm:cxn modelId="{684030D2-A38C-4DFE-94D0-D9EECA5D48D1}" srcId="{6C65C8DF-F95B-4729-9ECE-6EB970A74D19}" destId="{A0117A07-2F62-4A0D-B4D2-AE650A55E722}" srcOrd="1" destOrd="0" parTransId="{3CFE7C9F-F9C5-40A9-B783-F0AC4AAF800A}" sibTransId="{7FFB793C-C872-4F9D-8A21-E0017C89D501}"/>
    <dgm:cxn modelId="{3AD4EEFF-AE96-4819-B9E4-E9D42201B22F}" srcId="{C4B7315A-1A79-4187-B672-EA972C94679D}" destId="{9CD3BB95-565F-4D3E-805A-D47F52020B27}" srcOrd="1" destOrd="0" parTransId="{732CBDB4-A952-4D16-8C82-ED5E17D94DD5}" sibTransId="{3A75AA22-E28A-4A71-A459-DFFEA4FD1C05}"/>
    <dgm:cxn modelId="{A634AA2D-1E80-488F-9E94-0BD46310EDDB}" srcId="{D07F348F-46FF-463E-8087-E9CAC5FADF83}" destId="{D910FC07-9464-4D1A-B9A1-76C735030FCE}" srcOrd="0" destOrd="0" parTransId="{48B80D2E-85A1-42F0-A969-DAFDF9E3D740}" sibTransId="{C74ADBF9-5F24-4CA4-AC32-9FFE89CDCB2E}"/>
    <dgm:cxn modelId="{0EFEAE15-B3AF-42C2-9308-89B288EDFAC2}" type="presOf" srcId="{31806200-A106-426A-ACE2-9E95CA64C5D2}" destId="{F479EDF8-CB69-4DBC-B939-E8A8A7BBFC5B}" srcOrd="0" destOrd="5" presId="urn:microsoft.com/office/officeart/2005/8/layout/hProcess7"/>
    <dgm:cxn modelId="{48691F60-1AF6-4881-89F2-2F20629ED001}" type="presOf" srcId="{22019B46-4D84-4808-987D-A2C2277E51B2}" destId="{3D4AF6E9-D347-46DF-91DF-217D6AE56341}" srcOrd="0" destOrd="0" presId="urn:microsoft.com/office/officeart/2005/8/layout/hProcess7"/>
    <dgm:cxn modelId="{65E0A901-8DE2-4707-B5B1-7C997E3B9DF0}" srcId="{9CD3BB95-565F-4D3E-805A-D47F52020B27}" destId="{2BD83D28-785B-4FB7-A4C4-DB69A24721F4}" srcOrd="0" destOrd="0" parTransId="{3A25884C-FB0B-43BF-979E-FFB4BA816D2B}" sibTransId="{89DE137F-6480-428D-956B-B153AE60B111}"/>
    <dgm:cxn modelId="{FED1C100-4CF4-4905-B8CB-7D1CB08FFDBB}" type="presOf" srcId="{C9A0ACE1-5B6D-4AFA-AEEC-E494BEB2CADD}" destId="{F479EDF8-CB69-4DBC-B939-E8A8A7BBFC5B}" srcOrd="0" destOrd="3" presId="urn:microsoft.com/office/officeart/2005/8/layout/hProcess7"/>
    <dgm:cxn modelId="{EFF74166-09C0-47B5-AA77-5FCE6D158B75}" srcId="{D910FC07-9464-4D1A-B9A1-76C735030FCE}" destId="{F876FF9F-4E5A-4DBF-8F71-A00B00D5B423}" srcOrd="0" destOrd="0" parTransId="{E6386B02-036E-4CFF-A118-C3BB9C7BD4FB}" sibTransId="{45027FEC-F648-4AA4-8C8E-DA427704E41E}"/>
    <dgm:cxn modelId="{BC62AA79-3517-45FC-9FAC-FD3966CA7145}" type="presOf" srcId="{C4B7315A-1A79-4187-B672-EA972C94679D}" destId="{47CCC4A7-2D4A-4CAD-8652-F7D138B181E5}" srcOrd="1" destOrd="0" presId="urn:microsoft.com/office/officeart/2005/8/layout/hProcess7"/>
    <dgm:cxn modelId="{942D198A-FD76-4AEF-9CD9-A7AE7BA9AD53}" type="presOf" srcId="{FCEB75C5-820A-49B8-8CEA-C802F82AE3C7}" destId="{F479EDF8-CB69-4DBC-B939-E8A8A7BBFC5B}" srcOrd="0" destOrd="6" presId="urn:microsoft.com/office/officeart/2005/8/layout/hProcess7"/>
    <dgm:cxn modelId="{A5AF589A-88C3-48B5-8972-26486B229396}" srcId="{22019B46-4D84-4808-987D-A2C2277E51B2}" destId="{96FE3CEF-5711-4C04-80FF-219683245C54}" srcOrd="1" destOrd="0" parTransId="{0251336B-6483-488B-8ECB-88928BEC41D4}" sibTransId="{3E9AB2A0-9731-4580-8FBA-F220C5447A53}"/>
    <dgm:cxn modelId="{94243911-BB44-44EE-8DAA-9EF6F68AFB7B}" type="presOf" srcId="{C4B7315A-1A79-4187-B672-EA972C94679D}" destId="{606E2540-CDE4-4334-9AA9-675CA7C7A664}" srcOrd="0" destOrd="0" presId="urn:microsoft.com/office/officeart/2005/8/layout/hProcess7"/>
    <dgm:cxn modelId="{32148383-4F3B-4687-BC65-FBD63ABCC85B}" type="presOf" srcId="{D07F348F-46FF-463E-8087-E9CAC5FADF83}" destId="{F0F49704-407F-4E40-872F-D821678F74D8}" srcOrd="1" destOrd="0" presId="urn:microsoft.com/office/officeart/2005/8/layout/hProcess7"/>
    <dgm:cxn modelId="{25055136-33FB-49C9-91CE-90F849553BF1}" srcId="{9CD3BB95-565F-4D3E-805A-D47F52020B27}" destId="{C9A0ACE1-5B6D-4AFA-AEEC-E494BEB2CADD}" srcOrd="1" destOrd="0" parTransId="{13067FE7-5BD2-418C-B320-1B2D4FA3703E}" sibTransId="{1013AA36-9903-4D1F-87F2-300FF5223A5D}"/>
    <dgm:cxn modelId="{0E4ABF1D-3DBA-4F67-AD5B-34C866192E28}" srcId="{32083258-2E99-465D-9867-6414C25F202C}" destId="{22019B46-4D84-4808-987D-A2C2277E51B2}" srcOrd="3" destOrd="0" parTransId="{AB8718D7-7FC1-46F2-92A9-C735C706D547}" sibTransId="{5942358D-AD99-4C4A-A291-406A809A5E4E}"/>
    <dgm:cxn modelId="{9C2B4196-F5E9-467B-B00E-1B7BD31F9B14}" srcId="{32083258-2E99-465D-9867-6414C25F202C}" destId="{6C65C8DF-F95B-4729-9ECE-6EB970A74D19}" srcOrd="0" destOrd="0" parTransId="{357AA1D0-3C62-44CE-97DE-6C379481ED81}" sibTransId="{62DE87A3-6F87-40C5-9CFC-A74B792EC6AB}"/>
    <dgm:cxn modelId="{123D1E0F-3E24-4491-8D3E-CED64520B0D8}" srcId="{6C65C8DF-F95B-4729-9ECE-6EB970A74D19}" destId="{A75F50C0-3F4F-4F78-A9B4-56A7D5DC2B86}" srcOrd="0" destOrd="0" parTransId="{7311954B-D9AC-4254-971F-546BD40B9F86}" sibTransId="{8A545D0B-C11B-4644-8831-2C6EF42D1ACA}"/>
    <dgm:cxn modelId="{1CAE5751-E16B-4B4F-8A0D-2A6BA9B92C8D}" srcId="{32083258-2E99-465D-9867-6414C25F202C}" destId="{C4B7315A-1A79-4187-B672-EA972C94679D}" srcOrd="1" destOrd="0" parTransId="{35A56878-4223-48E0-BA8A-ADD4D6551204}" sibTransId="{D6029F4C-30BC-429D-900B-45ACB796F0C0}"/>
    <dgm:cxn modelId="{D54096FF-3597-4630-9108-38FAE0E7C407}" type="presParOf" srcId="{5FB16EB5-0104-415C-9BF0-DF275F957DFA}" destId="{98EC831A-901A-4156-AE28-BDFD1E5E0000}" srcOrd="0" destOrd="0" presId="urn:microsoft.com/office/officeart/2005/8/layout/hProcess7"/>
    <dgm:cxn modelId="{CEFDBE40-4EB2-45EC-808A-DADD34A50992}" type="presParOf" srcId="{98EC831A-901A-4156-AE28-BDFD1E5E0000}" destId="{2F20B4F0-F06F-4760-9371-533DB826DEDD}" srcOrd="0" destOrd="0" presId="urn:microsoft.com/office/officeart/2005/8/layout/hProcess7"/>
    <dgm:cxn modelId="{22CA62B8-76DC-47B2-B96D-F84B5F90C41A}" type="presParOf" srcId="{98EC831A-901A-4156-AE28-BDFD1E5E0000}" destId="{0F099839-A13A-4471-B988-1532F3A9EA61}" srcOrd="1" destOrd="0" presId="urn:microsoft.com/office/officeart/2005/8/layout/hProcess7"/>
    <dgm:cxn modelId="{75030B8E-DD5E-47B4-A104-2B1606A14C8D}" type="presParOf" srcId="{98EC831A-901A-4156-AE28-BDFD1E5E0000}" destId="{82F4A98E-45A1-43AD-A778-D5FE0D2C10EE}" srcOrd="2" destOrd="0" presId="urn:microsoft.com/office/officeart/2005/8/layout/hProcess7"/>
    <dgm:cxn modelId="{8D734CCC-8C49-4A92-90A0-E3991ADEA59A}" type="presParOf" srcId="{5FB16EB5-0104-415C-9BF0-DF275F957DFA}" destId="{00FDDC15-A9B9-475D-BDF0-5ED2C05729C0}" srcOrd="1" destOrd="0" presId="urn:microsoft.com/office/officeart/2005/8/layout/hProcess7"/>
    <dgm:cxn modelId="{C77C2948-B3D2-4D22-9CE0-D0B72DE7F89C}" type="presParOf" srcId="{5FB16EB5-0104-415C-9BF0-DF275F957DFA}" destId="{688AC1DB-3533-4C42-869F-492A94444A2F}" srcOrd="2" destOrd="0" presId="urn:microsoft.com/office/officeart/2005/8/layout/hProcess7"/>
    <dgm:cxn modelId="{BB2718EE-2608-470A-BDAF-1A61C1310081}" type="presParOf" srcId="{688AC1DB-3533-4C42-869F-492A94444A2F}" destId="{834F9BCC-E7EB-4536-8A5A-32D874CCC557}" srcOrd="0" destOrd="0" presId="urn:microsoft.com/office/officeart/2005/8/layout/hProcess7"/>
    <dgm:cxn modelId="{7A839A93-9F2D-4715-82F2-0C30BE8B686E}" type="presParOf" srcId="{688AC1DB-3533-4C42-869F-492A94444A2F}" destId="{7ADB7F9C-6262-4088-BF19-EE1A27E58470}" srcOrd="1" destOrd="0" presId="urn:microsoft.com/office/officeart/2005/8/layout/hProcess7"/>
    <dgm:cxn modelId="{DD978A5A-6C69-4587-90AF-C4EFC346E42D}" type="presParOf" srcId="{688AC1DB-3533-4C42-869F-492A94444A2F}" destId="{3D10E3E8-6318-4048-ADEB-C240C0E77076}" srcOrd="2" destOrd="0" presId="urn:microsoft.com/office/officeart/2005/8/layout/hProcess7"/>
    <dgm:cxn modelId="{E2FF0D6A-246E-49DA-993F-A1A3C0F1C0D5}" type="presParOf" srcId="{5FB16EB5-0104-415C-9BF0-DF275F957DFA}" destId="{D9315FD6-54FE-4109-9EF4-BBEEF09ACEBF}" srcOrd="3" destOrd="0" presId="urn:microsoft.com/office/officeart/2005/8/layout/hProcess7"/>
    <dgm:cxn modelId="{E89E2B32-DBF3-45F5-B91F-C9E34E7399A1}" type="presParOf" srcId="{5FB16EB5-0104-415C-9BF0-DF275F957DFA}" destId="{7FE660F2-F57B-46B9-8A46-71C9EEE80865}" srcOrd="4" destOrd="0" presId="urn:microsoft.com/office/officeart/2005/8/layout/hProcess7"/>
    <dgm:cxn modelId="{D113A0CE-8288-40BE-A45A-239E7617F57E}" type="presParOf" srcId="{7FE660F2-F57B-46B9-8A46-71C9EEE80865}" destId="{606E2540-CDE4-4334-9AA9-675CA7C7A664}" srcOrd="0" destOrd="0" presId="urn:microsoft.com/office/officeart/2005/8/layout/hProcess7"/>
    <dgm:cxn modelId="{4A085F96-660B-4253-B867-FAB1D63F4DF5}" type="presParOf" srcId="{7FE660F2-F57B-46B9-8A46-71C9EEE80865}" destId="{47CCC4A7-2D4A-4CAD-8652-F7D138B181E5}" srcOrd="1" destOrd="0" presId="urn:microsoft.com/office/officeart/2005/8/layout/hProcess7"/>
    <dgm:cxn modelId="{B3B1AEBA-FE47-42A0-8F6A-5D0A42F5FE3A}" type="presParOf" srcId="{7FE660F2-F57B-46B9-8A46-71C9EEE80865}" destId="{F479EDF8-CB69-4DBC-B939-E8A8A7BBFC5B}" srcOrd="2" destOrd="0" presId="urn:microsoft.com/office/officeart/2005/8/layout/hProcess7"/>
    <dgm:cxn modelId="{7693180F-E622-4238-BB22-73891F582419}" type="presParOf" srcId="{5FB16EB5-0104-415C-9BF0-DF275F957DFA}" destId="{53A5F35D-D3B4-41EE-A64D-CA919E317630}" srcOrd="5" destOrd="0" presId="urn:microsoft.com/office/officeart/2005/8/layout/hProcess7"/>
    <dgm:cxn modelId="{FA8B3A73-F4D2-46E5-9338-03F1D5556CAC}" type="presParOf" srcId="{5FB16EB5-0104-415C-9BF0-DF275F957DFA}" destId="{28104964-19CA-4649-8CDF-2EFF9302E76C}" srcOrd="6" destOrd="0" presId="urn:microsoft.com/office/officeart/2005/8/layout/hProcess7"/>
    <dgm:cxn modelId="{2460444F-430C-4F32-A55E-C8A3E8670665}" type="presParOf" srcId="{28104964-19CA-4649-8CDF-2EFF9302E76C}" destId="{B39138DD-3045-4F61-92C6-08CEFA513F51}" srcOrd="0" destOrd="0" presId="urn:microsoft.com/office/officeart/2005/8/layout/hProcess7"/>
    <dgm:cxn modelId="{631D6AFC-FDD9-48DA-A000-C1C3F8A622BE}" type="presParOf" srcId="{28104964-19CA-4649-8CDF-2EFF9302E76C}" destId="{DC2F2997-DB48-40A6-9A9F-2576AB3939C0}" srcOrd="1" destOrd="0" presId="urn:microsoft.com/office/officeart/2005/8/layout/hProcess7"/>
    <dgm:cxn modelId="{45232B99-F02F-4D7E-A21D-4998F90CF134}" type="presParOf" srcId="{28104964-19CA-4649-8CDF-2EFF9302E76C}" destId="{74745D5C-6CB4-490C-AE7E-81BA55A73167}" srcOrd="2" destOrd="0" presId="urn:microsoft.com/office/officeart/2005/8/layout/hProcess7"/>
    <dgm:cxn modelId="{E7F572CB-799B-471A-9E67-2C4972E0C51D}" type="presParOf" srcId="{5FB16EB5-0104-415C-9BF0-DF275F957DFA}" destId="{BB225FCB-17F6-4827-8E9D-520F6D5A4F6A}" srcOrd="7" destOrd="0" presId="urn:microsoft.com/office/officeart/2005/8/layout/hProcess7"/>
    <dgm:cxn modelId="{12E65E78-67DE-4424-A1D9-1CDB9D5CE972}" type="presParOf" srcId="{5FB16EB5-0104-415C-9BF0-DF275F957DFA}" destId="{1F455850-6F61-4E75-93AE-665F5E491640}" srcOrd="8" destOrd="0" presId="urn:microsoft.com/office/officeart/2005/8/layout/hProcess7"/>
    <dgm:cxn modelId="{6CFEBEF2-54B2-4C90-8F19-A528CE1C1076}" type="presParOf" srcId="{1F455850-6F61-4E75-93AE-665F5E491640}" destId="{6E8D925E-ECCE-4EF3-A462-D80AF5E5544F}" srcOrd="0" destOrd="0" presId="urn:microsoft.com/office/officeart/2005/8/layout/hProcess7"/>
    <dgm:cxn modelId="{F3894DF3-22A5-46EC-83BF-6D5DB16109C8}" type="presParOf" srcId="{1F455850-6F61-4E75-93AE-665F5E491640}" destId="{F0F49704-407F-4E40-872F-D821678F74D8}" srcOrd="1" destOrd="0" presId="urn:microsoft.com/office/officeart/2005/8/layout/hProcess7"/>
    <dgm:cxn modelId="{C46B0E63-E50E-4DF1-A560-14E94430AEA8}" type="presParOf" srcId="{1F455850-6F61-4E75-93AE-665F5E491640}" destId="{114629E4-36D1-412A-9CAB-20D8A69368DC}" srcOrd="2" destOrd="0" presId="urn:microsoft.com/office/officeart/2005/8/layout/hProcess7"/>
    <dgm:cxn modelId="{D209A4AB-8DC5-463F-8C4C-59ABD1169364}" type="presParOf" srcId="{5FB16EB5-0104-415C-9BF0-DF275F957DFA}" destId="{58347EE9-E698-467C-9943-98CC60C51F10}" srcOrd="9" destOrd="0" presId="urn:microsoft.com/office/officeart/2005/8/layout/hProcess7"/>
    <dgm:cxn modelId="{57D887B8-89F3-4870-BFC8-776F0A319D2A}" type="presParOf" srcId="{5FB16EB5-0104-415C-9BF0-DF275F957DFA}" destId="{155DA380-BCF2-45A4-BE4B-36722E511057}" srcOrd="10" destOrd="0" presId="urn:microsoft.com/office/officeart/2005/8/layout/hProcess7"/>
    <dgm:cxn modelId="{B0C58784-CBC4-4BC9-9586-E8265890B793}" type="presParOf" srcId="{155DA380-BCF2-45A4-BE4B-36722E511057}" destId="{C6A41084-D619-4FC4-B178-9EE4A324AF29}" srcOrd="0" destOrd="0" presId="urn:microsoft.com/office/officeart/2005/8/layout/hProcess7"/>
    <dgm:cxn modelId="{FE78B881-78B2-4054-A612-7C45091E5DB7}" type="presParOf" srcId="{155DA380-BCF2-45A4-BE4B-36722E511057}" destId="{2819C0AC-71E4-4D9E-9624-46446DDE511A}" srcOrd="1" destOrd="0" presId="urn:microsoft.com/office/officeart/2005/8/layout/hProcess7"/>
    <dgm:cxn modelId="{1DF675B5-A471-4243-9B48-8C180D40888C}" type="presParOf" srcId="{155DA380-BCF2-45A4-BE4B-36722E511057}" destId="{2FC1828C-D1AF-4F09-9B90-87C51BE03DD4}" srcOrd="2" destOrd="0" presId="urn:microsoft.com/office/officeart/2005/8/layout/hProcess7"/>
    <dgm:cxn modelId="{A03304EA-97A0-488A-996F-CD8A7E535959}" type="presParOf" srcId="{5FB16EB5-0104-415C-9BF0-DF275F957DFA}" destId="{32C153C4-56E5-4522-AB84-FA9763D3DF60}" srcOrd="11" destOrd="0" presId="urn:microsoft.com/office/officeart/2005/8/layout/hProcess7"/>
    <dgm:cxn modelId="{36925653-5995-41AE-B275-ADD019BEADF9}" type="presParOf" srcId="{5FB16EB5-0104-415C-9BF0-DF275F957DFA}" destId="{7E361116-C26C-466A-897D-D8A219645D7E}" srcOrd="12" destOrd="0" presId="urn:microsoft.com/office/officeart/2005/8/layout/hProcess7"/>
    <dgm:cxn modelId="{3E29F26E-EA6D-4933-88F1-7339A55E62C5}" type="presParOf" srcId="{7E361116-C26C-466A-897D-D8A219645D7E}" destId="{3D4AF6E9-D347-46DF-91DF-217D6AE56341}" srcOrd="0" destOrd="0" presId="urn:microsoft.com/office/officeart/2005/8/layout/hProcess7"/>
    <dgm:cxn modelId="{A239AC1B-C8C0-431E-B233-18337B70DC24}" type="presParOf" srcId="{7E361116-C26C-466A-897D-D8A219645D7E}" destId="{61CD8126-584E-4311-844E-1E2976DD3AAD}" srcOrd="1" destOrd="0" presId="urn:microsoft.com/office/officeart/2005/8/layout/hProcess7"/>
    <dgm:cxn modelId="{31AF7DC5-E5E1-4091-A238-8D6BFF921F18}" type="presParOf" srcId="{7E361116-C26C-466A-897D-D8A219645D7E}" destId="{53907D1D-9F25-47CB-A790-FDDCBA363FE1}" srcOrd="2" destOrd="0" presId="urn:microsoft.com/office/officeart/2005/8/layout/hProcess7"/>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F20B4F0-F06F-4760-9371-533DB826DEDD}">
      <dsp:nvSpPr>
        <dsp:cNvPr id="0" name=""/>
        <dsp:cNvSpPr/>
      </dsp:nvSpPr>
      <dsp:spPr>
        <a:xfrm>
          <a:off x="28581" y="57151"/>
          <a:ext cx="1597421" cy="3562338"/>
        </a:xfrm>
        <a:prstGeom prst="roundRect">
          <a:avLst>
            <a:gd name="adj" fmla="val 5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58293" rIns="75565" bIns="0" numCol="1" spcCol="1270" anchor="t" anchorCtr="0">
          <a:noAutofit/>
        </a:bodyPr>
        <a:lstStyle/>
        <a:p>
          <a:pPr lvl="0" algn="r" defTabSz="755650">
            <a:lnSpc>
              <a:spcPct val="90000"/>
            </a:lnSpc>
            <a:spcBef>
              <a:spcPct val="0"/>
            </a:spcBef>
            <a:spcAft>
              <a:spcPct val="35000"/>
            </a:spcAft>
          </a:pPr>
          <a:r>
            <a:rPr lang="en-GB" sz="1700" kern="1200"/>
            <a:t>1. Reporting obligations</a:t>
          </a:r>
        </a:p>
      </dsp:txBody>
      <dsp:txXfrm rot="16200000">
        <a:off x="-1272234" y="1357968"/>
        <a:ext cx="2921117" cy="319484"/>
      </dsp:txXfrm>
    </dsp:sp>
    <dsp:sp modelId="{82F4A98E-45A1-43AD-A778-D5FE0D2C10EE}">
      <dsp:nvSpPr>
        <dsp:cNvPr id="0" name=""/>
        <dsp:cNvSpPr/>
      </dsp:nvSpPr>
      <dsp:spPr>
        <a:xfrm>
          <a:off x="348066" y="57151"/>
          <a:ext cx="1190078" cy="3562338"/>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37719" rIns="0" bIns="0" numCol="1" spcCol="1270" anchor="t" anchorCtr="0">
          <a:noAutofit/>
        </a:bodyPr>
        <a:lstStyle/>
        <a:p>
          <a:pPr lvl="0" algn="l" defTabSz="466725">
            <a:lnSpc>
              <a:spcPct val="90000"/>
            </a:lnSpc>
            <a:spcBef>
              <a:spcPct val="0"/>
            </a:spcBef>
            <a:spcAft>
              <a:spcPct val="35000"/>
            </a:spcAft>
          </a:pPr>
          <a:r>
            <a:rPr lang="en-GB" sz="1050" i="1" kern="1200"/>
            <a:t>Outlines </a:t>
          </a:r>
          <a:r>
            <a:rPr lang="en-AU" sz="1050" i="1" kern="1200"/>
            <a:t>the PSPF reporting obligations for non-corporate Commonwealth entities</a:t>
          </a:r>
        </a:p>
        <a:p>
          <a:pPr lvl="0" algn="l" defTabSz="466725">
            <a:lnSpc>
              <a:spcPct val="90000"/>
            </a:lnSpc>
            <a:spcBef>
              <a:spcPct val="0"/>
            </a:spcBef>
            <a:spcAft>
              <a:spcPct val="35000"/>
            </a:spcAft>
          </a:pPr>
          <a:endParaRPr lang="en-GB" sz="1050" i="1" kern="1200"/>
        </a:p>
        <a:p>
          <a:pPr lvl="0" algn="l" defTabSz="466725">
            <a:lnSpc>
              <a:spcPct val="90000"/>
            </a:lnSpc>
            <a:spcBef>
              <a:spcPct val="0"/>
            </a:spcBef>
            <a:spcAft>
              <a:spcPct val="35000"/>
            </a:spcAft>
          </a:pPr>
          <a:r>
            <a:rPr lang="en-GB" sz="1050" b="1" kern="1200"/>
            <a:t>PRESS</a:t>
          </a:r>
          <a:r>
            <a:rPr lang="en-GB" sz="1050" kern="1200"/>
            <a:t> 'Next Step' to acknowledge the reporting obligations</a:t>
          </a:r>
        </a:p>
      </dsp:txBody>
      <dsp:txXfrm>
        <a:off x="348066" y="57151"/>
        <a:ext cx="1190078" cy="3562338"/>
      </dsp:txXfrm>
    </dsp:sp>
    <dsp:sp modelId="{606E2540-CDE4-4334-9AA9-675CA7C7A664}">
      <dsp:nvSpPr>
        <dsp:cNvPr id="0" name=""/>
        <dsp:cNvSpPr/>
      </dsp:nvSpPr>
      <dsp:spPr>
        <a:xfrm>
          <a:off x="1655986" y="76205"/>
          <a:ext cx="1597421" cy="3562338"/>
        </a:xfrm>
        <a:prstGeom prst="roundRect">
          <a:avLst>
            <a:gd name="adj" fmla="val 5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58293" rIns="75565" bIns="0" numCol="1" spcCol="1270" anchor="t" anchorCtr="0">
          <a:noAutofit/>
        </a:bodyPr>
        <a:lstStyle/>
        <a:p>
          <a:pPr lvl="0" algn="r" defTabSz="755650">
            <a:lnSpc>
              <a:spcPct val="90000"/>
            </a:lnSpc>
            <a:spcBef>
              <a:spcPct val="0"/>
            </a:spcBef>
            <a:spcAft>
              <a:spcPct val="35000"/>
            </a:spcAft>
          </a:pPr>
          <a:r>
            <a:rPr lang="en-GB" sz="1700" kern="1200"/>
            <a:t>2. Security classification</a:t>
          </a:r>
        </a:p>
      </dsp:txBody>
      <dsp:txXfrm rot="16200000">
        <a:off x="355169" y="1377022"/>
        <a:ext cx="2921117" cy="319484"/>
      </dsp:txXfrm>
    </dsp:sp>
    <dsp:sp modelId="{7ADB7F9C-6262-4088-BF19-EE1A27E58470}">
      <dsp:nvSpPr>
        <dsp:cNvPr id="0" name=""/>
        <dsp:cNvSpPr/>
      </dsp:nvSpPr>
      <dsp:spPr>
        <a:xfrm rot="5400000">
          <a:off x="1523197" y="2919124"/>
          <a:ext cx="281551" cy="239613"/>
        </a:xfrm>
        <a:prstGeom prst="flowChartExtract">
          <a:avLst/>
        </a:prstGeom>
        <a:solidFill>
          <a:schemeClr val="lt1">
            <a:hueOff val="0"/>
            <a:satOff val="0"/>
            <a:lumOff val="0"/>
            <a:alphaOff val="0"/>
          </a:schemeClr>
        </a:solidFill>
        <a:ln w="25400" cap="flat" cmpd="sng" algn="ctr">
          <a:solidFill>
            <a:schemeClr val="accent4">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F479EDF8-CB69-4DBC-B939-E8A8A7BBFC5B}">
      <dsp:nvSpPr>
        <dsp:cNvPr id="0" name=""/>
        <dsp:cNvSpPr/>
      </dsp:nvSpPr>
      <dsp:spPr>
        <a:xfrm>
          <a:off x="1975470" y="76205"/>
          <a:ext cx="1190078" cy="3562338"/>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37719" rIns="0" bIns="0" numCol="1" spcCol="1270" anchor="t" anchorCtr="0">
          <a:noAutofit/>
        </a:bodyPr>
        <a:lstStyle/>
        <a:p>
          <a:pPr lvl="0" algn="l" defTabSz="466725">
            <a:lnSpc>
              <a:spcPct val="90000"/>
            </a:lnSpc>
            <a:spcBef>
              <a:spcPct val="0"/>
            </a:spcBef>
            <a:spcAft>
              <a:spcPct val="35000"/>
            </a:spcAft>
          </a:pPr>
          <a:r>
            <a:rPr lang="en-GB" sz="1050" i="1" kern="1200"/>
            <a:t>Allows entities to select the security classification of the data to be entered into the portal</a:t>
          </a:r>
        </a:p>
        <a:p>
          <a:pPr lvl="0" algn="l" defTabSz="466725">
            <a:lnSpc>
              <a:spcPct val="90000"/>
            </a:lnSpc>
            <a:spcBef>
              <a:spcPct val="0"/>
            </a:spcBef>
            <a:spcAft>
              <a:spcPct val="35000"/>
            </a:spcAft>
          </a:pPr>
          <a:endParaRPr lang="en-GB" sz="1050" i="1" kern="1200"/>
        </a:p>
        <a:p>
          <a:pPr lvl="0" algn="l" defTabSz="466725">
            <a:lnSpc>
              <a:spcPct val="90000"/>
            </a:lnSpc>
            <a:spcBef>
              <a:spcPct val="0"/>
            </a:spcBef>
            <a:spcAft>
              <a:spcPct val="35000"/>
            </a:spcAft>
          </a:pPr>
          <a:r>
            <a:rPr lang="en-GB" sz="1050" b="1" kern="1200"/>
            <a:t>SELECT</a:t>
          </a:r>
          <a:r>
            <a:rPr lang="en-GB" sz="1050" kern="1200"/>
            <a:t> classification of data inputs</a:t>
          </a:r>
        </a:p>
        <a:p>
          <a:pPr marL="57150" lvl="1" indent="-57150" algn="l" defTabSz="466725">
            <a:lnSpc>
              <a:spcPct val="90000"/>
            </a:lnSpc>
            <a:spcBef>
              <a:spcPct val="0"/>
            </a:spcBef>
            <a:spcAft>
              <a:spcPct val="15000"/>
            </a:spcAft>
            <a:buChar char="••"/>
          </a:pPr>
          <a:r>
            <a:rPr lang="en-AU" sz="1050" kern="1200"/>
            <a:t>Selecting </a:t>
          </a:r>
          <a:r>
            <a:rPr lang="en-AU" sz="1050" b="1" kern="1200"/>
            <a:t>PROTECTED/ OFFICIAL: Sensitive </a:t>
          </a:r>
          <a:r>
            <a:rPr lang="en-AU" sz="1050" kern="1200"/>
            <a:t>will allow reporting through the portal</a:t>
          </a:r>
          <a:endParaRPr lang="en-GB" sz="1050" kern="1200"/>
        </a:p>
        <a:p>
          <a:pPr marL="57150" lvl="1" indent="-57150" algn="l" defTabSz="466725">
            <a:lnSpc>
              <a:spcPct val="90000"/>
            </a:lnSpc>
            <a:spcBef>
              <a:spcPct val="0"/>
            </a:spcBef>
            <a:spcAft>
              <a:spcPct val="15000"/>
            </a:spcAft>
            <a:buChar char="••"/>
          </a:pPr>
          <a:endParaRPr lang="en-GB" sz="1050" kern="1200"/>
        </a:p>
        <a:p>
          <a:pPr marL="57150" lvl="1" indent="-57150" algn="l" defTabSz="466725">
            <a:lnSpc>
              <a:spcPct val="90000"/>
            </a:lnSpc>
            <a:spcBef>
              <a:spcPct val="0"/>
            </a:spcBef>
            <a:spcAft>
              <a:spcPct val="15000"/>
            </a:spcAft>
            <a:buChar char="••"/>
          </a:pPr>
          <a:r>
            <a:rPr lang="en-AU" sz="1050" kern="1200"/>
            <a:t>Selecting </a:t>
          </a:r>
          <a:r>
            <a:rPr lang="en-AU" sz="1050" b="1" kern="1200"/>
            <a:t>SECRET/TOP SECRET </a:t>
          </a:r>
          <a:r>
            <a:rPr lang="en-AU" sz="1050" kern="1200"/>
            <a:t>will provide a fillable offline reporting template</a:t>
          </a:r>
          <a:endParaRPr lang="en-GB" sz="1050" kern="1200"/>
        </a:p>
        <a:p>
          <a:pPr marL="57150" lvl="1" indent="-57150" algn="l" defTabSz="466725">
            <a:lnSpc>
              <a:spcPct val="90000"/>
            </a:lnSpc>
            <a:spcBef>
              <a:spcPct val="0"/>
            </a:spcBef>
            <a:spcAft>
              <a:spcPct val="15000"/>
            </a:spcAft>
            <a:buChar char="••"/>
          </a:pPr>
          <a:endParaRPr lang="en-GB" sz="1050" kern="1200"/>
        </a:p>
        <a:p>
          <a:pPr lvl="0" algn="l" defTabSz="466725">
            <a:lnSpc>
              <a:spcPct val="90000"/>
            </a:lnSpc>
            <a:spcBef>
              <a:spcPct val="0"/>
            </a:spcBef>
            <a:spcAft>
              <a:spcPct val="35000"/>
            </a:spcAft>
          </a:pPr>
          <a:r>
            <a:rPr lang="en-GB" sz="1050" b="1" kern="1200"/>
            <a:t>PRESS</a:t>
          </a:r>
          <a:r>
            <a:rPr lang="en-GB" sz="1050" kern="1200"/>
            <a:t> 'Next Step' to continue</a:t>
          </a:r>
        </a:p>
      </dsp:txBody>
      <dsp:txXfrm>
        <a:off x="1975470" y="76205"/>
        <a:ext cx="1190078" cy="3562338"/>
      </dsp:txXfrm>
    </dsp:sp>
    <dsp:sp modelId="{6E8D925E-ECCE-4EF3-A462-D80AF5E5544F}">
      <dsp:nvSpPr>
        <dsp:cNvPr id="0" name=""/>
        <dsp:cNvSpPr/>
      </dsp:nvSpPr>
      <dsp:spPr>
        <a:xfrm>
          <a:off x="3309317" y="76205"/>
          <a:ext cx="1597421" cy="3562338"/>
        </a:xfrm>
        <a:prstGeom prst="roundRect">
          <a:avLst>
            <a:gd name="adj" fmla="val 5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58293" rIns="75565" bIns="0" numCol="1" spcCol="1270" anchor="t" anchorCtr="0">
          <a:noAutofit/>
        </a:bodyPr>
        <a:lstStyle/>
        <a:p>
          <a:pPr lvl="0" algn="r" defTabSz="755650">
            <a:lnSpc>
              <a:spcPct val="90000"/>
            </a:lnSpc>
            <a:spcBef>
              <a:spcPct val="0"/>
            </a:spcBef>
            <a:spcAft>
              <a:spcPct val="35000"/>
            </a:spcAft>
          </a:pPr>
          <a:r>
            <a:rPr lang="en-GB" sz="1700" kern="1200"/>
            <a:t>3. Setup users</a:t>
          </a:r>
        </a:p>
      </dsp:txBody>
      <dsp:txXfrm rot="16200000">
        <a:off x="2008500" y="1377022"/>
        <a:ext cx="2921117" cy="319484"/>
      </dsp:txXfrm>
    </dsp:sp>
    <dsp:sp modelId="{DC2F2997-DB48-40A6-9A9F-2576AB3939C0}">
      <dsp:nvSpPr>
        <dsp:cNvPr id="0" name=""/>
        <dsp:cNvSpPr/>
      </dsp:nvSpPr>
      <dsp:spPr>
        <a:xfrm rot="5400000">
          <a:off x="3176528" y="2919124"/>
          <a:ext cx="281551" cy="239613"/>
        </a:xfrm>
        <a:prstGeom prst="flowChartExtract">
          <a:avLst/>
        </a:prstGeom>
        <a:solidFill>
          <a:schemeClr val="lt1">
            <a:hueOff val="0"/>
            <a:satOff val="0"/>
            <a:lumOff val="0"/>
            <a:alphaOff val="0"/>
          </a:schemeClr>
        </a:solidFill>
        <a:ln w="25400" cap="flat" cmpd="sng" algn="ctr">
          <a:solidFill>
            <a:schemeClr val="accent4">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114629E4-36D1-412A-9CAB-20D8A69368DC}">
      <dsp:nvSpPr>
        <dsp:cNvPr id="0" name=""/>
        <dsp:cNvSpPr/>
      </dsp:nvSpPr>
      <dsp:spPr>
        <a:xfrm>
          <a:off x="3628801" y="76205"/>
          <a:ext cx="1190078" cy="3562338"/>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37719" rIns="0" bIns="0" numCol="1" spcCol="1270" anchor="t" anchorCtr="0">
          <a:noAutofit/>
        </a:bodyPr>
        <a:lstStyle/>
        <a:p>
          <a:pPr lvl="0" algn="l" defTabSz="466725">
            <a:lnSpc>
              <a:spcPct val="90000"/>
            </a:lnSpc>
            <a:spcBef>
              <a:spcPct val="0"/>
            </a:spcBef>
            <a:spcAft>
              <a:spcPct val="35000"/>
            </a:spcAft>
          </a:pPr>
          <a:r>
            <a:rPr lang="en-GB" sz="1050" i="1" kern="1200"/>
            <a:t>Allows the CSO to delegate user administration and manage additional users</a:t>
          </a:r>
        </a:p>
        <a:p>
          <a:pPr lvl="0" algn="l" defTabSz="466725">
            <a:lnSpc>
              <a:spcPct val="90000"/>
            </a:lnSpc>
            <a:spcBef>
              <a:spcPct val="0"/>
            </a:spcBef>
            <a:spcAft>
              <a:spcPct val="35000"/>
            </a:spcAft>
          </a:pPr>
          <a:endParaRPr lang="en-GB" sz="1050" i="1" kern="1200"/>
        </a:p>
        <a:p>
          <a:pPr marL="57150" lvl="1" indent="-57150" algn="l" defTabSz="466725">
            <a:lnSpc>
              <a:spcPct val="90000"/>
            </a:lnSpc>
            <a:spcBef>
              <a:spcPct val="0"/>
            </a:spcBef>
            <a:spcAft>
              <a:spcPct val="15000"/>
            </a:spcAft>
            <a:buChar char="••"/>
          </a:pPr>
          <a:r>
            <a:rPr lang="en-GB" sz="1050" kern="1200"/>
            <a:t>(optional) </a:t>
          </a:r>
          <a:r>
            <a:rPr lang="en-GB" sz="1050" b="1" kern="1200"/>
            <a:t>ENTER</a:t>
          </a:r>
          <a:r>
            <a:rPr lang="en-GB" sz="1050" kern="1200"/>
            <a:t> email address of the person who will administer user access in your entity</a:t>
          </a:r>
        </a:p>
        <a:p>
          <a:pPr marL="57150" lvl="1" indent="-57150" algn="l" defTabSz="466725">
            <a:lnSpc>
              <a:spcPct val="90000"/>
            </a:lnSpc>
            <a:spcBef>
              <a:spcPct val="0"/>
            </a:spcBef>
            <a:spcAft>
              <a:spcPct val="15000"/>
            </a:spcAft>
            <a:buChar char="••"/>
          </a:pPr>
          <a:endParaRPr lang="en-GB" sz="1050" kern="1200"/>
        </a:p>
        <a:p>
          <a:pPr marL="57150" lvl="1" indent="-57150" algn="l" defTabSz="466725">
            <a:lnSpc>
              <a:spcPct val="90000"/>
            </a:lnSpc>
            <a:spcBef>
              <a:spcPct val="0"/>
            </a:spcBef>
            <a:spcAft>
              <a:spcPct val="15000"/>
            </a:spcAft>
            <a:buChar char="••"/>
          </a:pPr>
          <a:r>
            <a:rPr lang="en-GB" sz="1050" kern="1200"/>
            <a:t>(optional) </a:t>
          </a:r>
          <a:r>
            <a:rPr lang="en-GB" sz="1050" b="1" kern="1200"/>
            <a:t>PRESS</a:t>
          </a:r>
          <a:r>
            <a:rPr lang="en-GB" sz="1050" b="0" kern="1200"/>
            <a:t> '+Add new user' to manage additional users</a:t>
          </a:r>
          <a:r>
            <a:rPr lang="en-GB" sz="1050" b="0" kern="1200">
              <a:latin typeface="Calibri" panose="020F0502020204030204" pitchFamily="34" charset="0"/>
              <a:cs typeface="Calibri" panose="020F0502020204030204" pitchFamily="34" charset="0"/>
            </a:rPr>
            <a:t>—see 'user management' on page 4 to complete this step</a:t>
          </a:r>
          <a:endParaRPr lang="en-GB" sz="1050" kern="1200"/>
        </a:p>
        <a:p>
          <a:pPr marL="57150" lvl="1" indent="-57150" algn="l" defTabSz="466725">
            <a:lnSpc>
              <a:spcPct val="90000"/>
            </a:lnSpc>
            <a:spcBef>
              <a:spcPct val="0"/>
            </a:spcBef>
            <a:spcAft>
              <a:spcPct val="15000"/>
            </a:spcAft>
            <a:buChar char="••"/>
          </a:pPr>
          <a:endParaRPr lang="en-GB" sz="1050" kern="1200"/>
        </a:p>
        <a:p>
          <a:pPr lvl="0" algn="l" defTabSz="466725">
            <a:lnSpc>
              <a:spcPct val="90000"/>
            </a:lnSpc>
            <a:spcBef>
              <a:spcPct val="0"/>
            </a:spcBef>
            <a:spcAft>
              <a:spcPct val="35000"/>
            </a:spcAft>
          </a:pPr>
          <a:r>
            <a:rPr lang="en-GB" sz="1050" b="1" kern="1200"/>
            <a:t>PRESS</a:t>
          </a:r>
          <a:r>
            <a:rPr lang="en-GB" sz="1050" kern="1200"/>
            <a:t> 'Next Step' to continue</a:t>
          </a:r>
        </a:p>
      </dsp:txBody>
      <dsp:txXfrm>
        <a:off x="3628801" y="76205"/>
        <a:ext cx="1190078" cy="3562338"/>
      </dsp:txXfrm>
    </dsp:sp>
    <dsp:sp modelId="{3D4AF6E9-D347-46DF-91DF-217D6AE56341}">
      <dsp:nvSpPr>
        <dsp:cNvPr id="0" name=""/>
        <dsp:cNvSpPr/>
      </dsp:nvSpPr>
      <dsp:spPr>
        <a:xfrm>
          <a:off x="4965299" y="76205"/>
          <a:ext cx="1597421" cy="3562338"/>
        </a:xfrm>
        <a:prstGeom prst="roundRect">
          <a:avLst>
            <a:gd name="adj" fmla="val 5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58293" rIns="75565" bIns="0" numCol="1" spcCol="1270" anchor="t" anchorCtr="0">
          <a:noAutofit/>
        </a:bodyPr>
        <a:lstStyle/>
        <a:p>
          <a:pPr lvl="0" algn="r" defTabSz="755650">
            <a:lnSpc>
              <a:spcPct val="90000"/>
            </a:lnSpc>
            <a:spcBef>
              <a:spcPct val="0"/>
            </a:spcBef>
            <a:spcAft>
              <a:spcPct val="35000"/>
            </a:spcAft>
          </a:pPr>
          <a:r>
            <a:rPr lang="en-GB" sz="1700" kern="1200"/>
            <a:t>4. Finalise creation</a:t>
          </a:r>
        </a:p>
      </dsp:txBody>
      <dsp:txXfrm rot="16200000">
        <a:off x="3664483" y="1377022"/>
        <a:ext cx="2921117" cy="319484"/>
      </dsp:txXfrm>
    </dsp:sp>
    <dsp:sp modelId="{2819C0AC-71E4-4D9E-9624-46446DDE511A}">
      <dsp:nvSpPr>
        <dsp:cNvPr id="0" name=""/>
        <dsp:cNvSpPr/>
      </dsp:nvSpPr>
      <dsp:spPr>
        <a:xfrm rot="5400000">
          <a:off x="4829859" y="2919124"/>
          <a:ext cx="281551" cy="239613"/>
        </a:xfrm>
        <a:prstGeom prst="flowChartExtract">
          <a:avLst/>
        </a:prstGeom>
        <a:solidFill>
          <a:schemeClr val="lt1">
            <a:hueOff val="0"/>
            <a:satOff val="0"/>
            <a:lumOff val="0"/>
            <a:alphaOff val="0"/>
          </a:schemeClr>
        </a:solidFill>
        <a:ln w="25400" cap="flat" cmpd="sng" algn="ctr">
          <a:solidFill>
            <a:schemeClr val="accent4">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53907D1D-9F25-47CB-A790-FDDCBA363FE1}">
      <dsp:nvSpPr>
        <dsp:cNvPr id="0" name=""/>
        <dsp:cNvSpPr/>
      </dsp:nvSpPr>
      <dsp:spPr>
        <a:xfrm>
          <a:off x="5284784" y="76205"/>
          <a:ext cx="1190078" cy="3562338"/>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37719" rIns="0" bIns="0" numCol="1" spcCol="1270" anchor="t" anchorCtr="0">
          <a:noAutofit/>
        </a:bodyPr>
        <a:lstStyle/>
        <a:p>
          <a:pPr lvl="0" algn="l" defTabSz="466725">
            <a:lnSpc>
              <a:spcPct val="90000"/>
            </a:lnSpc>
            <a:spcBef>
              <a:spcPct val="0"/>
            </a:spcBef>
            <a:spcAft>
              <a:spcPct val="35000"/>
            </a:spcAft>
          </a:pPr>
          <a:r>
            <a:rPr lang="en-GB" sz="1050" i="1" kern="1200"/>
            <a:t>Creates the assessment form for the reporting period</a:t>
          </a:r>
          <a:br>
            <a:rPr lang="en-GB" sz="1050" i="1" kern="1200"/>
          </a:br>
          <a:r>
            <a:rPr lang="en-GB" sz="1050" i="1" kern="1200"/>
            <a:t/>
          </a:r>
          <a:br>
            <a:rPr lang="en-GB" sz="1050" i="1" kern="1200"/>
          </a:br>
          <a:endParaRPr lang="en-GB" sz="1050" i="1" kern="1200"/>
        </a:p>
        <a:p>
          <a:pPr lvl="0" algn="l" defTabSz="466725">
            <a:lnSpc>
              <a:spcPct val="90000"/>
            </a:lnSpc>
            <a:spcBef>
              <a:spcPct val="0"/>
            </a:spcBef>
            <a:spcAft>
              <a:spcPct val="35000"/>
            </a:spcAft>
          </a:pPr>
          <a:endParaRPr lang="en-GB" sz="1050" i="1" kern="1200"/>
        </a:p>
        <a:p>
          <a:pPr lvl="0" algn="l" defTabSz="466725">
            <a:lnSpc>
              <a:spcPct val="90000"/>
            </a:lnSpc>
            <a:spcBef>
              <a:spcPct val="0"/>
            </a:spcBef>
            <a:spcAft>
              <a:spcPct val="35000"/>
            </a:spcAft>
          </a:pPr>
          <a:r>
            <a:rPr lang="en-GB" sz="1050" b="1" kern="1200"/>
            <a:t>PRESS</a:t>
          </a:r>
          <a:r>
            <a:rPr lang="en-GB" sz="1050" kern="1200"/>
            <a:t> 'Create Assessment' to allow your entity to input data for the reporting period</a:t>
          </a:r>
        </a:p>
      </dsp:txBody>
      <dsp:txXfrm>
        <a:off x="5284784" y="76205"/>
        <a:ext cx="1190078" cy="3562338"/>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7">
  <dgm:title val=""/>
  <dgm:desc val=""/>
  <dgm:catLst>
    <dgm:cat type="process" pri="21000"/>
    <dgm:cat type="list" pri="9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2" destOrd="0"/>
        <dgm:cxn modelId="13" srcId="1" destId="11" srcOrd="0" destOrd="0"/>
        <dgm:cxn modelId="23" srcId="2" destId="21" srcOrd="0" destOrd="0"/>
        <dgm:cxn modelId="33" srcId="3" destId="31"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h" for="ch" forName="compositeNode" refType="h"/>
      <dgm:constr type="w" for="ch" forName="compositeNode" refType="w"/>
      <dgm:constr type="w" for="ch" forName="hSp" refType="w" refFor="ch" refForName="compositeNode" fact="-0.035"/>
      <dgm:constr type="w" for="des" forName="simulatedConn" refType="w" refFor="ch" refForName="compositeNode" fact="0.15"/>
      <dgm:constr type="h" for="des" forName="simulatedConn" refType="w" refFor="des" refForName="simulatedConn"/>
      <dgm:constr type="h" for="des" forName="vSp1" refType="w" refFor="ch" refForName="compositeNode" fact="0.8"/>
      <dgm:constr type="h" for="des" forName="vSp2" refType="w" refFor="ch" refForName="compositeNode" fact="0.07"/>
      <dgm:constr type="w" for="ch" forName="vProcSp" refType="w" refFor="des" refForName="simulatedConn" op="equ"/>
      <dgm:constr type="h" for="ch" forName="vProcSp" refType="h" refFor="ch" refForName="compositeNode" op="equ"/>
      <dgm:constr type="w" for="ch" forName="sibTrans" refType="w" refFor="ch" refForName="compositeNode" fact="-0.08"/>
      <dgm:constr type="primFontSz" for="des" forName="parentNode" op="equ"/>
      <dgm:constr type="primFontSz" for="des" forName="childNode" op="equ"/>
    </dgm:constrLst>
    <dgm:ruleLst/>
    <dgm:forEach name="Name4" axis="ch" ptType="node">
      <dgm:layoutNode name="compositeNode">
        <dgm:varLst>
          <dgm:bulletEnabled val="1"/>
        </dgm:varLst>
        <dgm:alg type="composite"/>
        <dgm:choose name="Name5">
          <dgm:if name="Name6" func="var" arg="dir" op="equ" val="norm">
            <dgm:constrLst>
              <dgm:constr type="h" refType="w" op="lte" fact="1.2"/>
              <dgm:constr type="w" for="ch" forName="bgRect" refType="w"/>
              <dgm:constr type="h" for="ch" forName="bgRect" refType="h"/>
              <dgm:constr type="t" for="ch" forName="bgRect"/>
              <dgm:constr type="l" for="ch" forName="bgRect"/>
              <dgm:constr type="w" for="ch" forName="parentNode" refType="w" refFor="ch" refForName="bgRect" fact="0.2"/>
              <dgm:constr type="h" for="ch" forName="parentNode" refType="h" fact="0.82"/>
              <dgm:constr type="t" for="ch" forName="parentNode"/>
              <dgm:constr type="l" for="ch" forName="parentNode"/>
              <dgm:constr type="r" for="ch" forName="childNode" refType="r" refFor="ch" refForName="bgRect" fact="0.945"/>
              <dgm:constr type="h" for="ch" forName="childNode" refType="h" refFor="ch" refForName="bgRect" op="equ"/>
              <dgm:constr type="t" for="ch" forName="childNode"/>
              <dgm:constr type="l" for="ch" forName="childNode" refType="r" refFor="ch" refForName="parentNode"/>
            </dgm:constrLst>
          </dgm:if>
          <dgm:else name="Name7">
            <dgm:constrLst>
              <dgm:constr type="h" refType="w" op="lte" fact="1.2"/>
              <dgm:constr type="w" for="ch" forName="bgRect" refType="w"/>
              <dgm:constr type="h" for="ch" forName="bgRect" refType="h"/>
              <dgm:constr type="t" for="ch" forName="bgRect"/>
              <dgm:constr type="r" for="ch" forName="bgRect" refType="w"/>
              <dgm:constr type="w" for="ch" forName="parentNode" refType="w" refFor="ch" refForName="bgRect" fact="0.2"/>
              <dgm:constr type="h" for="ch" forName="parentNode" refType="h" fact="0.82"/>
              <dgm:constr type="t" for="ch" forName="parentNode"/>
              <dgm:constr type="r" for="ch" forName="parentNode" refType="w"/>
              <dgm:constr type="h" for="ch" forName="childNode" refType="h" refFor="ch" refForName="bgRect"/>
              <dgm:constr type="t" for="ch" forName="childNode"/>
              <dgm:constr type="r" for="ch" forName="childNode" refType="l" refFor="ch" refForName="parentNode"/>
              <dgm:constr type="l" for="ch" forName="childNode" refType="w" refFor="ch" refForName="bgRect" fact="0.055"/>
            </dgm:constrLst>
          </dgm:else>
        </dgm:choose>
        <dgm:ruleLst>
          <dgm:rule type="w" for="ch" forName="childNode" val="NaN" fact="NaN" max="30"/>
        </dgm:ruleLst>
        <dgm:layoutNode name="bgRect" styleLbl="node1">
          <dgm:alg type="sp"/>
          <dgm:shape xmlns:r="http://schemas.openxmlformats.org/officeDocument/2006/relationships" type="roundRect" r:blip="" zOrderOff="-1">
            <dgm:adjLst>
              <dgm:adj idx="1" val="0.05"/>
            </dgm:adjLst>
          </dgm:shape>
          <dgm:presOf axis="self"/>
          <dgm:constrLst/>
          <dgm:ruleLst/>
        </dgm:layoutNode>
        <dgm:layoutNode name="parentNode" styleLbl="node1">
          <dgm:varLst>
            <dgm:chMax val="0"/>
            <dgm:bulletEnabled val="1"/>
          </dgm:varLst>
          <dgm:presOf axis="self"/>
          <dgm:choose name="Name8">
            <dgm:if name="Name9" func="var" arg="dir" op="equ" val="norm">
              <dgm:alg type="tx">
                <dgm:param type="autoTxRot" val="grav"/>
                <dgm:param type="txAnchorVert" val="t"/>
                <dgm:param type="parTxLTRAlign" val="r"/>
                <dgm:param type="parTxRTLAlign" val="r"/>
              </dgm:alg>
              <dgm:shape xmlns:r="http://schemas.openxmlformats.org/officeDocument/2006/relationships" rot="270" type="rect" r:blip="" hideGeom="1">
                <dgm:adjLst/>
              </dgm:shape>
              <dgm:constrLst>
                <dgm:constr type="primFontSz" val="65"/>
                <dgm:constr type="lMarg"/>
                <dgm:constr type="rMarg" refType="primFontSz" fact="0.35"/>
                <dgm:constr type="tMarg" refType="primFontSz" fact="0.27"/>
                <dgm:constr type="bMarg"/>
              </dgm:constrLst>
            </dgm:if>
            <dgm:else name="Name10">
              <dgm:alg type="tx">
                <dgm:param type="autoTxRot" val="grav"/>
                <dgm:param type="txAnchorVert" val="t"/>
                <dgm:param type="parTxLTRAlign" val="l"/>
                <dgm:param type="parTxRTLAlign" val="l"/>
              </dgm:alg>
              <dgm:shape xmlns:r="http://schemas.openxmlformats.org/officeDocument/2006/relationships" rot="90" type="rect" r:blip="" hideGeom="1">
                <dgm:adjLst/>
              </dgm:shape>
              <dgm:constrLst>
                <dgm:constr type="primFontSz" val="65"/>
                <dgm:constr type="lMarg" refType="primFontSz" fact="0.35"/>
                <dgm:constr type="rMarg"/>
                <dgm:constr type="tMarg" refType="primFontSz" fact="0.27"/>
                <dgm:constr type="bMarg"/>
              </dgm:constrLst>
            </dgm:else>
          </dgm:choose>
          <dgm:ruleLst>
            <dgm:rule type="primFontSz" val="5" fact="NaN" max="NaN"/>
          </dgm:ruleLst>
        </dgm:layoutNode>
        <dgm:choose name="Name11">
          <dgm:if name="Name12" axis="ch" ptType="node" func="cnt" op="gte" val="1">
            <dgm:layoutNode name="childNode" styleLbl="node1" moveWith="bgRect">
              <dgm:varLst>
                <dgm:bulletEnabled val="1"/>
              </dgm:varLst>
              <dgm:alg type="tx">
                <dgm:param type="parTxLTRAlign" val="l"/>
                <dgm:param type="parTxRTLAlign" val="r"/>
                <dgm:param type="txAnchorVert" val="t"/>
              </dgm:alg>
              <dgm:shape xmlns:r="http://schemas.openxmlformats.org/officeDocument/2006/relationships" type="rect" r:blip="" hideGeom="1">
                <dgm:adjLst/>
              </dgm:shape>
              <dgm:presOf axis="des" ptType="node"/>
              <dgm:constrLst>
                <dgm:constr type="primFontSz" val="65"/>
                <dgm:constr type="lMarg"/>
                <dgm:constr type="bMarg"/>
                <dgm:constr type="tMarg" refType="primFontSz" fact="0.27"/>
                <dgm:constr type="rMarg"/>
              </dgm:constrLst>
              <dgm:ruleLst>
                <dgm:rule type="primFontSz" val="5" fact="NaN" max="NaN"/>
              </dgm:ruleLst>
            </dgm:layoutNode>
          </dgm:if>
          <dgm:else name="Name13"/>
        </dgm:choose>
      </dgm:layoutNode>
      <dgm:forEach name="Name14" axis="followSib" ptType="sibTrans" cnt="1">
        <dgm:layoutNode name="hSp">
          <dgm:alg type="sp"/>
          <dgm:shape xmlns:r="http://schemas.openxmlformats.org/officeDocument/2006/relationships" r:blip="">
            <dgm:adjLst/>
          </dgm:shape>
          <dgm:presOf/>
          <dgm:constrLst/>
          <dgm:ruleLst/>
        </dgm:layoutNode>
        <dgm:layoutNode name="vProcSp" moveWith="bgRect">
          <dgm:alg type="lin">
            <dgm:param type="linDir" val="fromT"/>
          </dgm:alg>
          <dgm:shape xmlns:r="http://schemas.openxmlformats.org/officeDocument/2006/relationships" r:blip="">
            <dgm:adjLst/>
          </dgm:shape>
          <dgm:presOf/>
          <dgm:constrLst>
            <dgm:constr type="w" for="ch" forName="vSp1" refType="w"/>
            <dgm:constr type="w" for="ch" forName="simulatedConn" refType="w"/>
            <dgm:constr type="w" for="ch" forName="vSp2" refType="w"/>
          </dgm:constrLst>
          <dgm:ruleLst/>
          <dgm:layoutNode name="vSp1">
            <dgm:alg type="sp"/>
            <dgm:shape xmlns:r="http://schemas.openxmlformats.org/officeDocument/2006/relationships" r:blip="">
              <dgm:adjLst/>
            </dgm:shape>
            <dgm:presOf/>
            <dgm:constrLst/>
            <dgm:ruleLst/>
          </dgm:layoutNode>
          <dgm:layoutNode name="simulatedConn" styleLbl="solidFgAcc1">
            <dgm:alg type="sp"/>
            <dgm:choose name="Name15">
              <dgm:if name="Name16" func="var" arg="dir" op="equ" val="norm">
                <dgm:shape xmlns:r="http://schemas.openxmlformats.org/officeDocument/2006/relationships" rot="90" type="flowChartExtract" r:blip="">
                  <dgm:adjLst/>
                </dgm:shape>
              </dgm:if>
              <dgm:else name="Name17">
                <dgm:shape xmlns:r="http://schemas.openxmlformats.org/officeDocument/2006/relationships" rot="-90" type="flowChartExtract" r:blip="">
                  <dgm:adjLst/>
                </dgm:shape>
              </dgm:else>
            </dgm:choose>
            <dgm:presOf/>
            <dgm:constrLst/>
            <dgm:ruleLst/>
          </dgm:layoutNode>
          <dgm:layoutNode name="vSp2">
            <dgm:alg type="sp"/>
            <dgm:shape xmlns:r="http://schemas.openxmlformats.org/officeDocument/2006/relationships" r:blip="">
              <dgm:adjLst/>
            </dgm:shape>
            <dgm:presOf/>
            <dgm:constrLst/>
            <dgm:ruleLst/>
          </dgm:layoutNode>
        </dgm:layoutNode>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25400">
          <a:solidFill>
            <a:srgbClr val="8064A2"/>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B269F-21B6-41E7-85BA-E775AA8C9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2067</Words>
  <Characters>11247</Characters>
  <Application>Microsoft Office Word</Application>
  <DocSecurity>0</DocSecurity>
  <Lines>239</Lines>
  <Paragraphs>160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PSPF Fact Sheet - Classifications reforms - V2018.1</dc:title>
  <dc:subject/>
  <dc:creator/>
  <cp:keywords/>
  <cp:lastModifiedBy/>
  <cp:revision>1</cp:revision>
  <dcterms:created xsi:type="dcterms:W3CDTF">2020-06-29T06:08:00Z</dcterms:created>
  <dcterms:modified xsi:type="dcterms:W3CDTF">2020-06-29T06:08:00Z</dcterms:modified>
</cp:coreProperties>
</file>