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EBC41" w14:textId="608A9CAD" w:rsidR="006E18FD" w:rsidRPr="00B12627" w:rsidRDefault="006E18FD" w:rsidP="006E18FD">
      <w:pPr>
        <w:pStyle w:val="Heading1"/>
      </w:pPr>
      <w:bookmarkStart w:id="0" w:name="_Ref518466996"/>
      <w:bookmarkStart w:id="1" w:name="_GoBack"/>
      <w:bookmarkEnd w:id="1"/>
      <w:r>
        <w:t>14 Separating personnel</w:t>
      </w:r>
      <w:bookmarkEnd w:id="0"/>
    </w:p>
    <w:p w14:paraId="0398F3FA" w14:textId="77777777" w:rsidR="006E18FD" w:rsidRDefault="006E18FD" w:rsidP="006E18FD">
      <w:pPr>
        <w:pStyle w:val="Heading2"/>
      </w:pPr>
      <w:r>
        <w:t>Purpose</w:t>
      </w:r>
    </w:p>
    <w:p w14:paraId="7BFF6BC6" w14:textId="36A47016" w:rsidR="006E18FD" w:rsidRPr="00A013AF" w:rsidRDefault="006E18FD" w:rsidP="00FE4ADB">
      <w:pPr>
        <w:pStyle w:val="Listbullet1"/>
      </w:pPr>
      <w:r>
        <w:t>This policy details the processes to protect</w:t>
      </w:r>
      <w:r w:rsidR="005C30EC">
        <w:t xml:space="preserve"> </w:t>
      </w:r>
      <w:r w:rsidR="008A3873">
        <w:t>Australian Government</w:t>
      </w:r>
      <w:r>
        <w:t xml:space="preserve"> people, information and assets when personnel </w:t>
      </w:r>
      <w:r w:rsidR="008A3873">
        <w:t xml:space="preserve">permanently or temporarily </w:t>
      </w:r>
      <w:r>
        <w:t xml:space="preserve">leave </w:t>
      </w:r>
      <w:r w:rsidR="008A3873">
        <w:t xml:space="preserve">their </w:t>
      </w:r>
      <w:r>
        <w:t>employment</w:t>
      </w:r>
      <w:r w:rsidR="008A3873">
        <w:t xml:space="preserve"> with an entity</w:t>
      </w:r>
      <w:r>
        <w:t>.</w:t>
      </w:r>
      <w:r w:rsidR="005C30EC">
        <w:t xml:space="preserve"> Effectively managing personnel security </w:t>
      </w:r>
      <w:r>
        <w:t>includes ensuring departing personnel fulfil their obligations to safeguard Australian Government resources</w:t>
      </w:r>
      <w:r w:rsidR="005C30EC">
        <w:t>; this</w:t>
      </w:r>
      <w:r>
        <w:t xml:space="preserve"> limit</w:t>
      </w:r>
      <w:r w:rsidR="005C30EC">
        <w:t>s</w:t>
      </w:r>
      <w:r>
        <w:t xml:space="preserve"> the potential for the integrity, availability and confidentiality </w:t>
      </w:r>
      <w:r w:rsidR="005C30EC">
        <w:t xml:space="preserve">of those resources </w:t>
      </w:r>
      <w:r>
        <w:t>to be compromised.</w:t>
      </w:r>
    </w:p>
    <w:p w14:paraId="0555A1DD" w14:textId="77777777" w:rsidR="00474298" w:rsidRDefault="00474298" w:rsidP="00474298">
      <w:pPr>
        <w:pStyle w:val="Casestudytitle"/>
      </w:pPr>
      <w:r>
        <w:t>Separating personnel</w:t>
      </w:r>
    </w:p>
    <w:p w14:paraId="412F465F" w14:textId="77777777" w:rsidR="00474298" w:rsidRDefault="00474298" w:rsidP="00EA3508">
      <w:pPr>
        <w:pStyle w:val="Casestudytext"/>
        <w:pBdr>
          <w:right w:val="single" w:sz="12" w:space="1" w:color="463A70"/>
        </w:pBdr>
      </w:pPr>
      <w:r>
        <w:t>S</w:t>
      </w:r>
      <w:r w:rsidRPr="00A4205A">
        <w:t>eparating personnel include</w:t>
      </w:r>
      <w:r>
        <w:t>:</w:t>
      </w:r>
    </w:p>
    <w:p w14:paraId="4DAB6EFF" w14:textId="77777777" w:rsidR="00474298" w:rsidRDefault="00474298" w:rsidP="00EA3508">
      <w:pPr>
        <w:pStyle w:val="Casestudytext"/>
        <w:numPr>
          <w:ilvl w:val="0"/>
          <w:numId w:val="34"/>
        </w:numPr>
        <w:pBdr>
          <w:right w:val="single" w:sz="12" w:space="1" w:color="463A70"/>
        </w:pBdr>
      </w:pPr>
      <w:r w:rsidRPr="00A4205A">
        <w:t>personnel voluntarily leaving an entity</w:t>
      </w:r>
    </w:p>
    <w:p w14:paraId="44CE073A" w14:textId="77777777" w:rsidR="00474298" w:rsidRDefault="00474298" w:rsidP="00EA3508">
      <w:pPr>
        <w:pStyle w:val="Casestudytext"/>
        <w:numPr>
          <w:ilvl w:val="0"/>
          <w:numId w:val="34"/>
        </w:numPr>
        <w:pBdr>
          <w:right w:val="single" w:sz="12" w:space="1" w:color="463A70"/>
        </w:pBdr>
      </w:pPr>
      <w:r w:rsidRPr="00A4205A">
        <w:t>those whose employment has been terminated for misconduct or other adverse reasons</w:t>
      </w:r>
    </w:p>
    <w:p w14:paraId="2EF806B3" w14:textId="77777777" w:rsidR="00474298" w:rsidRDefault="00474298" w:rsidP="00EA3508">
      <w:pPr>
        <w:pStyle w:val="Casestudytext"/>
        <w:numPr>
          <w:ilvl w:val="0"/>
          <w:numId w:val="34"/>
        </w:numPr>
        <w:pBdr>
          <w:right w:val="single" w:sz="12" w:space="1" w:color="463A70"/>
        </w:pBdr>
      </w:pPr>
      <w:r w:rsidRPr="00A4205A">
        <w:t>personnel transferring temporarily or permanently to another Australian Government entity</w:t>
      </w:r>
      <w:r>
        <w:t xml:space="preserve"> </w:t>
      </w:r>
      <w:r w:rsidRPr="00A67E84">
        <w:t>(including machinery of government changes)</w:t>
      </w:r>
    </w:p>
    <w:p w14:paraId="7C25D791" w14:textId="5932F303" w:rsidR="00474298" w:rsidRDefault="00474298" w:rsidP="00EA3508">
      <w:pPr>
        <w:pStyle w:val="Casestudytext"/>
        <w:numPr>
          <w:ilvl w:val="0"/>
          <w:numId w:val="34"/>
        </w:numPr>
        <w:pBdr>
          <w:right w:val="single" w:sz="12" w:space="1" w:color="463A70"/>
        </w:pBdr>
      </w:pPr>
      <w:r w:rsidRPr="00A4205A">
        <w:t xml:space="preserve">those taking extended leave. </w:t>
      </w:r>
    </w:p>
    <w:p w14:paraId="10D69686" w14:textId="77777777" w:rsidR="006E18FD" w:rsidRDefault="006E18FD" w:rsidP="006E18FD">
      <w:pPr>
        <w:pStyle w:val="Heading2"/>
      </w:pPr>
      <w:r>
        <w:t>Requirements</w:t>
      </w:r>
    </w:p>
    <w:p w14:paraId="13595572" w14:textId="77777777" w:rsidR="006E18FD" w:rsidRDefault="006E18FD" w:rsidP="006E18FD">
      <w:pPr>
        <w:pStyle w:val="Heading3"/>
      </w:pPr>
      <w:bookmarkStart w:id="2" w:name="_Core_requirement"/>
      <w:bookmarkEnd w:id="2"/>
      <w:r>
        <w:t>Core requirement</w:t>
      </w:r>
    </w:p>
    <w:p w14:paraId="652FA3D2" w14:textId="77777777" w:rsidR="006E18FD" w:rsidRPr="00DA5924" w:rsidRDefault="006E18FD" w:rsidP="006E18FD">
      <w:pPr>
        <w:pStyle w:val="IntenseQuote"/>
        <w:spacing w:after="120"/>
      </w:pPr>
      <w:r>
        <w:t>Each entity must ensure that separating personnel:</w:t>
      </w:r>
    </w:p>
    <w:p w14:paraId="6FAC8BF9" w14:textId="77777777" w:rsidR="006E18FD" w:rsidRDefault="006E18FD" w:rsidP="006E18FD">
      <w:pPr>
        <w:pStyle w:val="intensequotenumbered"/>
        <w:spacing w:after="120"/>
        <w:ind w:left="1655" w:hanging="357"/>
      </w:pPr>
      <w:r>
        <w:t>have their access to Australian Government resources withdrawn, and</w:t>
      </w:r>
    </w:p>
    <w:p w14:paraId="4982C3BF" w14:textId="77777777" w:rsidR="006E18FD" w:rsidRDefault="006E18FD" w:rsidP="006E18FD">
      <w:pPr>
        <w:pStyle w:val="intensequotenumbered"/>
        <w:spacing w:after="120"/>
        <w:ind w:left="1655" w:hanging="357"/>
      </w:pPr>
      <w:r>
        <w:t>are informed of any ongoing security obligations.</w:t>
      </w:r>
    </w:p>
    <w:p w14:paraId="389C4CA1" w14:textId="742C4B6F" w:rsidR="006E18FD" w:rsidRPr="00A4205A" w:rsidRDefault="006E18FD" w:rsidP="00FE4ADB">
      <w:pPr>
        <w:pStyle w:val="Listbullet1"/>
      </w:pPr>
      <w:bookmarkStart w:id="3" w:name="_Ref521317923"/>
      <w:r w:rsidRPr="00A4205A">
        <w:t>International examples demonstrate that incidents of insiders compromising resources can occur after an individual has ceased employment</w:t>
      </w:r>
      <w:r>
        <w:t xml:space="preserve">. Therefore, </w:t>
      </w:r>
      <w:r w:rsidRPr="00A4205A">
        <w:t>separation measures are vital to limit the</w:t>
      </w:r>
      <w:r>
        <w:t>se</w:t>
      </w:r>
      <w:r w:rsidRPr="00A4205A">
        <w:t xml:space="preserve"> risks.</w:t>
      </w:r>
      <w:bookmarkEnd w:id="3"/>
      <w:r w:rsidRPr="00A4205A">
        <w:t xml:space="preserve"> </w:t>
      </w:r>
    </w:p>
    <w:p w14:paraId="7FDC81A8" w14:textId="77777777" w:rsidR="006E18FD" w:rsidRDefault="006E18FD" w:rsidP="006E18FD">
      <w:pPr>
        <w:pStyle w:val="Heading3"/>
      </w:pPr>
      <w:bookmarkStart w:id="4" w:name="_Supporting_requirements"/>
      <w:bookmarkEnd w:id="4"/>
      <w:r>
        <w:t>Supporting requirements</w:t>
      </w:r>
    </w:p>
    <w:p w14:paraId="6A5E1A9B" w14:textId="77777777" w:rsidR="00092751" w:rsidRPr="00A4205A" w:rsidRDefault="003453EB" w:rsidP="00FE4ADB">
      <w:pPr>
        <w:pStyle w:val="Listbullet1"/>
      </w:pPr>
      <w:hyperlink w:anchor="_Supporting_requirements" w:history="1">
        <w:r w:rsidR="00092751" w:rsidRPr="00983EB7">
          <w:rPr>
            <w:b/>
          </w:rPr>
          <w:t>Re</w:t>
        </w:r>
        <w:r w:rsidR="00092751" w:rsidRPr="00582AFE">
          <w:rPr>
            <w:b/>
          </w:rPr>
          <w:t xml:space="preserve">quirements 1 </w:t>
        </w:r>
        <w:r w:rsidR="00092751" w:rsidRPr="00582AFE">
          <w:t>and</w:t>
        </w:r>
        <w:r w:rsidR="00092751" w:rsidRPr="00582AFE">
          <w:rPr>
            <w:b/>
          </w:rPr>
          <w:t xml:space="preserve"> 2</w:t>
        </w:r>
      </w:hyperlink>
      <w:r w:rsidR="00092751" w:rsidRPr="004760DB">
        <w:t xml:space="preserve"> apply to all personnel</w:t>
      </w:r>
      <w:r w:rsidR="00092751">
        <w:t>;</w:t>
      </w:r>
      <w:r w:rsidR="00092751" w:rsidRPr="004760DB">
        <w:t xml:space="preserve"> this includes security cleared personnel, non-security cleared personnel, contractors and third party individuals</w:t>
      </w:r>
      <w:r w:rsidR="00092751" w:rsidRPr="00060A9E">
        <w:t xml:space="preserve">. </w:t>
      </w:r>
      <w:hyperlink w:anchor="_Supporting_requirements" w:history="1">
        <w:r w:rsidR="00092751" w:rsidRPr="00582AFE">
          <w:rPr>
            <w:b/>
          </w:rPr>
          <w:t>Requirement 3</w:t>
        </w:r>
      </w:hyperlink>
      <w:r w:rsidR="00092751" w:rsidRPr="004760DB">
        <w:t xml:space="preserve"> applies more broadly and in certain circumstances. </w:t>
      </w:r>
      <w:hyperlink w:anchor="_Supporting_requirements" w:history="1">
        <w:r w:rsidR="00092751" w:rsidRPr="00582AFE">
          <w:rPr>
            <w:b/>
          </w:rPr>
          <w:t>Requirement 4</w:t>
        </w:r>
      </w:hyperlink>
      <w:r w:rsidR="00092751" w:rsidRPr="004760DB">
        <w:t xml:space="preserve"> applies to security cleared personnel.</w:t>
      </w:r>
    </w:p>
    <w:p w14:paraId="49671300" w14:textId="77777777" w:rsidR="006E18FD" w:rsidRDefault="006E18FD" w:rsidP="006E18FD">
      <w:pPr>
        <w:pStyle w:val="Caption"/>
      </w:pPr>
      <w:r>
        <w:lastRenderedPageBreak/>
        <w:t>Supporting requirements for separating personnel</w:t>
      </w:r>
    </w:p>
    <w:tbl>
      <w:tblPr>
        <w:tblStyle w:val="LightShading-Accent4"/>
        <w:tblW w:w="0" w:type="auto"/>
        <w:jc w:val="center"/>
        <w:tblLook w:val="04A0" w:firstRow="1" w:lastRow="0" w:firstColumn="1" w:lastColumn="0" w:noHBand="0" w:noVBand="1"/>
        <w:tblCaption w:val="Supporting requirements for separating personnel"/>
        <w:tblDescription w:val="Requirement 1. Sharing security relevant information, debriefs and continuing obligations&#10;Prior to personnel separation or transfer, entities must:&#10;a. notify the Chief Security Officer, or relevant security advisor, of any proposed terminations of employment resulting from misconduct or other adverse reasons&#10;b. debrief all separating personnel who have access to sensitive or security classified information, including advising them of their continuing obligations under the Crimes Act 1914 (Cth), Criminal Code Act 1995 (Cth) and other relevant legislation, and obtain formal acknowledgement of these continuing obligations&#10;c. for personnel transferring to another Australian Government entity, provide the receiving entity with relevant information, including the outcome of pre-employment screening checks and any periodic employment suitability checks, and&#10;d. report any security concerns to the Australian Security Intelligence Organisation (ASIO), particularly where the clearance holder departs without a security debrief.&#10;&#10;Requirement 2. Withdrawal of access&#10;On separation or transfer, entities must remove personnel's access to Australuan Government resources, including:&#10;a. physical facilities, and&#10;b. information and communications technology (ICT) systems.&#10;&#10;Requirement 3. Risk assessment&#10;Where it is not possible to undertake normal separation procedures, entities must undertake a risk assessment to identify any security implications.&#10;&#10;Requirement 4. Security clearance actions&#10;a. Following the separation or transfer of security cleared personnel, sponsoring entities must:&#10;i. advise the relevant authorised vetting agency of:&#10;A. the separation or transfer of a clearance holder, including any relevant circumstances (i.e. termination for cause) and any details, if known, of another entity or contracted service provider the clearance holder is transferring to, and&#10;B. any identified risks and/or any security concerns associated with the separation, including as a result of supporting requirement 3.&#10;b. Vetting agencies must:&#10;ii. manage and record changes in security clearance status, including change of sponsoring entity, and&#10;ii. transfer personal security files where a clearance subject transfers to an entity covered by a different authorised vetting agency - to the extent that their enabling legislation allows."/>
      </w:tblPr>
      <w:tblGrid>
        <w:gridCol w:w="1658"/>
        <w:gridCol w:w="8808"/>
      </w:tblGrid>
      <w:tr w:rsidR="006E18FD" w14:paraId="0683F680" w14:textId="77777777" w:rsidTr="009F4781">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668" w:type="dxa"/>
          </w:tcPr>
          <w:p w14:paraId="1250C257" w14:textId="77777777" w:rsidR="006E18FD" w:rsidRPr="00AF0947" w:rsidRDefault="006E18FD" w:rsidP="00092751">
            <w:pPr>
              <w:keepNext/>
              <w:spacing w:after="0"/>
              <w:rPr>
                <w:rStyle w:val="Strong"/>
                <w:b/>
              </w:rPr>
            </w:pPr>
            <w:r>
              <w:rPr>
                <w:rStyle w:val="Strong"/>
                <w:b/>
              </w:rPr>
              <w:t>#</w:t>
            </w:r>
          </w:p>
        </w:tc>
        <w:tc>
          <w:tcPr>
            <w:tcW w:w="9014" w:type="dxa"/>
          </w:tcPr>
          <w:p w14:paraId="3F3C4731" w14:textId="77777777" w:rsidR="006E18FD" w:rsidRPr="00F60BF2" w:rsidRDefault="006E18FD" w:rsidP="00092751">
            <w:pPr>
              <w:keepNext/>
              <w:spacing w:after="0"/>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Supporting requirements</w:t>
            </w:r>
          </w:p>
        </w:tc>
      </w:tr>
      <w:tr w:rsidR="006E18FD" w14:paraId="4AC5BC58" w14:textId="77777777" w:rsidTr="00914EA7">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668" w:type="dxa"/>
          </w:tcPr>
          <w:p w14:paraId="0F943BDC" w14:textId="77777777" w:rsidR="006E18FD" w:rsidRPr="0068552B" w:rsidRDefault="006E18FD" w:rsidP="00D53376">
            <w:pPr>
              <w:spacing w:after="0"/>
              <w:rPr>
                <w:rStyle w:val="Strong"/>
                <w:b/>
              </w:rPr>
            </w:pPr>
            <w:r w:rsidRPr="0068552B">
              <w:rPr>
                <w:rStyle w:val="Strong"/>
                <w:b/>
              </w:rPr>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p>
          <w:p w14:paraId="44C9129B" w14:textId="7A972AEB" w:rsidR="006E18FD" w:rsidRPr="0068552B" w:rsidRDefault="006E18FD" w:rsidP="00D413CE">
            <w:pPr>
              <w:spacing w:after="0"/>
              <w:rPr>
                <w:rStyle w:val="Strong"/>
                <w:b/>
              </w:rPr>
            </w:pPr>
            <w:r>
              <w:rPr>
                <w:rStyle w:val="Strong"/>
                <w:b/>
              </w:rPr>
              <w:t xml:space="preserve">Sharing security relevant information, debriefs and </w:t>
            </w:r>
            <w:r w:rsidR="00D413CE">
              <w:rPr>
                <w:rStyle w:val="Strong"/>
                <w:b/>
              </w:rPr>
              <w:t xml:space="preserve">continuing </w:t>
            </w:r>
            <w:r>
              <w:rPr>
                <w:rStyle w:val="Strong"/>
                <w:b/>
              </w:rPr>
              <w:t>obligations</w:t>
            </w:r>
          </w:p>
        </w:tc>
        <w:tc>
          <w:tcPr>
            <w:tcW w:w="9014" w:type="dxa"/>
          </w:tcPr>
          <w:p w14:paraId="70DB9A2C" w14:textId="77777777" w:rsidR="006E18FD" w:rsidRDefault="006E18FD" w:rsidP="00D53376">
            <w:pPr>
              <w:pStyle w:val="Tablebody"/>
              <w:cnfStyle w:val="000000100000" w:firstRow="0" w:lastRow="0" w:firstColumn="0" w:lastColumn="0" w:oddVBand="0" w:evenVBand="0" w:oddHBand="1" w:evenHBand="0" w:firstRowFirstColumn="0" w:firstRowLastColumn="0" w:lastRowFirstColumn="0" w:lastRowLastColumn="0"/>
              <w:rPr>
                <w:b/>
              </w:rPr>
            </w:pPr>
            <w:r>
              <w:t xml:space="preserve">Prior to personnel separation or transfer, entities </w:t>
            </w:r>
            <w:r w:rsidRPr="001E333A">
              <w:rPr>
                <w:b/>
              </w:rPr>
              <w:t>must</w:t>
            </w:r>
            <w:r>
              <w:rPr>
                <w:b/>
              </w:rPr>
              <w:t>:</w:t>
            </w:r>
          </w:p>
          <w:p w14:paraId="33B69055" w14:textId="57FEAFF3" w:rsidR="006E18FD" w:rsidRDefault="006E18FD" w:rsidP="00D53376">
            <w:pPr>
              <w:pStyle w:val="Tablebodybullet1"/>
              <w:cnfStyle w:val="000000100000" w:firstRow="0" w:lastRow="0" w:firstColumn="0" w:lastColumn="0" w:oddVBand="0" w:evenVBand="0" w:oddHBand="1" w:evenHBand="0" w:firstRowFirstColumn="0" w:firstRowLastColumn="0" w:lastRowFirstColumn="0" w:lastRowLastColumn="0"/>
            </w:pPr>
            <w:r>
              <w:t xml:space="preserve">notify the Chief Security Officer, or relevant security advisor, of any proposed </w:t>
            </w:r>
            <w:r w:rsidR="008B717C">
              <w:t xml:space="preserve">cessation </w:t>
            </w:r>
            <w:r>
              <w:t xml:space="preserve">of employment </w:t>
            </w:r>
            <w:r w:rsidR="00D413CE">
              <w:t>resulting from misconduct or other adverse reasons</w:t>
            </w:r>
          </w:p>
          <w:p w14:paraId="7DCBDA93" w14:textId="75D4ABD6" w:rsidR="006E18FD" w:rsidRDefault="006E18FD" w:rsidP="00D53376">
            <w:pPr>
              <w:pStyle w:val="Tablebodybullet1"/>
              <w:cnfStyle w:val="000000100000" w:firstRow="0" w:lastRow="0" w:firstColumn="0" w:lastColumn="0" w:oddVBand="0" w:evenVBand="0" w:oddHBand="1" w:evenHBand="0" w:firstRowFirstColumn="0" w:firstRowLastColumn="0" w:lastRowFirstColumn="0" w:lastRowLastColumn="0"/>
            </w:pPr>
            <w:r>
              <w:t xml:space="preserve">debrief all separating personnel who have access to sensitive or security classified information, including advising them of their continuing obligations under the </w:t>
            </w:r>
            <w:r w:rsidR="00CB24BC" w:rsidRPr="00CB24BC">
              <w:t xml:space="preserve">Commonwealth </w:t>
            </w:r>
            <w:hyperlink r:id="rId7" w:history="1">
              <w:r w:rsidRPr="00CB24BC">
                <w:rPr>
                  <w:rStyle w:val="Hyperlink"/>
                </w:rPr>
                <w:t>Criminal Code</w:t>
              </w:r>
            </w:hyperlink>
            <w:r w:rsidR="00DA5BBB">
              <w:rPr>
                <w:rStyle w:val="Hyperlink"/>
                <w:i/>
              </w:rPr>
              <w:t xml:space="preserve"> </w:t>
            </w:r>
            <w:r w:rsidRPr="001B7A78">
              <w:rPr>
                <w:i/>
              </w:rPr>
              <w:t xml:space="preserve"> </w:t>
            </w:r>
            <w:r>
              <w:t xml:space="preserve">and other relevant legislation, and obtain </w:t>
            </w:r>
            <w:r w:rsidR="00914EA7">
              <w:t xml:space="preserve">the person’s </w:t>
            </w:r>
            <w:r>
              <w:t>acknowledgement of these obligations</w:t>
            </w:r>
          </w:p>
          <w:p w14:paraId="108D4778" w14:textId="60788ECA" w:rsidR="006E18FD" w:rsidRDefault="006E18FD" w:rsidP="00D53376">
            <w:pPr>
              <w:pStyle w:val="Tablebodybullet1"/>
              <w:cnfStyle w:val="000000100000" w:firstRow="0" w:lastRow="0" w:firstColumn="0" w:lastColumn="0" w:oddVBand="0" w:evenVBand="0" w:oddHBand="1" w:evenHBand="0" w:firstRowFirstColumn="0" w:firstRowLastColumn="0" w:lastRowFirstColumn="0" w:lastRowLastColumn="0"/>
            </w:pPr>
            <w:r>
              <w:t xml:space="preserve">for personnel transferring to another Australian Government entity, provide the receiving entity with relevant </w:t>
            </w:r>
            <w:r w:rsidR="00BC3467">
              <w:t xml:space="preserve">security </w:t>
            </w:r>
            <w:r>
              <w:t xml:space="preserve">information, including the outcome of pre-employment screening checks and </w:t>
            </w:r>
            <w:r w:rsidR="00D413CE">
              <w:t xml:space="preserve">any </w:t>
            </w:r>
            <w:r>
              <w:t>periodic employment suitability checks, and</w:t>
            </w:r>
          </w:p>
          <w:p w14:paraId="16FB890F" w14:textId="40A0EC30" w:rsidR="006E18FD" w:rsidRPr="0068552B" w:rsidRDefault="006E18FD" w:rsidP="0005310C">
            <w:pPr>
              <w:pStyle w:val="Tablebodybullet1"/>
              <w:cnfStyle w:val="000000100000" w:firstRow="0" w:lastRow="0" w:firstColumn="0" w:lastColumn="0" w:oddVBand="0" w:evenVBand="0" w:oddHBand="1" w:evenHBand="0" w:firstRowFirstColumn="0" w:firstRowLastColumn="0" w:lastRowFirstColumn="0" w:lastRowLastColumn="0"/>
            </w:pPr>
            <w:r>
              <w:t xml:space="preserve">report any security </w:t>
            </w:r>
            <w:r w:rsidR="0005310C">
              <w:t xml:space="preserve">(as defined in the </w:t>
            </w:r>
            <w:r w:rsidR="0005310C" w:rsidRPr="00093BEA">
              <w:t>in the</w:t>
            </w:r>
            <w:hyperlink r:id="rId8" w:history="1">
              <w:r w:rsidR="0005310C" w:rsidRPr="00093BEA">
                <w:rPr>
                  <w:rStyle w:val="Hyperlink"/>
                  <w:i/>
                  <w:szCs w:val="20"/>
                </w:rPr>
                <w:t xml:space="preserve"> Australian Security Intelligence Organisation Act 1979</w:t>
              </w:r>
            </w:hyperlink>
            <w:r w:rsidR="0005310C" w:rsidRPr="00CD27BF">
              <w:t>)</w:t>
            </w:r>
            <w:r w:rsidR="0005310C">
              <w:t xml:space="preserve"> </w:t>
            </w:r>
            <w:r>
              <w:t>concerns to the Australian Security Intelligence Organisation</w:t>
            </w:r>
            <w:r w:rsidR="00D413CE">
              <w:t xml:space="preserve"> (ASIO)</w:t>
            </w:r>
            <w:r>
              <w:t>.</w:t>
            </w:r>
          </w:p>
        </w:tc>
      </w:tr>
      <w:tr w:rsidR="006E18FD" w14:paraId="667BD793" w14:textId="77777777" w:rsidTr="00914EA7">
        <w:trPr>
          <w:cantSplit/>
          <w:jc w:val="center"/>
        </w:trPr>
        <w:tc>
          <w:tcPr>
            <w:cnfStyle w:val="001000000000" w:firstRow="0" w:lastRow="0" w:firstColumn="1" w:lastColumn="0" w:oddVBand="0" w:evenVBand="0" w:oddHBand="0" w:evenHBand="0" w:firstRowFirstColumn="0" w:firstRowLastColumn="0" w:lastRowFirstColumn="0" w:lastRowLastColumn="0"/>
            <w:tcW w:w="1668" w:type="dxa"/>
          </w:tcPr>
          <w:p w14:paraId="1ED76924" w14:textId="77777777" w:rsidR="006E18FD" w:rsidRPr="0068552B" w:rsidRDefault="006E18FD" w:rsidP="00D53376">
            <w:pPr>
              <w:spacing w:after="0"/>
              <w:rPr>
                <w:rStyle w:val="Strong"/>
                <w:b/>
              </w:rPr>
            </w:pPr>
            <w:r w:rsidRPr="0068552B">
              <w:rPr>
                <w:rStyle w:val="Strong"/>
                <w:b/>
              </w:rPr>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p>
          <w:p w14:paraId="48E95681" w14:textId="77777777" w:rsidR="006E18FD" w:rsidRPr="0068552B" w:rsidRDefault="006E18FD" w:rsidP="00D53376">
            <w:pPr>
              <w:spacing w:after="0"/>
              <w:rPr>
                <w:rStyle w:val="Strong"/>
                <w:b/>
              </w:rPr>
            </w:pPr>
            <w:r>
              <w:rPr>
                <w:rStyle w:val="Strong"/>
                <w:b/>
              </w:rPr>
              <w:t>Withdrawal of access</w:t>
            </w:r>
          </w:p>
        </w:tc>
        <w:tc>
          <w:tcPr>
            <w:tcW w:w="9014" w:type="dxa"/>
          </w:tcPr>
          <w:p w14:paraId="3AA87731" w14:textId="77777777" w:rsidR="006E18FD" w:rsidRPr="009E1CDE" w:rsidRDefault="006E18FD" w:rsidP="00D53376">
            <w:pPr>
              <w:pStyle w:val="Tablebodybullet1"/>
              <w:numPr>
                <w:ilvl w:val="0"/>
                <w:numId w:val="0"/>
              </w:numPr>
              <w:cnfStyle w:val="000000000000" w:firstRow="0" w:lastRow="0" w:firstColumn="0" w:lastColumn="0" w:oddVBand="0" w:evenVBand="0" w:oddHBand="0" w:evenHBand="0" w:firstRowFirstColumn="0" w:firstRowLastColumn="0" w:lastRowFirstColumn="0" w:lastRowLastColumn="0"/>
            </w:pPr>
            <w:r>
              <w:t xml:space="preserve">On separation or transfer, entities </w:t>
            </w:r>
            <w:r>
              <w:rPr>
                <w:b/>
              </w:rPr>
              <w:t xml:space="preserve">must </w:t>
            </w:r>
            <w:r>
              <w:t>remove personnel’s access to Australian Government resources, including:</w:t>
            </w:r>
          </w:p>
          <w:p w14:paraId="6BF174F4" w14:textId="77777777" w:rsidR="006E18FD" w:rsidRDefault="006E18FD" w:rsidP="006E18FD">
            <w:pPr>
              <w:pStyle w:val="Tablebodybullet1"/>
              <w:numPr>
                <w:ilvl w:val="0"/>
                <w:numId w:val="19"/>
              </w:numPr>
              <w:cnfStyle w:val="000000000000" w:firstRow="0" w:lastRow="0" w:firstColumn="0" w:lastColumn="0" w:oddVBand="0" w:evenVBand="0" w:oddHBand="0" w:evenHBand="0" w:firstRowFirstColumn="0" w:firstRowLastColumn="0" w:lastRowFirstColumn="0" w:lastRowLastColumn="0"/>
            </w:pPr>
            <w:r>
              <w:t>physical facilities, and</w:t>
            </w:r>
          </w:p>
          <w:p w14:paraId="2920B2E6" w14:textId="36AFB912" w:rsidR="006E18FD" w:rsidRPr="0068552B" w:rsidRDefault="00D413CE" w:rsidP="00914EA7">
            <w:pPr>
              <w:pStyle w:val="Tablebodybullet1"/>
              <w:numPr>
                <w:ilvl w:val="0"/>
                <w:numId w:val="19"/>
              </w:numPr>
              <w:cnfStyle w:val="000000000000" w:firstRow="0" w:lastRow="0" w:firstColumn="0" w:lastColumn="0" w:oddVBand="0" w:evenVBand="0" w:oddHBand="0" w:evenHBand="0" w:firstRowFirstColumn="0" w:firstRowLastColumn="0" w:lastRowFirstColumn="0" w:lastRowLastColumn="0"/>
            </w:pPr>
            <w:r>
              <w:t xml:space="preserve">ICT </w:t>
            </w:r>
            <w:r w:rsidR="006E18FD">
              <w:t>systems.</w:t>
            </w:r>
          </w:p>
        </w:tc>
      </w:tr>
      <w:tr w:rsidR="006E18FD" w14:paraId="64800CC6" w14:textId="77777777" w:rsidTr="00914EA7">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668" w:type="dxa"/>
          </w:tcPr>
          <w:p w14:paraId="380A212F" w14:textId="77777777" w:rsidR="006E18FD" w:rsidRPr="0068552B" w:rsidRDefault="006E18FD" w:rsidP="00D53376">
            <w:pPr>
              <w:spacing w:after="0"/>
              <w:rPr>
                <w:rStyle w:val="Strong"/>
                <w:b/>
              </w:rPr>
            </w:pPr>
            <w:r w:rsidRPr="0068552B">
              <w:rPr>
                <w:rStyle w:val="Strong"/>
                <w:b/>
              </w:rPr>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p>
          <w:p w14:paraId="77A7C86F" w14:textId="77777777" w:rsidR="006E18FD" w:rsidRPr="0068552B" w:rsidRDefault="006E18FD" w:rsidP="00D53376">
            <w:pPr>
              <w:spacing w:after="0"/>
              <w:rPr>
                <w:rStyle w:val="Strong"/>
                <w:b/>
              </w:rPr>
            </w:pPr>
            <w:r>
              <w:rPr>
                <w:rStyle w:val="Strong"/>
                <w:b/>
              </w:rPr>
              <w:t>Risk assessment</w:t>
            </w:r>
          </w:p>
        </w:tc>
        <w:tc>
          <w:tcPr>
            <w:tcW w:w="9014" w:type="dxa"/>
          </w:tcPr>
          <w:p w14:paraId="7AC14BA6" w14:textId="5274C415" w:rsidR="006E18FD" w:rsidRPr="0068552B" w:rsidRDefault="006E18FD" w:rsidP="008B717C">
            <w:pPr>
              <w:pStyle w:val="Tablebody"/>
              <w:cnfStyle w:val="000000100000" w:firstRow="0" w:lastRow="0" w:firstColumn="0" w:lastColumn="0" w:oddVBand="0" w:evenVBand="0" w:oddHBand="1" w:evenHBand="0" w:firstRowFirstColumn="0" w:firstRowLastColumn="0" w:lastRowFirstColumn="0" w:lastRowLastColumn="0"/>
            </w:pPr>
            <w:r w:rsidRPr="009E1CDE">
              <w:t xml:space="preserve">Where it is not possible to undertake </w:t>
            </w:r>
            <w:r w:rsidR="008B717C">
              <w:t>required</w:t>
            </w:r>
            <w:r w:rsidR="008B717C" w:rsidRPr="009E1CDE">
              <w:t xml:space="preserve"> </w:t>
            </w:r>
            <w:r w:rsidRPr="009E1CDE">
              <w:t xml:space="preserve">separation procedures, entities </w:t>
            </w:r>
            <w:r w:rsidRPr="009E1CDE">
              <w:rPr>
                <w:b/>
              </w:rPr>
              <w:t xml:space="preserve">must </w:t>
            </w:r>
            <w:r w:rsidRPr="009E1CDE">
              <w:t>undertake a risk assessment to identify any security implications.</w:t>
            </w:r>
          </w:p>
        </w:tc>
      </w:tr>
      <w:tr w:rsidR="006E18FD" w14:paraId="319836B3" w14:textId="77777777" w:rsidTr="00914EA7">
        <w:trPr>
          <w:cantSplit/>
          <w:jc w:val="center"/>
        </w:trPr>
        <w:tc>
          <w:tcPr>
            <w:cnfStyle w:val="001000000000" w:firstRow="0" w:lastRow="0" w:firstColumn="1" w:lastColumn="0" w:oddVBand="0" w:evenVBand="0" w:oddHBand="0" w:evenHBand="0" w:firstRowFirstColumn="0" w:firstRowLastColumn="0" w:lastRowFirstColumn="0" w:lastRowLastColumn="0"/>
            <w:tcW w:w="1668" w:type="dxa"/>
          </w:tcPr>
          <w:p w14:paraId="1F76F04F" w14:textId="77777777" w:rsidR="006E18FD" w:rsidRPr="0068552B" w:rsidRDefault="006E18FD" w:rsidP="00D53376">
            <w:pPr>
              <w:spacing w:after="0"/>
              <w:rPr>
                <w:rStyle w:val="Strong"/>
                <w:b/>
              </w:rPr>
            </w:pPr>
            <w:r w:rsidRPr="0068552B">
              <w:rPr>
                <w:rStyle w:val="Strong"/>
                <w:b/>
              </w:rPr>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p>
          <w:p w14:paraId="30EDBB26" w14:textId="77777777" w:rsidR="006E18FD" w:rsidRPr="0068552B" w:rsidRDefault="006E18FD" w:rsidP="00D53376">
            <w:pPr>
              <w:spacing w:after="0"/>
              <w:rPr>
                <w:rStyle w:val="Strong"/>
                <w:b/>
              </w:rPr>
            </w:pPr>
            <w:r>
              <w:rPr>
                <w:rStyle w:val="Strong"/>
                <w:b/>
              </w:rPr>
              <w:t>Security clearance actions</w:t>
            </w:r>
          </w:p>
        </w:tc>
        <w:tc>
          <w:tcPr>
            <w:tcW w:w="9014" w:type="dxa"/>
          </w:tcPr>
          <w:p w14:paraId="53C5A234" w14:textId="2515F3BE" w:rsidR="0005310C" w:rsidRDefault="006E18FD" w:rsidP="0005310C">
            <w:pPr>
              <w:pStyle w:val="Tablebody"/>
              <w:cnfStyle w:val="000000000000" w:firstRow="0" w:lastRow="0" w:firstColumn="0" w:lastColumn="0" w:oddVBand="0" w:evenVBand="0" w:oddHBand="0" w:evenHBand="0" w:firstRowFirstColumn="0" w:firstRowLastColumn="0" w:lastRowFirstColumn="0" w:lastRowLastColumn="0"/>
            </w:pPr>
            <w:r w:rsidRPr="00A4205A">
              <w:t>Following the separation</w:t>
            </w:r>
            <w:r w:rsidRPr="00754749">
              <w:rPr>
                <w:rFonts w:cstheme="minorHAnsi"/>
                <w:szCs w:val="18"/>
              </w:rPr>
              <w:t xml:space="preserve"> </w:t>
            </w:r>
            <w:r w:rsidRPr="00A4205A">
              <w:t xml:space="preserve">of </w:t>
            </w:r>
            <w:r w:rsidRPr="00754749">
              <w:rPr>
                <w:rFonts w:cstheme="minorHAnsi"/>
                <w:szCs w:val="18"/>
              </w:rPr>
              <w:t xml:space="preserve">security cleared </w:t>
            </w:r>
            <w:r w:rsidRPr="00A4205A">
              <w:t>personnel</w:t>
            </w:r>
            <w:r w:rsidR="0005310C">
              <w:t>:</w:t>
            </w:r>
          </w:p>
          <w:p w14:paraId="251553C9" w14:textId="1C224BA5" w:rsidR="006E18FD" w:rsidRDefault="006E18FD" w:rsidP="00092751">
            <w:pPr>
              <w:pStyle w:val="Tablebodybullet1"/>
              <w:numPr>
                <w:ilvl w:val="0"/>
                <w:numId w:val="22"/>
              </w:numPr>
              <w:cnfStyle w:val="000000000000" w:firstRow="0" w:lastRow="0" w:firstColumn="0" w:lastColumn="0" w:oddVBand="0" w:evenVBand="0" w:oddHBand="0" w:evenHBand="0" w:firstRowFirstColumn="0" w:firstRowLastColumn="0" w:lastRowFirstColumn="0" w:lastRowLastColumn="0"/>
            </w:pPr>
            <w:r w:rsidRPr="00A4205A">
              <w:t xml:space="preserve">sponsoring entities </w:t>
            </w:r>
            <w:r w:rsidRPr="0005310C">
              <w:rPr>
                <w:rFonts w:cstheme="minorHAnsi"/>
                <w:b/>
                <w:bCs/>
                <w:szCs w:val="18"/>
              </w:rPr>
              <w:t>must</w:t>
            </w:r>
            <w:r w:rsidR="00092751">
              <w:t xml:space="preserve"> </w:t>
            </w:r>
            <w:r w:rsidRPr="00A4205A">
              <w:t>advise the relevant authorised vetting agency of:</w:t>
            </w:r>
          </w:p>
          <w:p w14:paraId="3E3C191E" w14:textId="6654B199" w:rsidR="006E18FD" w:rsidRPr="004760DB" w:rsidRDefault="006E18FD" w:rsidP="00092751">
            <w:pPr>
              <w:pStyle w:val="Tablebodybullet2"/>
              <w:cnfStyle w:val="000000000000" w:firstRow="0" w:lastRow="0" w:firstColumn="0" w:lastColumn="0" w:oddVBand="0" w:evenVBand="0" w:oddHBand="0" w:evenHBand="0" w:firstRowFirstColumn="0" w:firstRowLastColumn="0" w:lastRowFirstColumn="0" w:lastRowLastColumn="0"/>
            </w:pPr>
            <w:r w:rsidRPr="004760DB">
              <w:t>the separation of a clearance holder, including any relevant circumstances (</w:t>
            </w:r>
            <w:r w:rsidR="00FE4ADB">
              <w:t>eg</w:t>
            </w:r>
            <w:r w:rsidR="004A5300">
              <w:t xml:space="preserve"> </w:t>
            </w:r>
            <w:r w:rsidRPr="004760DB">
              <w:t>termination for cause) and any details, if known, of another entity or contracted service provider the clearance holder is transferring to, and</w:t>
            </w:r>
          </w:p>
          <w:p w14:paraId="229C583C" w14:textId="0E92095D" w:rsidR="006E18FD" w:rsidRPr="004760DB" w:rsidRDefault="006E18FD" w:rsidP="00092751">
            <w:pPr>
              <w:pStyle w:val="Tablebodybullet2"/>
              <w:cnfStyle w:val="000000000000" w:firstRow="0" w:lastRow="0" w:firstColumn="0" w:lastColumn="0" w:oddVBand="0" w:evenVBand="0" w:oddHBand="0" w:evenHBand="0" w:firstRowFirstColumn="0" w:firstRowLastColumn="0" w:lastRowFirstColumn="0" w:lastRowLastColumn="0"/>
            </w:pPr>
            <w:r w:rsidRPr="004760DB">
              <w:t xml:space="preserve">any identified risks or security concerns associated with the separation, including as a result of </w:t>
            </w:r>
            <w:r w:rsidR="001369BF">
              <w:rPr>
                <w:b/>
              </w:rPr>
              <w:t>R</w:t>
            </w:r>
            <w:r w:rsidRPr="004760DB">
              <w:rPr>
                <w:b/>
              </w:rPr>
              <w:t>equirement 3</w:t>
            </w:r>
            <w:r w:rsidRPr="004760DB">
              <w:t>.</w:t>
            </w:r>
          </w:p>
          <w:p w14:paraId="62F1C272" w14:textId="77777777" w:rsidR="006E18FD" w:rsidRPr="00A4205A" w:rsidRDefault="006E18FD" w:rsidP="00D53376">
            <w:pPr>
              <w:pStyle w:val="Tablebodybullet3"/>
              <w:numPr>
                <w:ilvl w:val="0"/>
                <w:numId w:val="0"/>
              </w:numPr>
              <w:ind w:left="2160"/>
              <w:cnfStyle w:val="000000000000" w:firstRow="0" w:lastRow="0" w:firstColumn="0" w:lastColumn="0" w:oddVBand="0" w:evenVBand="0" w:oddHBand="0" w:evenHBand="0" w:firstRowFirstColumn="0" w:firstRowLastColumn="0" w:lastRowFirstColumn="0" w:lastRowLastColumn="0"/>
            </w:pPr>
          </w:p>
          <w:p w14:paraId="6FBD88A5" w14:textId="56349597" w:rsidR="006E18FD" w:rsidRDefault="0005310C" w:rsidP="00D53376">
            <w:pPr>
              <w:pStyle w:val="Tablebodybullet1"/>
              <w:cnfStyle w:val="000000000000" w:firstRow="0" w:lastRow="0" w:firstColumn="0" w:lastColumn="0" w:oddVBand="0" w:evenVBand="0" w:oddHBand="0" w:evenHBand="0" w:firstRowFirstColumn="0" w:firstRowLastColumn="0" w:lastRowFirstColumn="0" w:lastRowLastColumn="0"/>
            </w:pPr>
            <w:r>
              <w:t>a</w:t>
            </w:r>
            <w:r w:rsidR="00D53376">
              <w:t>uthorised v</w:t>
            </w:r>
            <w:r w:rsidR="006E18FD">
              <w:t xml:space="preserve">etting agencies </w:t>
            </w:r>
            <w:r w:rsidR="006E18FD">
              <w:rPr>
                <w:b/>
              </w:rPr>
              <w:t>must</w:t>
            </w:r>
            <w:r w:rsidR="006E18FD">
              <w:t>:</w:t>
            </w:r>
          </w:p>
          <w:p w14:paraId="55301E19" w14:textId="6FD4B499" w:rsidR="006E18FD" w:rsidRPr="00A4205A" w:rsidRDefault="006E18FD" w:rsidP="00A86FAC">
            <w:pPr>
              <w:pStyle w:val="Tablebodybullet2"/>
              <w:numPr>
                <w:ilvl w:val="0"/>
                <w:numId w:val="32"/>
              </w:numPr>
              <w:cnfStyle w:val="000000000000" w:firstRow="0" w:lastRow="0" w:firstColumn="0" w:lastColumn="0" w:oddVBand="0" w:evenVBand="0" w:oddHBand="0" w:evenHBand="0" w:firstRowFirstColumn="0" w:firstRowLastColumn="0" w:lastRowFirstColumn="0" w:lastRowLastColumn="0"/>
            </w:pPr>
            <w:r w:rsidRPr="00A4205A">
              <w:t xml:space="preserve">manage and record changes in </w:t>
            </w:r>
            <w:r w:rsidR="008B717C">
              <w:t>the</w:t>
            </w:r>
            <w:r w:rsidR="00E92AA3">
              <w:t xml:space="preserve"> </w:t>
            </w:r>
            <w:r w:rsidRPr="00A4205A">
              <w:t>security clearance status</w:t>
            </w:r>
            <w:r w:rsidR="008B717C">
              <w:t xml:space="preserve"> of separating personnel</w:t>
            </w:r>
            <w:r w:rsidRPr="00A4205A">
              <w:t xml:space="preserve">, including </w:t>
            </w:r>
            <w:r w:rsidR="00E92AA3">
              <w:t xml:space="preserve">a </w:t>
            </w:r>
            <w:r w:rsidRPr="00A4205A">
              <w:t>change of sponsoring entity, and</w:t>
            </w:r>
          </w:p>
          <w:p w14:paraId="31FF7E2C" w14:textId="782BD605" w:rsidR="006E18FD" w:rsidRPr="0068552B" w:rsidRDefault="006E18FD" w:rsidP="00143590">
            <w:pPr>
              <w:pStyle w:val="Tablebodybullet2"/>
              <w:cnfStyle w:val="000000000000" w:firstRow="0" w:lastRow="0" w:firstColumn="0" w:lastColumn="0" w:oddVBand="0" w:evenVBand="0" w:oddHBand="0" w:evenHBand="0" w:firstRowFirstColumn="0" w:firstRowLastColumn="0" w:lastRowFirstColumn="0" w:lastRowLastColumn="0"/>
            </w:pPr>
            <w:r w:rsidRPr="00A4205A">
              <w:t>transfer</w:t>
            </w:r>
            <w:r w:rsidRPr="00AF02EC">
              <w:t xml:space="preserve"> personal security files where a clearance subject transfers to an entity covered by a different authorised vetting</w:t>
            </w:r>
            <w:r>
              <w:t xml:space="preserve"> agency</w:t>
            </w:r>
            <w:r w:rsidR="00143590">
              <w:t>,</w:t>
            </w:r>
            <w:r>
              <w:t xml:space="preserve"> to the extent that their enabling legislation allows.</w:t>
            </w:r>
          </w:p>
        </w:tc>
      </w:tr>
    </w:tbl>
    <w:p w14:paraId="7CA9C6C1" w14:textId="64451494" w:rsidR="00B95357" w:rsidRDefault="00E127AD" w:rsidP="00B95357">
      <w:pPr>
        <w:pStyle w:val="Heading2"/>
      </w:pPr>
      <w:r>
        <w:t>Guidance</w:t>
      </w:r>
    </w:p>
    <w:p w14:paraId="4DA249A3" w14:textId="52F5AF4F" w:rsidR="00092751" w:rsidRDefault="006E18FD" w:rsidP="00FE4ADB">
      <w:pPr>
        <w:pStyle w:val="Listbullet1"/>
      </w:pPr>
      <w:r w:rsidRPr="00A67E84">
        <w:t>Managing security risks relating to separating personnel relies on entities</w:t>
      </w:r>
      <w:r w:rsidR="00092751">
        <w:t>:</w:t>
      </w:r>
    </w:p>
    <w:p w14:paraId="1C4F3FF7" w14:textId="1EF78AAD" w:rsidR="00092751" w:rsidRDefault="006E18FD" w:rsidP="00FE4ADB">
      <w:pPr>
        <w:pStyle w:val="ListBullet2"/>
      </w:pPr>
      <w:r w:rsidRPr="00A67E84">
        <w:t>identify</w:t>
      </w:r>
      <w:r w:rsidR="00092751">
        <w:t>ing</w:t>
      </w:r>
      <w:r w:rsidRPr="00A67E84">
        <w:t xml:space="preserve"> risks</w:t>
      </w:r>
      <w:r w:rsidR="00213FBB">
        <w:t>,</w:t>
      </w:r>
      <w:r w:rsidR="008676F4">
        <w:t xml:space="preserve"> see </w:t>
      </w:r>
      <w:r w:rsidR="008B717C">
        <w:fldChar w:fldCharType="begin"/>
      </w:r>
      <w:r w:rsidR="008B717C">
        <w:instrText xml:space="preserve"> REF _Ref521493558 \r \h </w:instrText>
      </w:r>
      <w:r w:rsidR="008B717C">
        <w:fldChar w:fldCharType="separate"/>
      </w:r>
      <w:r w:rsidR="00CE0A07">
        <w:t>C.1</w:t>
      </w:r>
      <w:r w:rsidR="008B717C">
        <w:fldChar w:fldCharType="end"/>
      </w:r>
      <w:r w:rsidR="008B717C">
        <w:t xml:space="preserve"> and </w:t>
      </w:r>
      <w:r w:rsidR="008676F4">
        <w:fldChar w:fldCharType="begin"/>
      </w:r>
      <w:r w:rsidR="008676F4">
        <w:instrText xml:space="preserve"> REF _Ref521493506 \r \h </w:instrText>
      </w:r>
      <w:r w:rsidR="008676F4">
        <w:fldChar w:fldCharType="separate"/>
      </w:r>
      <w:r w:rsidR="00CE0A07">
        <w:t>C.4</w:t>
      </w:r>
      <w:r w:rsidR="008676F4">
        <w:fldChar w:fldCharType="end"/>
      </w:r>
    </w:p>
    <w:p w14:paraId="6E44BE07" w14:textId="34302CD9" w:rsidR="00092751" w:rsidRDefault="006E18FD" w:rsidP="00FE4ADB">
      <w:pPr>
        <w:pStyle w:val="ListBullet2"/>
      </w:pPr>
      <w:r w:rsidRPr="00A67E84">
        <w:t>remind</w:t>
      </w:r>
      <w:r w:rsidR="00092751">
        <w:t>ing</w:t>
      </w:r>
      <w:r w:rsidRPr="00A67E84">
        <w:t xml:space="preserve"> personnel of their ongoing security obligations</w:t>
      </w:r>
      <w:r w:rsidR="008676F4">
        <w:t xml:space="preserve">, see </w:t>
      </w:r>
      <w:r w:rsidR="008676F4">
        <w:fldChar w:fldCharType="begin"/>
      </w:r>
      <w:r w:rsidR="008676F4">
        <w:instrText xml:space="preserve"> REF _Ref521493524 \r \h </w:instrText>
      </w:r>
      <w:r w:rsidR="008676F4">
        <w:fldChar w:fldCharType="separate"/>
      </w:r>
      <w:r w:rsidR="00CE0A07">
        <w:t>C.2</w:t>
      </w:r>
      <w:r w:rsidR="008676F4">
        <w:fldChar w:fldCharType="end"/>
      </w:r>
    </w:p>
    <w:p w14:paraId="5BF2DAC6" w14:textId="0698F390" w:rsidR="00092751" w:rsidRDefault="006E18FD" w:rsidP="00FE4ADB">
      <w:pPr>
        <w:pStyle w:val="ListBullet2"/>
      </w:pPr>
      <w:r w:rsidRPr="00A67E84">
        <w:t>ensur</w:t>
      </w:r>
      <w:r w:rsidR="00092751">
        <w:t>ing</w:t>
      </w:r>
      <w:r w:rsidRPr="00A67E84">
        <w:t xml:space="preserve">  access</w:t>
      </w:r>
      <w:r w:rsidR="00092751">
        <w:t xml:space="preserve"> to entities resources</w:t>
      </w:r>
      <w:r w:rsidRPr="00A67E84">
        <w:t xml:space="preserve"> is withdrawn</w:t>
      </w:r>
      <w:r w:rsidR="00143590" w:rsidRPr="00143590">
        <w:t xml:space="preserve"> </w:t>
      </w:r>
      <w:r w:rsidR="00143590">
        <w:t>for separating personnel</w:t>
      </w:r>
      <w:r w:rsidR="008676F4">
        <w:t xml:space="preserve">, see </w:t>
      </w:r>
      <w:r w:rsidR="008676F4">
        <w:fldChar w:fldCharType="begin"/>
      </w:r>
      <w:r w:rsidR="008676F4">
        <w:instrText xml:space="preserve"> REF _Ref521493533 \r \h </w:instrText>
      </w:r>
      <w:r w:rsidR="008676F4">
        <w:fldChar w:fldCharType="separate"/>
      </w:r>
      <w:r w:rsidR="00CE0A07">
        <w:t>C.3</w:t>
      </w:r>
      <w:r w:rsidR="008676F4">
        <w:fldChar w:fldCharType="end"/>
      </w:r>
    </w:p>
    <w:p w14:paraId="3FE5500E" w14:textId="19E86039" w:rsidR="006E18FD" w:rsidRPr="00A67E84" w:rsidRDefault="00092751" w:rsidP="00FE4ADB">
      <w:pPr>
        <w:pStyle w:val="ListBullet2"/>
      </w:pPr>
      <w:r>
        <w:t>sharing r</w:t>
      </w:r>
      <w:r w:rsidR="006E18FD" w:rsidRPr="00A67E84">
        <w:t>elevant details of the separation with other entit</w:t>
      </w:r>
      <w:r w:rsidR="000635AA">
        <w:t>ies, including vetting agencies</w:t>
      </w:r>
      <w:r w:rsidR="008676F4">
        <w:t xml:space="preserve">, see </w:t>
      </w:r>
      <w:r w:rsidR="008676F4">
        <w:fldChar w:fldCharType="begin"/>
      </w:r>
      <w:r w:rsidR="008676F4">
        <w:instrText xml:space="preserve"> REF _Ref521493558 \r \h </w:instrText>
      </w:r>
      <w:r w:rsidR="008676F4">
        <w:fldChar w:fldCharType="separate"/>
      </w:r>
      <w:r w:rsidR="00CE0A07">
        <w:t>C.1</w:t>
      </w:r>
      <w:r w:rsidR="008676F4">
        <w:fldChar w:fldCharType="end"/>
      </w:r>
      <w:r w:rsidR="008676F4">
        <w:t>.</w:t>
      </w:r>
    </w:p>
    <w:p w14:paraId="5B3D06F8" w14:textId="2CEA5E59" w:rsidR="006E18FD" w:rsidRPr="00A67E84" w:rsidRDefault="006E18FD" w:rsidP="00FE4ADB">
      <w:pPr>
        <w:pStyle w:val="Listbullet1"/>
      </w:pPr>
      <w:r w:rsidRPr="00A67E84">
        <w:t xml:space="preserve">The PSPF policy: </w:t>
      </w:r>
      <w:hyperlink r:id="rId9" w:history="1">
        <w:r w:rsidRPr="00060A9E">
          <w:rPr>
            <w:rStyle w:val="Hyperlink"/>
          </w:rPr>
          <w:t>Management structures and responsibilities</w:t>
        </w:r>
      </w:hyperlink>
      <w:r w:rsidRPr="00A67E84">
        <w:t xml:space="preserve"> requires entities to develop </w:t>
      </w:r>
      <w:r w:rsidR="00D413CE">
        <w:t xml:space="preserve">and use procedures that ensure </w:t>
      </w:r>
      <w:r w:rsidR="005D7E7D">
        <w:t>relevant</w:t>
      </w:r>
      <w:r w:rsidRPr="00A67E84">
        <w:t xml:space="preserve"> </w:t>
      </w:r>
      <w:r w:rsidR="00D413CE">
        <w:t xml:space="preserve">security policy </w:t>
      </w:r>
      <w:r w:rsidR="005D7E7D">
        <w:t xml:space="preserve">or legislative obligations </w:t>
      </w:r>
      <w:r w:rsidR="00D413CE">
        <w:t xml:space="preserve">are </w:t>
      </w:r>
      <w:r w:rsidR="005D7E7D">
        <w:t>met</w:t>
      </w:r>
      <w:r w:rsidRPr="00A67E84">
        <w:t xml:space="preserve">. </w:t>
      </w:r>
      <w:r w:rsidR="008676F4">
        <w:t>In line with that requirement, t</w:t>
      </w:r>
      <w:r w:rsidRPr="00A67E84">
        <w:t>he Attorney-General’s Department recommends entities</w:t>
      </w:r>
      <w:r w:rsidR="008676F4">
        <w:t xml:space="preserve"> have</w:t>
      </w:r>
      <w:r w:rsidRPr="00A67E84">
        <w:t xml:space="preserve"> procedures for managing personnel </w:t>
      </w:r>
      <w:r w:rsidR="00CB0943">
        <w:t xml:space="preserve">security </w:t>
      </w:r>
      <w:r w:rsidRPr="00A67E84">
        <w:t xml:space="preserve">during separation. These procedures will vary depending on the personnel being separated, their access to </w:t>
      </w:r>
      <w:r w:rsidR="00A97CAE">
        <w:t xml:space="preserve">sensitive and security </w:t>
      </w:r>
      <w:r w:rsidRPr="00A67E84">
        <w:t>classified resources and the entity’s assessment of the security risk.</w:t>
      </w:r>
    </w:p>
    <w:p w14:paraId="098CF8FD" w14:textId="77777777" w:rsidR="006E18FD" w:rsidRPr="00116E26" w:rsidRDefault="006E18FD" w:rsidP="006E18FD">
      <w:pPr>
        <w:pStyle w:val="Heading3"/>
      </w:pPr>
      <w:bookmarkStart w:id="5" w:name="_Ref521493558"/>
      <w:r>
        <w:t>Sharing relevant information</w:t>
      </w:r>
      <w:bookmarkEnd w:id="5"/>
    </w:p>
    <w:p w14:paraId="649463C1" w14:textId="368BA90B" w:rsidR="005D7E7D" w:rsidRDefault="003453EB" w:rsidP="00FE4ADB">
      <w:pPr>
        <w:pStyle w:val="Listbullet1"/>
      </w:pPr>
      <w:hyperlink w:anchor="_Supporting_requirements" w:history="1">
        <w:r w:rsidR="001369BF" w:rsidRPr="00582AFE">
          <w:rPr>
            <w:b/>
          </w:rPr>
          <w:t>R</w:t>
        </w:r>
        <w:r w:rsidR="006E18FD" w:rsidRPr="00582AFE">
          <w:rPr>
            <w:b/>
          </w:rPr>
          <w:t>equirement 1a</w:t>
        </w:r>
      </w:hyperlink>
      <w:r w:rsidR="006E18FD">
        <w:t xml:space="preserve"> mandates that the entity’s Chief Security Officer, or relevant security advisor, is notified of any proposed </w:t>
      </w:r>
      <w:r w:rsidR="000C3629">
        <w:t xml:space="preserve">cessations </w:t>
      </w:r>
      <w:r w:rsidR="006E18FD">
        <w:t>of employment resulting from misconduct</w:t>
      </w:r>
      <w:r w:rsidR="000C3629">
        <w:t xml:space="preserve"> (eg</w:t>
      </w:r>
      <w:r w:rsidR="006E18FD">
        <w:t xml:space="preserve"> </w:t>
      </w:r>
      <w:r w:rsidR="00BC3467">
        <w:t xml:space="preserve">termination for cause or </w:t>
      </w:r>
      <w:r w:rsidR="006E18FD">
        <w:t>resignations following concerning conduct</w:t>
      </w:r>
      <w:r w:rsidR="000C3629">
        <w:t>)</w:t>
      </w:r>
      <w:r w:rsidR="006E18FD">
        <w:t>. The Attorney-General’s Department recommends that any security measures for staff whose employment has been terminated are based on a risk assessment.</w:t>
      </w:r>
      <w:r w:rsidR="00976B3C" w:rsidRPr="00976B3C">
        <w:t xml:space="preserve"> </w:t>
      </w:r>
      <w:r w:rsidR="005D7E7D">
        <w:t>Security measures</w:t>
      </w:r>
      <w:r w:rsidR="005D7E7D" w:rsidRPr="00923F0B">
        <w:t xml:space="preserve"> </w:t>
      </w:r>
      <w:r w:rsidR="00976B3C" w:rsidRPr="00923F0B">
        <w:t>for high</w:t>
      </w:r>
      <w:r w:rsidR="00976B3C">
        <w:t>-</w:t>
      </w:r>
      <w:r w:rsidR="00976B3C" w:rsidRPr="00923F0B">
        <w:t>risk personnel may include</w:t>
      </w:r>
      <w:r w:rsidR="005D7E7D">
        <w:t>:</w:t>
      </w:r>
    </w:p>
    <w:p w14:paraId="2655112D" w14:textId="26E0CC69" w:rsidR="005D7E7D" w:rsidRDefault="00976B3C" w:rsidP="00FE4ADB">
      <w:pPr>
        <w:pStyle w:val="ListBullet2"/>
        <w:numPr>
          <w:ilvl w:val="0"/>
          <w:numId w:val="38"/>
        </w:numPr>
      </w:pPr>
      <w:r w:rsidRPr="00923F0B">
        <w:t>immediate suspension of duties</w:t>
      </w:r>
    </w:p>
    <w:p w14:paraId="024ACE9B" w14:textId="190EA194" w:rsidR="005D7E7D" w:rsidRDefault="00976B3C" w:rsidP="00FE4ADB">
      <w:pPr>
        <w:pStyle w:val="ListBullet2"/>
      </w:pPr>
      <w:r w:rsidRPr="00923F0B">
        <w:lastRenderedPageBreak/>
        <w:t>immediate removal of all access to entity systems and facilities</w:t>
      </w:r>
    </w:p>
    <w:p w14:paraId="3D16E2A7" w14:textId="0AE4BB8C" w:rsidR="005D7E7D" w:rsidRDefault="00976B3C" w:rsidP="00FE4ADB">
      <w:pPr>
        <w:pStyle w:val="ListBullet2"/>
      </w:pPr>
      <w:r w:rsidRPr="00923F0B">
        <w:t xml:space="preserve">escorting the person from </w:t>
      </w:r>
      <w:r>
        <w:t xml:space="preserve">the </w:t>
      </w:r>
      <w:r w:rsidRPr="00923F0B">
        <w:t>premises.</w:t>
      </w:r>
      <w:r w:rsidR="006E18FD">
        <w:t xml:space="preserve"> </w:t>
      </w:r>
    </w:p>
    <w:p w14:paraId="1AB5E716" w14:textId="61595E8A" w:rsidR="006E18FD" w:rsidRDefault="006E18FD" w:rsidP="00FE4ADB">
      <w:pPr>
        <w:pStyle w:val="Listbullet1"/>
      </w:pPr>
      <w:r>
        <w:t xml:space="preserve">If separation is the result of an incident </w:t>
      </w:r>
      <w:r w:rsidR="005D7E7D">
        <w:t>(</w:t>
      </w:r>
      <w:r>
        <w:t>or if an incident is uncovered during the separation process</w:t>
      </w:r>
      <w:r w:rsidR="005D7E7D">
        <w:t>)</w:t>
      </w:r>
      <w:r>
        <w:t xml:space="preserve">, </w:t>
      </w:r>
      <w:r w:rsidR="00D413CE">
        <w:t>advise</w:t>
      </w:r>
      <w:r>
        <w:t xml:space="preserve"> other affected entities if their interests or security arrangements could be affected.</w:t>
      </w:r>
      <w:r w:rsidR="00D413CE">
        <w:t xml:space="preserve"> This is consistent with the PSPF policy: </w:t>
      </w:r>
      <w:hyperlink r:id="rId10" w:history="1">
        <w:r w:rsidR="009F4781" w:rsidRPr="009F4781">
          <w:rPr>
            <w:rStyle w:val="Hyperlink"/>
          </w:rPr>
          <w:t>Reporting on s</w:t>
        </w:r>
        <w:r w:rsidR="00D413CE" w:rsidRPr="009F4781">
          <w:rPr>
            <w:rStyle w:val="Hyperlink"/>
          </w:rPr>
          <w:t>ecurity</w:t>
        </w:r>
      </w:hyperlink>
      <w:r w:rsidR="00D413CE">
        <w:t xml:space="preserve"> that requires entities to report on security each financial year to other entities whose interest could be affected.</w:t>
      </w:r>
    </w:p>
    <w:p w14:paraId="0B2C1742" w14:textId="77777777" w:rsidR="006E18FD" w:rsidRDefault="006E18FD" w:rsidP="006E18FD">
      <w:pPr>
        <w:pStyle w:val="Heading4"/>
      </w:pPr>
      <w:r>
        <w:t>Sharing information on transfer</w:t>
      </w:r>
    </w:p>
    <w:p w14:paraId="358500EA" w14:textId="3C8CC1AE" w:rsidR="006E18FD" w:rsidRPr="000E7295" w:rsidRDefault="003453EB" w:rsidP="00FE4ADB">
      <w:pPr>
        <w:pStyle w:val="Listbullet1"/>
      </w:pPr>
      <w:hyperlink w:anchor="_Supporting_requirements" w:history="1">
        <w:r w:rsidR="001369BF" w:rsidRPr="001369BF">
          <w:rPr>
            <w:b/>
          </w:rPr>
          <w:t>R</w:t>
        </w:r>
        <w:r w:rsidR="006E18FD" w:rsidRPr="001369BF">
          <w:rPr>
            <w:b/>
          </w:rPr>
          <w:t>equirement 1c</w:t>
        </w:r>
      </w:hyperlink>
      <w:r w:rsidR="006E18FD" w:rsidRPr="001839BB">
        <w:rPr>
          <w:b/>
        </w:rPr>
        <w:t xml:space="preserve"> </w:t>
      </w:r>
      <w:r w:rsidR="006E18FD" w:rsidRPr="000E7295">
        <w:t>mandates that whe</w:t>
      </w:r>
      <w:r w:rsidR="006E18FD">
        <w:t>n</w:t>
      </w:r>
      <w:r w:rsidR="006E18FD" w:rsidRPr="001839BB">
        <w:t xml:space="preserve"> personnel are transferring to another entity, the losing entity must provide the gaining entity with relevan</w:t>
      </w:r>
      <w:r w:rsidR="006E18FD" w:rsidRPr="008839B5">
        <w:t xml:space="preserve">t </w:t>
      </w:r>
      <w:r w:rsidR="00FE4ADB">
        <w:t xml:space="preserve">security </w:t>
      </w:r>
      <w:r w:rsidR="006E18FD" w:rsidRPr="008839B5">
        <w:t xml:space="preserve">information. </w:t>
      </w:r>
      <w:r w:rsidR="00FE4ADB">
        <w:t>Relevant security information</w:t>
      </w:r>
      <w:r w:rsidR="00FE4ADB" w:rsidRPr="008839B5">
        <w:t xml:space="preserve"> </w:t>
      </w:r>
      <w:r w:rsidR="006E18FD" w:rsidRPr="008839B5">
        <w:t xml:space="preserve">includes the outcome of </w:t>
      </w:r>
      <w:r w:rsidR="006E18FD">
        <w:t>pre</w:t>
      </w:r>
      <w:r w:rsidR="006E18FD">
        <w:noBreakHyphen/>
      </w:r>
      <w:r w:rsidR="006E18FD" w:rsidRPr="008839B5">
        <w:t>employment screening checks and any periodic employment suitability checks</w:t>
      </w:r>
      <w:r w:rsidR="006E18FD">
        <w:t xml:space="preserve">, as well as </w:t>
      </w:r>
      <w:r w:rsidR="006E18FD" w:rsidRPr="000E7295">
        <w:t>concerns that were mitigated as part of the employment screening process.</w:t>
      </w:r>
      <w:r w:rsidR="006E18FD">
        <w:t xml:space="preserve"> The</w:t>
      </w:r>
      <w:r w:rsidR="006E18FD" w:rsidRPr="000E7295">
        <w:t xml:space="preserve"> Attorney-General’s Department recommends that entities </w:t>
      </w:r>
      <w:r w:rsidR="006E18FD">
        <w:t>recognise</w:t>
      </w:r>
      <w:r w:rsidR="006E18FD" w:rsidRPr="001839BB">
        <w:t xml:space="preserve"> pre</w:t>
      </w:r>
      <w:r w:rsidR="006E18FD" w:rsidRPr="001839BB">
        <w:noBreakHyphen/>
        <w:t xml:space="preserve">employment screening and </w:t>
      </w:r>
      <w:r w:rsidR="00D413CE">
        <w:t xml:space="preserve">any </w:t>
      </w:r>
      <w:r w:rsidR="006E18FD" w:rsidRPr="001839BB">
        <w:t xml:space="preserve">periodic employment suitability checks </w:t>
      </w:r>
      <w:r w:rsidR="006E18FD">
        <w:t xml:space="preserve">already </w:t>
      </w:r>
      <w:r w:rsidR="006E18FD" w:rsidRPr="001839BB">
        <w:t>conducted by the losing entity</w:t>
      </w:r>
      <w:r w:rsidR="006E18FD" w:rsidRPr="000E7295">
        <w:t xml:space="preserve"> where the</w:t>
      </w:r>
      <w:r w:rsidR="006E18FD">
        <w:t>y</w:t>
      </w:r>
      <w:r w:rsidR="006E18FD" w:rsidRPr="001839BB">
        <w:t xml:space="preserve"> meet </w:t>
      </w:r>
      <w:r w:rsidR="006E18FD">
        <w:t xml:space="preserve">all </w:t>
      </w:r>
      <w:r w:rsidR="005D7E7D">
        <w:t xml:space="preserve">entity </w:t>
      </w:r>
      <w:r w:rsidR="006E18FD" w:rsidRPr="000E7295">
        <w:t>requirements.</w:t>
      </w:r>
      <w:r w:rsidR="00E42BBB">
        <w:t xml:space="preserve"> For guidance, s</w:t>
      </w:r>
      <w:r w:rsidR="00E42BBB" w:rsidRPr="000E2D7B">
        <w:t xml:space="preserve">ee </w:t>
      </w:r>
      <w:r w:rsidR="00E42BBB">
        <w:t xml:space="preserve">the </w:t>
      </w:r>
      <w:r w:rsidR="00E42BBB" w:rsidRPr="00E42BBB">
        <w:t>PSPF policies:</w:t>
      </w:r>
      <w:r w:rsidR="005D7E7D">
        <w:t xml:space="preserve"> </w:t>
      </w:r>
      <w:hyperlink r:id="rId11" w:history="1">
        <w:r w:rsidR="00E42BBB" w:rsidRPr="00D748D6">
          <w:rPr>
            <w:rStyle w:val="Hyperlink"/>
          </w:rPr>
          <w:t>Eligibility and suitability of personnel</w:t>
        </w:r>
      </w:hyperlink>
      <w:r w:rsidR="00E42BBB">
        <w:t xml:space="preserve"> and </w:t>
      </w:r>
      <w:hyperlink r:id="rId12" w:history="1">
        <w:r w:rsidR="00E42BBB" w:rsidRPr="00D748D6">
          <w:rPr>
            <w:rStyle w:val="Hyperlink"/>
          </w:rPr>
          <w:t>Ongoing assessment of personnel</w:t>
        </w:r>
      </w:hyperlink>
      <w:r w:rsidR="00E42BBB">
        <w:t>.</w:t>
      </w:r>
    </w:p>
    <w:p w14:paraId="5FABA7A1" w14:textId="77777777" w:rsidR="006E18FD" w:rsidRDefault="006E18FD" w:rsidP="006E18FD">
      <w:pPr>
        <w:pStyle w:val="Heading4"/>
      </w:pPr>
      <w:bookmarkStart w:id="6" w:name="_Ref518462136"/>
      <w:r>
        <w:t>Informing relevant authorised vetting agencies</w:t>
      </w:r>
      <w:bookmarkEnd w:id="6"/>
    </w:p>
    <w:p w14:paraId="574AAE18" w14:textId="7F906C9F" w:rsidR="006E18FD" w:rsidRPr="00A4205A" w:rsidRDefault="003453EB" w:rsidP="00FE4ADB">
      <w:pPr>
        <w:pStyle w:val="Listbullet1"/>
      </w:pPr>
      <w:hyperlink w:anchor="_Supporting_requirements" w:history="1">
        <w:r w:rsidR="001369BF" w:rsidRPr="001369BF">
          <w:rPr>
            <w:b/>
          </w:rPr>
          <w:t>R</w:t>
        </w:r>
        <w:r w:rsidR="006E18FD" w:rsidRPr="001369BF">
          <w:rPr>
            <w:b/>
          </w:rPr>
          <w:t>equirement 4a</w:t>
        </w:r>
        <w:r w:rsidR="00D413CE" w:rsidRPr="001369BF">
          <w:rPr>
            <w:b/>
          </w:rPr>
          <w:t>i</w:t>
        </w:r>
      </w:hyperlink>
      <w:r w:rsidR="006E18FD" w:rsidRPr="00D413CE">
        <w:rPr>
          <w:b/>
        </w:rPr>
        <w:t xml:space="preserve"> </w:t>
      </w:r>
      <w:r w:rsidR="006E18FD" w:rsidRPr="00D413CE">
        <w:t>mandates</w:t>
      </w:r>
      <w:r w:rsidR="006E18FD" w:rsidRPr="00A4205A">
        <w:t xml:space="preserve"> that entities </w:t>
      </w:r>
      <w:r w:rsidR="00FE4ADB">
        <w:t>advise</w:t>
      </w:r>
      <w:r w:rsidR="00FE4ADB" w:rsidRPr="00A4205A">
        <w:t xml:space="preserve"> </w:t>
      </w:r>
      <w:r w:rsidR="006E18FD" w:rsidRPr="00A4205A">
        <w:t xml:space="preserve">the relevant authorised vetting agency of the separation or transfer of personnel </w:t>
      </w:r>
      <w:r w:rsidR="006E18FD">
        <w:t>who</w:t>
      </w:r>
      <w:r w:rsidR="006E18FD" w:rsidRPr="00A4205A">
        <w:t xml:space="preserve"> hold an Australian Government security clearance</w:t>
      </w:r>
      <w:r w:rsidR="006E18FD">
        <w:t>. This</w:t>
      </w:r>
      <w:r w:rsidR="006E18FD" w:rsidRPr="00A4205A">
        <w:t xml:space="preserve"> includ</w:t>
      </w:r>
      <w:r w:rsidR="006E18FD">
        <w:t>es</w:t>
      </w:r>
      <w:r w:rsidR="006E18FD" w:rsidRPr="00A4205A">
        <w:t xml:space="preserve"> advising the authorised vetting agency that sponsorship has been withdrawn </w:t>
      </w:r>
      <w:r w:rsidR="006E18FD">
        <w:t>from</w:t>
      </w:r>
      <w:r w:rsidR="006E18FD" w:rsidRPr="00A4205A">
        <w:t xml:space="preserve"> the security clearance</w:t>
      </w:r>
      <w:r w:rsidR="00BC3467">
        <w:t xml:space="preserve"> and, w</w:t>
      </w:r>
      <w:r w:rsidR="00BC3467" w:rsidRPr="00A4205A">
        <w:t>here it is known that an individual is transferring to another Australian Government entity, the details of the transfer</w:t>
      </w:r>
      <w:r w:rsidR="006E18FD" w:rsidRPr="00A4205A">
        <w:t xml:space="preserve">. </w:t>
      </w:r>
      <w:hyperlink w:anchor="_Supporting_requirements" w:history="1">
        <w:r w:rsidR="00FE4ADB" w:rsidRPr="00FE4ADB">
          <w:rPr>
            <w:b/>
          </w:rPr>
          <w:t>Requirement 4aii</w:t>
        </w:r>
      </w:hyperlink>
      <w:r w:rsidR="00FE4ADB">
        <w:t xml:space="preserve"> mandates that e</w:t>
      </w:r>
      <w:r w:rsidR="006E18FD" w:rsidRPr="00A4205A">
        <w:t xml:space="preserve">ntities advise the vetting agency of </w:t>
      </w:r>
      <w:r w:rsidR="00FE4ADB">
        <w:t>any</w:t>
      </w:r>
      <w:r w:rsidR="006E18FD" w:rsidRPr="00A4205A">
        <w:t xml:space="preserve"> identified risks </w:t>
      </w:r>
      <w:r w:rsidR="00FE4ADB">
        <w:t>or</w:t>
      </w:r>
      <w:r w:rsidR="00FE4ADB" w:rsidRPr="00A4205A">
        <w:t xml:space="preserve"> </w:t>
      </w:r>
      <w:r w:rsidR="006E18FD" w:rsidRPr="00A4205A">
        <w:t xml:space="preserve">security concerns associated with the separation, </w:t>
      </w:r>
      <w:r w:rsidR="00FE4ADB">
        <w:t>for example</w:t>
      </w:r>
      <w:r w:rsidR="00FE4ADB" w:rsidRPr="00A4205A">
        <w:t xml:space="preserve"> </w:t>
      </w:r>
      <w:r w:rsidR="006E18FD" w:rsidRPr="00A4205A">
        <w:t>where:</w:t>
      </w:r>
    </w:p>
    <w:p w14:paraId="6705AA0E" w14:textId="77777777" w:rsidR="006E18FD" w:rsidRPr="00A4205A" w:rsidRDefault="006E18FD" w:rsidP="00FE4ADB">
      <w:pPr>
        <w:pStyle w:val="ListBullet2"/>
        <w:numPr>
          <w:ilvl w:val="0"/>
          <w:numId w:val="39"/>
        </w:numPr>
      </w:pPr>
      <w:r w:rsidRPr="00A4205A">
        <w:t>the individual’s employment</w:t>
      </w:r>
      <w:r>
        <w:t xml:space="preserve"> or </w:t>
      </w:r>
      <w:r w:rsidRPr="00A4205A">
        <w:t xml:space="preserve">contract is </w:t>
      </w:r>
      <w:r w:rsidRPr="001839BB">
        <w:t>terminated for cause</w:t>
      </w:r>
    </w:p>
    <w:p w14:paraId="5F59C508" w14:textId="77777777" w:rsidR="006E18FD" w:rsidRPr="00A4205A" w:rsidRDefault="006E18FD" w:rsidP="00FE4ADB">
      <w:pPr>
        <w:pStyle w:val="ListBullet2"/>
      </w:pPr>
      <w:r w:rsidRPr="00A4205A">
        <w:t>the individual was subject to a code of conduct investigation, whether completed or not</w:t>
      </w:r>
    </w:p>
    <w:p w14:paraId="11E8BDF8" w14:textId="7304FCE9" w:rsidR="006E18FD" w:rsidRPr="00A4205A" w:rsidRDefault="006E18FD" w:rsidP="00FE4ADB">
      <w:pPr>
        <w:pStyle w:val="ListBullet2"/>
      </w:pPr>
      <w:r w:rsidRPr="00A4205A">
        <w:t>the individual departed without a security debrief</w:t>
      </w:r>
    </w:p>
    <w:p w14:paraId="48B547D3" w14:textId="79069A2D" w:rsidR="006E18FD" w:rsidRPr="00A4205A" w:rsidRDefault="006E18FD" w:rsidP="00BC3467">
      <w:pPr>
        <w:pStyle w:val="ListBullet2"/>
      </w:pPr>
      <w:r w:rsidRPr="00A4205A">
        <w:t xml:space="preserve">there are outstanding security issues, including any risks or issues identified through a risk assessment conducted in accordance </w:t>
      </w:r>
      <w:r w:rsidRPr="00D413CE">
        <w:t>with</w:t>
      </w:r>
      <w:r w:rsidRPr="00D413CE">
        <w:rPr>
          <w:b/>
          <w:sz w:val="18"/>
        </w:rPr>
        <w:t xml:space="preserve"> </w:t>
      </w:r>
      <w:hyperlink w:anchor="_Supporting_requirements" w:history="1">
        <w:r w:rsidR="001369BF" w:rsidRPr="005D7E7D">
          <w:rPr>
            <w:b/>
          </w:rPr>
          <w:t>R</w:t>
        </w:r>
        <w:r w:rsidRPr="005D7E7D">
          <w:rPr>
            <w:b/>
          </w:rPr>
          <w:t>equirement 3</w:t>
        </w:r>
      </w:hyperlink>
      <w:r w:rsidRPr="00D413CE">
        <w:t>.</w:t>
      </w:r>
    </w:p>
    <w:p w14:paraId="61EF0F1C" w14:textId="77777777" w:rsidR="006E18FD" w:rsidRDefault="006E18FD" w:rsidP="006E18FD">
      <w:pPr>
        <w:pStyle w:val="Heading4"/>
      </w:pPr>
      <w:r>
        <w:t>Security concerns and risks</w:t>
      </w:r>
    </w:p>
    <w:p w14:paraId="2B238DD9" w14:textId="7B45094C" w:rsidR="006E18FD" w:rsidRPr="00A4205A" w:rsidRDefault="003453EB" w:rsidP="00FE4ADB">
      <w:pPr>
        <w:pStyle w:val="Listbullet1"/>
      </w:pPr>
      <w:hyperlink w:anchor="_Supporting_requirements" w:history="1">
        <w:r w:rsidR="001369BF" w:rsidRPr="00582AFE">
          <w:rPr>
            <w:b/>
          </w:rPr>
          <w:t>R</w:t>
        </w:r>
        <w:r w:rsidR="006E18FD" w:rsidRPr="00582AFE">
          <w:rPr>
            <w:b/>
          </w:rPr>
          <w:t>equirement 1d</w:t>
        </w:r>
      </w:hyperlink>
      <w:r w:rsidR="006E18FD" w:rsidRPr="00A4205A">
        <w:t xml:space="preserve"> mandates that entities identify and report any security concerns </w:t>
      </w:r>
      <w:r w:rsidR="00BC3467">
        <w:t xml:space="preserve">to ASIO </w:t>
      </w:r>
      <w:r w:rsidR="00CD27BF">
        <w:t>(</w:t>
      </w:r>
      <w:r w:rsidR="00BC3467">
        <w:t>security is</w:t>
      </w:r>
      <w:r w:rsidR="00CD27BF">
        <w:t xml:space="preserve"> defined </w:t>
      </w:r>
      <w:r w:rsidR="00CD27BF" w:rsidRPr="005844BF">
        <w:t>in the in the</w:t>
      </w:r>
      <w:hyperlink r:id="rId13" w:history="1">
        <w:r w:rsidR="00CD27BF" w:rsidRPr="005844BF">
          <w:rPr>
            <w:rStyle w:val="Hyperlink"/>
            <w:i/>
          </w:rPr>
          <w:t xml:space="preserve"> Australian Security Intelligence Organisation Act 1979</w:t>
        </w:r>
      </w:hyperlink>
      <w:r w:rsidR="00CD27BF" w:rsidRPr="005844BF">
        <w:rPr>
          <w:rStyle w:val="Hyperlink"/>
          <w:color w:val="auto"/>
          <w:u w:val="none"/>
        </w:rPr>
        <w:t>)</w:t>
      </w:r>
      <w:r w:rsidR="00CD27BF" w:rsidRPr="005844BF">
        <w:t>.</w:t>
      </w:r>
      <w:r w:rsidR="00CD27BF">
        <w:t xml:space="preserve"> An example of where this may be</w:t>
      </w:r>
      <w:r w:rsidR="006E18FD" w:rsidRPr="00A4205A">
        <w:t xml:space="preserve"> particularly </w:t>
      </w:r>
      <w:r w:rsidR="00CD27BF">
        <w:t xml:space="preserve">relevant is when separating personnel do not adhere to requirements of this policy (eg </w:t>
      </w:r>
      <w:r w:rsidR="006E18FD">
        <w:t>those</w:t>
      </w:r>
      <w:r w:rsidR="006E18FD" w:rsidRPr="00A4205A">
        <w:t xml:space="preserve"> depart</w:t>
      </w:r>
      <w:r w:rsidR="006E18FD">
        <w:t>ing</w:t>
      </w:r>
      <w:r w:rsidR="006E18FD" w:rsidRPr="00A4205A">
        <w:t xml:space="preserve"> without having a security debrief</w:t>
      </w:r>
      <w:r w:rsidR="00CD27BF">
        <w:t>)</w:t>
      </w:r>
      <w:r w:rsidR="006E18FD" w:rsidRPr="00A4205A">
        <w:t>. T</w:t>
      </w:r>
      <w:r w:rsidR="006E18FD">
        <w:t>he Attorney</w:t>
      </w:r>
      <w:r w:rsidR="00083718">
        <w:t>-</w:t>
      </w:r>
      <w:r w:rsidR="006E18FD" w:rsidRPr="00A4205A">
        <w:t>General’s Department recommends that entities provide personnel with an opportunity to confidentially express any security concerns relating to procedures or colleagues</w:t>
      </w:r>
      <w:r w:rsidR="006E18FD">
        <w:t xml:space="preserve"> </w:t>
      </w:r>
      <w:r w:rsidR="006E18FD" w:rsidRPr="00A4205A">
        <w:t>prior to separati</w:t>
      </w:r>
      <w:r w:rsidR="006E18FD">
        <w:t>on.</w:t>
      </w:r>
    </w:p>
    <w:p w14:paraId="4C187E1F" w14:textId="77777777" w:rsidR="006E18FD" w:rsidRDefault="006E18FD" w:rsidP="006E18FD">
      <w:pPr>
        <w:pStyle w:val="Heading3"/>
      </w:pPr>
      <w:bookmarkStart w:id="7" w:name="_Ref521493524"/>
      <w:r>
        <w:t>Ongoing obligations and security debriefs</w:t>
      </w:r>
      <w:bookmarkEnd w:id="7"/>
    </w:p>
    <w:p w14:paraId="62AB4480" w14:textId="2465FBAF" w:rsidR="006E18FD" w:rsidRPr="002C0720" w:rsidRDefault="006E18FD" w:rsidP="00FE4ADB">
      <w:pPr>
        <w:pStyle w:val="Listbullet1"/>
      </w:pPr>
      <w:r w:rsidRPr="00B47CE5">
        <w:t>Prior to separation,</w:t>
      </w:r>
      <w:r>
        <w:rPr>
          <w:b/>
        </w:rPr>
        <w:t xml:space="preserve"> </w:t>
      </w:r>
      <w:hyperlink w:anchor="_Supporting_requirements" w:history="1">
        <w:r w:rsidR="001369BF" w:rsidRPr="00582AFE">
          <w:rPr>
            <w:b/>
          </w:rPr>
          <w:t>R</w:t>
        </w:r>
        <w:r w:rsidRPr="00582AFE">
          <w:rPr>
            <w:b/>
          </w:rPr>
          <w:t>equirement 1b</w:t>
        </w:r>
      </w:hyperlink>
      <w:r w:rsidRPr="00D413CE">
        <w:t xml:space="preserve"> mandates that entities debrief separating personnel who have access to sensitive or security classified information</w:t>
      </w:r>
      <w:r w:rsidRPr="00AE35D8">
        <w:rPr>
          <w:rFonts w:cstheme="minorHAnsi"/>
        </w:rPr>
        <w:t xml:space="preserve">. </w:t>
      </w:r>
      <w:r w:rsidRPr="00AE35D8">
        <w:t>This may include caveated and compartmented information where additional briefing requirements appl</w:t>
      </w:r>
      <w:r w:rsidRPr="002C0720">
        <w:t xml:space="preserve">y. </w:t>
      </w:r>
      <w:r w:rsidR="00CA5F84">
        <w:t xml:space="preserve">The </w:t>
      </w:r>
      <w:r w:rsidR="00CA5F84" w:rsidRPr="005844BF">
        <w:rPr>
          <w:rStyle w:val="Hyperlink"/>
          <w:color w:val="auto"/>
          <w:u w:val="none"/>
        </w:rPr>
        <w:t>Sensitive Material Security Management Protocol</w:t>
      </w:r>
      <w:r w:rsidR="00CA5F84" w:rsidRPr="005844BF">
        <w:t xml:space="preserve"> </w:t>
      </w:r>
      <w:r w:rsidR="00CA5F84">
        <w:t>(SMSMP) sets out the protection and handling requirements for caveated information. The SMSMP is available to entity security advisors</w:t>
      </w:r>
      <w:r w:rsidR="005844BF">
        <w:t xml:space="preserve"> or by request via the PSPF community on </w:t>
      </w:r>
      <w:hyperlink r:id="rId14" w:history="1">
        <w:r w:rsidR="005844BF" w:rsidRPr="005844BF">
          <w:rPr>
            <w:rStyle w:val="Hyperlink"/>
          </w:rPr>
          <w:t>GovTEAMS</w:t>
        </w:r>
      </w:hyperlink>
      <w:r w:rsidR="00CA5F84">
        <w:t>.</w:t>
      </w:r>
    </w:p>
    <w:p w14:paraId="5F6FC926" w14:textId="1CBAD4D4" w:rsidR="006E18FD" w:rsidRPr="00A4205A" w:rsidRDefault="003453EB" w:rsidP="00FE4ADB">
      <w:pPr>
        <w:pStyle w:val="Listbullet1"/>
      </w:pPr>
      <w:hyperlink w:anchor="_Supporting_requirements" w:history="1">
        <w:r w:rsidR="001369BF" w:rsidRPr="00582AFE">
          <w:rPr>
            <w:b/>
          </w:rPr>
          <w:t>R</w:t>
        </w:r>
        <w:r w:rsidR="006E18FD" w:rsidRPr="00582AFE">
          <w:rPr>
            <w:b/>
          </w:rPr>
          <w:t>equirement 1b</w:t>
        </w:r>
      </w:hyperlink>
      <w:r w:rsidR="006E18FD" w:rsidRPr="00A4205A">
        <w:t xml:space="preserve"> mandates that entities advise separating personnel of their continuing obligations under the </w:t>
      </w:r>
      <w:hyperlink r:id="rId15" w:history="1"/>
      <w:r w:rsidR="006E18FD" w:rsidRPr="00A4205A">
        <w:t xml:space="preserve"> </w:t>
      </w:r>
      <w:r w:rsidR="00CB24BC" w:rsidRPr="00CB24BC">
        <w:t xml:space="preserve">Commonwealth </w:t>
      </w:r>
      <w:hyperlink r:id="rId16" w:history="1">
        <w:r w:rsidR="006E18FD" w:rsidRPr="00CB24BC">
          <w:rPr>
            <w:rStyle w:val="Hyperlink"/>
          </w:rPr>
          <w:t>Criminal Code</w:t>
        </w:r>
      </w:hyperlink>
      <w:r w:rsidR="00DA5BBB">
        <w:rPr>
          <w:rStyle w:val="Hyperlink"/>
          <w:i/>
        </w:rPr>
        <w:t xml:space="preserve"> </w:t>
      </w:r>
      <w:r w:rsidR="006E18FD" w:rsidRPr="00A4205A">
        <w:t>and other relevant legislation</w:t>
      </w:r>
      <w:r w:rsidR="00FD0827">
        <w:t xml:space="preserve">, and </w:t>
      </w:r>
      <w:r w:rsidR="006E18FD" w:rsidRPr="00A4205A">
        <w:t>obtain</w:t>
      </w:r>
      <w:r w:rsidR="00FD0827">
        <w:t xml:space="preserve"> the person’s</w:t>
      </w:r>
      <w:r w:rsidR="006E18FD" w:rsidRPr="00A4205A">
        <w:t xml:space="preserve"> acknowledgement of these obligations. </w:t>
      </w:r>
      <w:r w:rsidR="006E18FD">
        <w:t>Th</w:t>
      </w:r>
      <w:r w:rsidR="00C97447">
        <w:t>is acknowledgement</w:t>
      </w:r>
      <w:r w:rsidR="006E18FD" w:rsidRPr="00A4205A">
        <w:t xml:space="preserve"> </w:t>
      </w:r>
      <w:r w:rsidR="006E18FD">
        <w:t>help</w:t>
      </w:r>
      <w:r w:rsidR="00F70342">
        <w:t>s</w:t>
      </w:r>
      <w:r w:rsidR="006E18FD" w:rsidRPr="00A4205A">
        <w:t xml:space="preserve"> safeguard Australian Government resources and limit the potential for the integrity, availability and confidentiality of sensitive </w:t>
      </w:r>
      <w:r w:rsidR="006E18FD">
        <w:t xml:space="preserve">or security classified </w:t>
      </w:r>
      <w:r w:rsidR="006E18FD" w:rsidRPr="00A4205A">
        <w:t>information to be compromised.</w:t>
      </w:r>
    </w:p>
    <w:p w14:paraId="5E84B129" w14:textId="7E835A45" w:rsidR="006E18FD" w:rsidRPr="00A4205A" w:rsidRDefault="006E18FD" w:rsidP="00FE4ADB">
      <w:pPr>
        <w:pStyle w:val="Listbullet1"/>
      </w:pPr>
      <w:r>
        <w:t>T</w:t>
      </w:r>
      <w:r w:rsidRPr="00A4205A">
        <w:t xml:space="preserve">he Attorney-General’s Department recommends that entities remind </w:t>
      </w:r>
      <w:r w:rsidR="00F70342">
        <w:t>all personnel</w:t>
      </w:r>
      <w:r w:rsidRPr="00A4205A">
        <w:t xml:space="preserve"> of their </w:t>
      </w:r>
      <w:r w:rsidR="00F70342">
        <w:t xml:space="preserve">contact reporting responsibilities. These include reporting </w:t>
      </w:r>
      <w:r w:rsidRPr="00A4205A">
        <w:t>any contact</w:t>
      </w:r>
      <w:r>
        <w:t>s</w:t>
      </w:r>
      <w:r w:rsidRPr="00A4205A">
        <w:t xml:space="preserve"> </w:t>
      </w:r>
      <w:r w:rsidR="00F70342">
        <w:t>from former colleagues</w:t>
      </w:r>
      <w:r w:rsidRPr="00A4205A">
        <w:t xml:space="preserve"> </w:t>
      </w:r>
      <w:r w:rsidR="00F70342">
        <w:t>who show</w:t>
      </w:r>
      <w:r w:rsidRPr="00A4205A">
        <w:t xml:space="preserve"> a </w:t>
      </w:r>
      <w:r w:rsidRPr="00A4205A">
        <w:lastRenderedPageBreak/>
        <w:t>suspicious, persistent or unusual interest in their work or that of the entity. This also applies where personnel are travelling overseas.</w:t>
      </w:r>
      <w:r>
        <w:t xml:space="preserve"> </w:t>
      </w:r>
    </w:p>
    <w:p w14:paraId="453D8774" w14:textId="77777777" w:rsidR="006E18FD" w:rsidRDefault="006E18FD" w:rsidP="006E18FD">
      <w:pPr>
        <w:pStyle w:val="Heading3"/>
      </w:pPr>
      <w:bookmarkStart w:id="8" w:name="_Ref521493533"/>
      <w:r>
        <w:t>Withdrawal of access to Australian Government resources</w:t>
      </w:r>
      <w:bookmarkEnd w:id="8"/>
    </w:p>
    <w:p w14:paraId="64824E78" w14:textId="618D2F96" w:rsidR="006E18FD" w:rsidRPr="00A4205A" w:rsidRDefault="006E18FD" w:rsidP="00FE4ADB">
      <w:pPr>
        <w:pStyle w:val="Listbullet1"/>
      </w:pPr>
      <w:r w:rsidRPr="00A4205A">
        <w:t xml:space="preserve">The </w:t>
      </w:r>
      <w:hyperlink w:anchor="_Core_requirement" w:history="1">
        <w:r w:rsidRPr="00C97447">
          <w:rPr>
            <w:b/>
          </w:rPr>
          <w:t xml:space="preserve">core PSPF requirement </w:t>
        </w:r>
        <w:r w:rsidR="00C97447" w:rsidRPr="00C97447">
          <w:rPr>
            <w:b/>
          </w:rPr>
          <w:t>on separating personnel</w:t>
        </w:r>
      </w:hyperlink>
      <w:r w:rsidR="00C97447">
        <w:t xml:space="preserve"> </w:t>
      </w:r>
      <w:r w:rsidRPr="00A4205A">
        <w:t xml:space="preserve">mandates that entities </w:t>
      </w:r>
      <w:r w:rsidR="00C97447">
        <w:t xml:space="preserve">ensure separating personnel have their </w:t>
      </w:r>
      <w:r w:rsidRPr="00A4205A">
        <w:t xml:space="preserve">access to Australian Government </w:t>
      </w:r>
      <w:r w:rsidR="00246E9C">
        <w:t xml:space="preserve">resources </w:t>
      </w:r>
      <w:r w:rsidR="00C97447">
        <w:t>withdrawn</w:t>
      </w:r>
      <w:r w:rsidRPr="00A4205A">
        <w:t xml:space="preserve">. </w:t>
      </w:r>
      <w:hyperlink w:anchor="_Supporting_requirements" w:history="1">
        <w:r w:rsidR="001369BF" w:rsidRPr="00582AFE">
          <w:rPr>
            <w:b/>
          </w:rPr>
          <w:t>R</w:t>
        </w:r>
        <w:r w:rsidRPr="00582AFE">
          <w:rPr>
            <w:b/>
          </w:rPr>
          <w:t>equirement 2</w:t>
        </w:r>
      </w:hyperlink>
      <w:r w:rsidRPr="00A4205A">
        <w:t xml:space="preserve"> highlights the importance of removing access to both physical facilities and ICT systems, including any special access arrangements and non-standard ICT systems (e</w:t>
      </w:r>
      <w:r>
        <w:t>g</w:t>
      </w:r>
      <w:r w:rsidRPr="00A4205A">
        <w:t xml:space="preserve"> administrator access, remote access, ASNET, TS networks)</w:t>
      </w:r>
      <w:r>
        <w:t xml:space="preserve">. </w:t>
      </w:r>
    </w:p>
    <w:p w14:paraId="76094FEB" w14:textId="4FB960AE" w:rsidR="006E18FD" w:rsidRDefault="006E18FD" w:rsidP="00FE4ADB">
      <w:pPr>
        <w:pStyle w:val="Listbullet1"/>
      </w:pPr>
      <w:r w:rsidRPr="00A4205A">
        <w:t>The Attorney</w:t>
      </w:r>
      <w:r w:rsidR="00597315" w:rsidRPr="00A4205A">
        <w:t>-</w:t>
      </w:r>
      <w:r w:rsidRPr="00A4205A">
        <w:t xml:space="preserve">General’s Department recommends entities consider </w:t>
      </w:r>
      <w:r w:rsidR="00D413CE">
        <w:t xml:space="preserve">the </w:t>
      </w:r>
      <w:r w:rsidRPr="00A4205A">
        <w:t xml:space="preserve">sequencing </w:t>
      </w:r>
      <w:r w:rsidR="00C97447">
        <w:t>of</w:t>
      </w:r>
      <w:r w:rsidR="00D413CE">
        <w:t xml:space="preserve"> </w:t>
      </w:r>
      <w:r w:rsidRPr="00A4205A">
        <w:t>withdraw</w:t>
      </w:r>
      <w:r w:rsidR="00C97447">
        <w:t>al of</w:t>
      </w:r>
      <w:r w:rsidRPr="00A4205A">
        <w:t xml:space="preserve"> access to resources</w:t>
      </w:r>
      <w:r>
        <w:t xml:space="preserve">. </w:t>
      </w:r>
      <w:r w:rsidRPr="007D41D9">
        <w:rPr>
          <w:b/>
          <w:highlight w:val="yellow"/>
        </w:rPr>
        <w:fldChar w:fldCharType="begin"/>
      </w:r>
      <w:r w:rsidRPr="007D41D9">
        <w:rPr>
          <w:b/>
        </w:rPr>
        <w:instrText xml:space="preserve"> REF _Ref518463917 \h </w:instrText>
      </w:r>
      <w:r w:rsidRPr="007D41D9">
        <w:rPr>
          <w:b/>
          <w:highlight w:val="yellow"/>
        </w:rPr>
        <w:instrText xml:space="preserve"> \* MERGEFORMAT </w:instrText>
      </w:r>
      <w:r w:rsidRPr="007D41D9">
        <w:rPr>
          <w:b/>
          <w:highlight w:val="yellow"/>
        </w:rPr>
      </w:r>
      <w:r w:rsidRPr="007D41D9">
        <w:rPr>
          <w:b/>
          <w:highlight w:val="yellow"/>
        </w:rPr>
        <w:fldChar w:fldCharType="separate"/>
      </w:r>
      <w:r w:rsidR="00CE0A07" w:rsidRPr="00CE0A07">
        <w:rPr>
          <w:b/>
        </w:rPr>
        <w:t xml:space="preserve">Table </w:t>
      </w:r>
      <w:r w:rsidR="00CE0A07" w:rsidRPr="00CE0A07">
        <w:rPr>
          <w:b/>
          <w:noProof/>
        </w:rPr>
        <w:t>1</w:t>
      </w:r>
      <w:r w:rsidRPr="007D41D9">
        <w:rPr>
          <w:b/>
          <w:highlight w:val="yellow"/>
        </w:rPr>
        <w:fldChar w:fldCharType="end"/>
      </w:r>
      <w:r w:rsidRPr="00A4205A">
        <w:t xml:space="preserve"> provides an example of </w:t>
      </w:r>
      <w:r w:rsidR="00C97447">
        <w:t>actions</w:t>
      </w:r>
      <w:r w:rsidR="00C97447" w:rsidRPr="00A4205A">
        <w:t xml:space="preserve"> </w:t>
      </w:r>
      <w:r w:rsidRPr="00A4205A">
        <w:t>for entities to consider prior to</w:t>
      </w:r>
      <w:r w:rsidR="00C97447">
        <w:t>,</w:t>
      </w:r>
      <w:r w:rsidRPr="00A4205A">
        <w:t xml:space="preserve"> and on separation </w:t>
      </w:r>
      <w:r>
        <w:t>of</w:t>
      </w:r>
      <w:r w:rsidR="00C97447">
        <w:t>,</w:t>
      </w:r>
      <w:r>
        <w:t xml:space="preserve"> personnel.</w:t>
      </w:r>
    </w:p>
    <w:p w14:paraId="5E4BF403" w14:textId="3B5D6179" w:rsidR="006E18FD" w:rsidRPr="00116E26" w:rsidRDefault="006E18FD" w:rsidP="006E18FD">
      <w:pPr>
        <w:pStyle w:val="Caption"/>
      </w:pPr>
      <w:bookmarkStart w:id="9" w:name="_Ref518463917"/>
      <w:r>
        <w:t xml:space="preserve">Table </w:t>
      </w:r>
      <w:r w:rsidR="00FC5A1E">
        <w:rPr>
          <w:noProof/>
        </w:rPr>
        <w:fldChar w:fldCharType="begin"/>
      </w:r>
      <w:r w:rsidR="00FC5A1E">
        <w:rPr>
          <w:noProof/>
        </w:rPr>
        <w:instrText xml:space="preserve"> SEQ Table \* ARABIC </w:instrText>
      </w:r>
      <w:r w:rsidR="00FC5A1E">
        <w:rPr>
          <w:noProof/>
        </w:rPr>
        <w:fldChar w:fldCharType="separate"/>
      </w:r>
      <w:r w:rsidR="00CE0A07">
        <w:rPr>
          <w:noProof/>
        </w:rPr>
        <w:t>1</w:t>
      </w:r>
      <w:r w:rsidR="00FC5A1E">
        <w:rPr>
          <w:noProof/>
        </w:rPr>
        <w:fldChar w:fldCharType="end"/>
      </w:r>
      <w:bookmarkEnd w:id="9"/>
      <w:r>
        <w:t xml:space="preserve"> Recommended entity processes for withdrawing access prior to and on separati</w:t>
      </w:r>
      <w:r w:rsidR="0001076D">
        <w:t>on</w:t>
      </w:r>
      <w:r>
        <w:t xml:space="preserve"> or transfer of all personnel</w:t>
      </w:r>
    </w:p>
    <w:tbl>
      <w:tblPr>
        <w:tblStyle w:val="LightShading-Accent4"/>
        <w:tblW w:w="5000" w:type="pct"/>
        <w:jc w:val="center"/>
        <w:tblLook w:val="04A0" w:firstRow="1" w:lastRow="0" w:firstColumn="1" w:lastColumn="0" w:noHBand="0" w:noVBand="1"/>
        <w:tblCaption w:val="Table 1 Recommended entity processes for withdrawing access prior to and on separation or transfer of all personnel"/>
        <w:tblDescription w:val="Prior to separation&#10;Prior to separation or transfer, entities:&#10;a. recover ICT equipment or physical assets that are issued to personnel (refer endnote i), in particular, any portable devices&#10;b. recover any corporate credit cards&#10;c. recover any hardcopy material (both originals and copies).&#10;&#10;On separation&#10;On separation or transfer, entities:&#10;a. disable remote access to the ICT systems, including but not limited to email, telephone, voicemail, citrix, dropbox and cloud accounts&#10;b. revoke physical access to facilities and retrieve keys and access cards&#10;c. change any combinations for locks (e.g. doors, safes or security containers) that the person had access to."/>
      </w:tblPr>
      <w:tblGrid>
        <w:gridCol w:w="1216"/>
        <w:gridCol w:w="9250"/>
      </w:tblGrid>
      <w:tr w:rsidR="006E18FD" w14:paraId="45EA8BE9" w14:textId="77777777" w:rsidTr="00E92AA3">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581" w:type="pct"/>
          </w:tcPr>
          <w:p w14:paraId="22DD0ADB" w14:textId="77777777" w:rsidR="006E18FD" w:rsidRPr="00C166C3" w:rsidRDefault="006E18FD" w:rsidP="00D53376">
            <w:pPr>
              <w:rPr>
                <w:rStyle w:val="Strong"/>
                <w:b/>
              </w:rPr>
            </w:pPr>
            <w:r>
              <w:rPr>
                <w:rStyle w:val="Strong"/>
                <w:b/>
              </w:rPr>
              <w:t>Stage</w:t>
            </w:r>
          </w:p>
        </w:tc>
        <w:tc>
          <w:tcPr>
            <w:tcW w:w="4419" w:type="pct"/>
          </w:tcPr>
          <w:p w14:paraId="14F63F64" w14:textId="77777777" w:rsidR="006E18FD" w:rsidRPr="00C166C3" w:rsidRDefault="006E18FD" w:rsidP="00D53376">
            <w:pPr>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Actions</w:t>
            </w:r>
          </w:p>
        </w:tc>
      </w:tr>
      <w:tr w:rsidR="006E18FD" w14:paraId="48969006" w14:textId="77777777" w:rsidTr="00E92AA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1" w:type="pct"/>
          </w:tcPr>
          <w:p w14:paraId="52064668" w14:textId="77777777" w:rsidR="006E18FD" w:rsidRPr="00991895" w:rsidRDefault="006E18FD" w:rsidP="00D53376">
            <w:pPr>
              <w:pStyle w:val="Tablebody"/>
            </w:pPr>
            <w:r w:rsidRPr="00991895">
              <w:t>Prior to separation</w:t>
            </w:r>
          </w:p>
        </w:tc>
        <w:tc>
          <w:tcPr>
            <w:tcW w:w="4419" w:type="pct"/>
          </w:tcPr>
          <w:p w14:paraId="6ED036F7" w14:textId="2981F036" w:rsidR="006E18FD" w:rsidRPr="00A4205A" w:rsidRDefault="006E18FD" w:rsidP="00754749">
            <w:pPr>
              <w:pStyle w:val="Tablebodybullet1"/>
              <w:numPr>
                <w:ilvl w:val="0"/>
                <w:numId w:val="23"/>
              </w:numPr>
              <w:cnfStyle w:val="000000100000" w:firstRow="0" w:lastRow="0" w:firstColumn="0" w:lastColumn="0" w:oddVBand="0" w:evenVBand="0" w:oddHBand="1" w:evenHBand="0" w:firstRowFirstColumn="0" w:firstRowLastColumn="0" w:lastRowFirstColumn="0" w:lastRowLastColumn="0"/>
            </w:pPr>
            <w:r w:rsidRPr="00A4205A">
              <w:t>recover ICT equipment or physical assets that are issued to personnel,</w:t>
            </w:r>
            <w:r w:rsidR="00C97447">
              <w:t xml:space="preserve"> </w:t>
            </w:r>
            <w:r w:rsidRPr="00A4205A">
              <w:t>in particular</w:t>
            </w:r>
            <w:r>
              <w:t>,</w:t>
            </w:r>
            <w:r w:rsidRPr="00A4205A">
              <w:t xml:space="preserve"> any portable devices</w:t>
            </w:r>
            <w:r w:rsidR="00D53376" w:rsidRPr="00C97447">
              <w:rPr>
                <w:vertAlign w:val="superscript"/>
              </w:rPr>
              <w:t xml:space="preserve"> Note </w:t>
            </w:r>
            <w:r w:rsidR="00D53376">
              <w:rPr>
                <w:rStyle w:val="EndnoteReference"/>
              </w:rPr>
              <w:endnoteReference w:id="1"/>
            </w:r>
          </w:p>
          <w:p w14:paraId="44D9A4EE" w14:textId="19DF0B16" w:rsidR="006E18FD" w:rsidRPr="00A4205A" w:rsidRDefault="006E18FD" w:rsidP="00D53376">
            <w:pPr>
              <w:pStyle w:val="Tablebodybullet1"/>
              <w:cnfStyle w:val="000000100000" w:firstRow="0" w:lastRow="0" w:firstColumn="0" w:lastColumn="0" w:oddVBand="0" w:evenVBand="0" w:oddHBand="1" w:evenHBand="0" w:firstRowFirstColumn="0" w:firstRowLastColumn="0" w:lastRowFirstColumn="0" w:lastRowLastColumn="0"/>
            </w:pPr>
            <w:r w:rsidRPr="00A4205A">
              <w:t>recover any corporate credit cards</w:t>
            </w:r>
          </w:p>
          <w:p w14:paraId="6C991A65" w14:textId="4DC19BAC" w:rsidR="006E18FD" w:rsidRPr="0068552B" w:rsidRDefault="006E18FD" w:rsidP="00D53376">
            <w:pPr>
              <w:pStyle w:val="Tablebodybullet1"/>
              <w:cnfStyle w:val="000000100000" w:firstRow="0" w:lastRow="0" w:firstColumn="0" w:lastColumn="0" w:oddVBand="0" w:evenVBand="0" w:oddHBand="1" w:evenHBand="0" w:firstRowFirstColumn="0" w:firstRowLastColumn="0" w:lastRowFirstColumn="0" w:lastRowLastColumn="0"/>
            </w:pPr>
            <w:r w:rsidRPr="00A4205A">
              <w:t>recover any hardcopy mater</w:t>
            </w:r>
            <w:r w:rsidR="00F95F4B">
              <w:t>ial (both originals and copies).</w:t>
            </w:r>
          </w:p>
        </w:tc>
      </w:tr>
      <w:tr w:rsidR="006E18FD" w14:paraId="3235D892" w14:textId="77777777" w:rsidTr="00E92AA3">
        <w:trPr>
          <w:jc w:val="center"/>
        </w:trPr>
        <w:tc>
          <w:tcPr>
            <w:cnfStyle w:val="001000000000" w:firstRow="0" w:lastRow="0" w:firstColumn="1" w:lastColumn="0" w:oddVBand="0" w:evenVBand="0" w:oddHBand="0" w:evenHBand="0" w:firstRowFirstColumn="0" w:firstRowLastColumn="0" w:lastRowFirstColumn="0" w:lastRowLastColumn="0"/>
            <w:tcW w:w="581" w:type="pct"/>
          </w:tcPr>
          <w:p w14:paraId="53200F45" w14:textId="77777777" w:rsidR="006E18FD" w:rsidRPr="00991895" w:rsidRDefault="006E18FD" w:rsidP="00D53376">
            <w:pPr>
              <w:pStyle w:val="Tablebody"/>
            </w:pPr>
            <w:r w:rsidRPr="00991895">
              <w:t>On separation</w:t>
            </w:r>
          </w:p>
        </w:tc>
        <w:tc>
          <w:tcPr>
            <w:tcW w:w="4419" w:type="pct"/>
          </w:tcPr>
          <w:p w14:paraId="03CFAEE6" w14:textId="48E3F647" w:rsidR="006E18FD" w:rsidRPr="00A4205A" w:rsidRDefault="006E18FD" w:rsidP="00754749">
            <w:pPr>
              <w:pStyle w:val="Tablebodybullet1"/>
              <w:numPr>
                <w:ilvl w:val="0"/>
                <w:numId w:val="24"/>
              </w:numPr>
              <w:cnfStyle w:val="000000000000" w:firstRow="0" w:lastRow="0" w:firstColumn="0" w:lastColumn="0" w:oddVBand="0" w:evenVBand="0" w:oddHBand="0" w:evenHBand="0" w:firstRowFirstColumn="0" w:firstRowLastColumn="0" w:lastRowFirstColumn="0" w:lastRowLastColumn="0"/>
            </w:pPr>
            <w:r w:rsidRPr="00A4205A">
              <w:t>disable access to the ICT systems, including but not limited to email, telephone voicemail, Citrix, dropbox and cloud accounts</w:t>
            </w:r>
          </w:p>
          <w:p w14:paraId="517551AB" w14:textId="1CB911CD" w:rsidR="006E18FD" w:rsidRPr="00A4205A" w:rsidRDefault="006E18FD" w:rsidP="00D53376">
            <w:pPr>
              <w:pStyle w:val="Tablebodybullet1"/>
              <w:cnfStyle w:val="000000000000" w:firstRow="0" w:lastRow="0" w:firstColumn="0" w:lastColumn="0" w:oddVBand="0" w:evenVBand="0" w:oddHBand="0" w:evenHBand="0" w:firstRowFirstColumn="0" w:firstRowLastColumn="0" w:lastRowFirstColumn="0" w:lastRowLastColumn="0"/>
            </w:pPr>
            <w:r w:rsidRPr="00A4205A">
              <w:t>revoke physical access to facilities and retrieve keys and access cards</w:t>
            </w:r>
          </w:p>
          <w:p w14:paraId="1CCAFC18" w14:textId="4D71A8E2" w:rsidR="006E18FD" w:rsidRPr="0068552B" w:rsidRDefault="006E18FD" w:rsidP="00D53376">
            <w:pPr>
              <w:pStyle w:val="Tablebodybullet1"/>
              <w:cnfStyle w:val="000000000000" w:firstRow="0" w:lastRow="0" w:firstColumn="0" w:lastColumn="0" w:oddVBand="0" w:evenVBand="0" w:oddHBand="0" w:evenHBand="0" w:firstRowFirstColumn="0" w:firstRowLastColumn="0" w:lastRowFirstColumn="0" w:lastRowLastColumn="0"/>
            </w:pPr>
            <w:r w:rsidRPr="00A4205A">
              <w:t>change any combinations for locks (e</w:t>
            </w:r>
            <w:r>
              <w:t>g</w:t>
            </w:r>
            <w:r w:rsidRPr="00A4205A">
              <w:t xml:space="preserve"> doors, safes or security containers) </w:t>
            </w:r>
            <w:r>
              <w:t>that</w:t>
            </w:r>
            <w:r w:rsidRPr="00A4205A">
              <w:t xml:space="preserve"> the person had access to.</w:t>
            </w:r>
          </w:p>
        </w:tc>
      </w:tr>
    </w:tbl>
    <w:p w14:paraId="7A5D23A4" w14:textId="77777777" w:rsidR="0054710A" w:rsidRDefault="0054710A" w:rsidP="00450144">
      <w:pPr>
        <w:pStyle w:val="Figuretext"/>
        <w:jc w:val="left"/>
        <w:sectPr w:rsidR="0054710A" w:rsidSect="006C4952">
          <w:headerReference w:type="even" r:id="rId17"/>
          <w:headerReference w:type="default" r:id="rId18"/>
          <w:footerReference w:type="even" r:id="rId19"/>
          <w:footerReference w:type="default" r:id="rId20"/>
          <w:headerReference w:type="first" r:id="rId21"/>
          <w:footerReference w:type="first" r:id="rId22"/>
          <w:endnotePr>
            <w:numRestart w:val="eachSect"/>
          </w:endnotePr>
          <w:type w:val="continuous"/>
          <w:pgSz w:w="11906" w:h="16838"/>
          <w:pgMar w:top="851" w:right="720" w:bottom="720" w:left="720" w:header="0" w:footer="0" w:gutter="0"/>
          <w:cols w:space="708"/>
          <w:titlePg/>
          <w:docGrid w:linePitch="360"/>
        </w:sectPr>
      </w:pPr>
      <w:r>
        <w:t>Table 1 notes:</w:t>
      </w:r>
    </w:p>
    <w:p w14:paraId="71F801C5" w14:textId="77777777" w:rsidR="006E18FD" w:rsidRDefault="006E18FD" w:rsidP="006E18FD">
      <w:pPr>
        <w:pStyle w:val="Heading3"/>
      </w:pPr>
      <w:bookmarkStart w:id="10" w:name="_Ref521493506"/>
      <w:r>
        <w:t>Risk assessments</w:t>
      </w:r>
      <w:bookmarkEnd w:id="10"/>
    </w:p>
    <w:p w14:paraId="6AF67149" w14:textId="0AC09A5A" w:rsidR="00D53376" w:rsidRDefault="003453EB" w:rsidP="00FE4ADB">
      <w:pPr>
        <w:pStyle w:val="Listbullet1"/>
      </w:pPr>
      <w:hyperlink w:anchor="_Supporting_requirements" w:history="1">
        <w:r w:rsidR="001369BF" w:rsidRPr="00582AFE">
          <w:rPr>
            <w:b/>
          </w:rPr>
          <w:t>R</w:t>
        </w:r>
        <w:r w:rsidR="006E18FD" w:rsidRPr="00582AFE">
          <w:rPr>
            <w:b/>
          </w:rPr>
          <w:t>equirement 3</w:t>
        </w:r>
      </w:hyperlink>
      <w:r w:rsidR="006E18FD" w:rsidRPr="00582AFE">
        <w:rPr>
          <w:b/>
        </w:rPr>
        <w:t xml:space="preserve"> </w:t>
      </w:r>
      <w:r w:rsidR="006E18FD" w:rsidRPr="00A4205A">
        <w:t xml:space="preserve">mandates that entities undertake a risk assessment to identify any security implications where personnel depart without </w:t>
      </w:r>
      <w:r w:rsidR="00D53376">
        <w:t xml:space="preserve">undertaking </w:t>
      </w:r>
      <w:r w:rsidR="00DF416E">
        <w:t>required</w:t>
      </w:r>
      <w:r w:rsidR="00D53376" w:rsidRPr="00A4205A">
        <w:t xml:space="preserve"> </w:t>
      </w:r>
      <w:r w:rsidR="006E18FD" w:rsidRPr="00A4205A">
        <w:t>separation procedures</w:t>
      </w:r>
      <w:r w:rsidR="006E18FD">
        <w:t>. T</w:t>
      </w:r>
      <w:r w:rsidR="006E18FD" w:rsidRPr="00A4205A">
        <w:t>his could include personnel who suffer injury or illness and cannot continue working, personnel who separate while on leave</w:t>
      </w:r>
      <w:r w:rsidR="006E18FD">
        <w:t>,</w:t>
      </w:r>
      <w:r w:rsidR="006E18FD" w:rsidRPr="00A4205A">
        <w:t xml:space="preserve"> or personnel who refuse to undergo separation processes. </w:t>
      </w:r>
    </w:p>
    <w:p w14:paraId="5268CFA9" w14:textId="19D5F1DA" w:rsidR="006E18FD" w:rsidRPr="00A4205A" w:rsidRDefault="006E18FD" w:rsidP="00FE4ADB">
      <w:pPr>
        <w:pStyle w:val="Listbullet1"/>
      </w:pPr>
      <w:r w:rsidRPr="00A4205A">
        <w:t xml:space="preserve">For personnel taking extended leave, the risk assessment might consider the purpose of the leave, any travel plans, the degree of ongoing contact between the entity and </w:t>
      </w:r>
      <w:r>
        <w:t xml:space="preserve">the </w:t>
      </w:r>
      <w:r w:rsidRPr="00A4205A">
        <w:t xml:space="preserve">individual during the leave and whether it is likely the individual may decide not to return </w:t>
      </w:r>
      <w:r>
        <w:t>from leave. T</w:t>
      </w:r>
      <w:r w:rsidRPr="00A4205A">
        <w:t xml:space="preserve">his assessment </w:t>
      </w:r>
      <w:r>
        <w:t>can</w:t>
      </w:r>
      <w:r w:rsidRPr="00A4205A">
        <w:t xml:space="preserve"> inform the entit</w:t>
      </w:r>
      <w:r>
        <w:t>y’</w:t>
      </w:r>
      <w:r w:rsidRPr="00A4205A">
        <w:t>s decision on whether to apply separation procedures prior to the commencement of extended leave.</w:t>
      </w:r>
      <w:r w:rsidR="00D53376">
        <w:t xml:space="preserve"> For guidance on personnel security for extended leave, see </w:t>
      </w:r>
      <w:r w:rsidR="00D53376">
        <w:fldChar w:fldCharType="begin"/>
      </w:r>
      <w:r w:rsidR="00D53376">
        <w:instrText xml:space="preserve"> REF _Ref521493374 \r \h </w:instrText>
      </w:r>
      <w:r w:rsidR="00D53376">
        <w:fldChar w:fldCharType="separate"/>
      </w:r>
      <w:r w:rsidR="00CE0A07">
        <w:t>C.6</w:t>
      </w:r>
      <w:r w:rsidR="00D53376">
        <w:fldChar w:fldCharType="end"/>
      </w:r>
      <w:r w:rsidR="00D53376">
        <w:t xml:space="preserve">. </w:t>
      </w:r>
    </w:p>
    <w:p w14:paraId="3EBEADBE" w14:textId="77777777" w:rsidR="006E18FD" w:rsidRDefault="006E18FD" w:rsidP="006E18FD">
      <w:pPr>
        <w:pStyle w:val="Heading3"/>
      </w:pPr>
      <w:r>
        <w:t>Security clearance actions</w:t>
      </w:r>
    </w:p>
    <w:p w14:paraId="341C2D70" w14:textId="5DF6CC25" w:rsidR="006E18FD" w:rsidRPr="00573A20" w:rsidRDefault="003453EB" w:rsidP="00DE0C6A">
      <w:pPr>
        <w:pStyle w:val="Listbullet1"/>
      </w:pPr>
      <w:hyperlink w:anchor="_Supporting_requirements" w:history="1">
        <w:r w:rsidR="001369BF" w:rsidRPr="00582AFE">
          <w:rPr>
            <w:b/>
          </w:rPr>
          <w:t>R</w:t>
        </w:r>
        <w:r w:rsidR="006E18FD" w:rsidRPr="00582AFE">
          <w:rPr>
            <w:b/>
          </w:rPr>
          <w:t xml:space="preserve">equirement </w:t>
        </w:r>
        <w:r w:rsidR="00D413CE" w:rsidRPr="00582AFE">
          <w:rPr>
            <w:b/>
          </w:rPr>
          <w:t>4</w:t>
        </w:r>
      </w:hyperlink>
      <w:r w:rsidR="006E18FD" w:rsidRPr="00573A20">
        <w:t xml:space="preserve"> sets out the roles and responsibilities of sponsoring entities and </w:t>
      </w:r>
      <w:r w:rsidR="00D53376">
        <w:t xml:space="preserve">authorised </w:t>
      </w:r>
      <w:r w:rsidR="006E18FD" w:rsidRPr="00573A20">
        <w:t xml:space="preserve">vetting agencies for the separation of security cleared personnel. </w:t>
      </w:r>
      <w:r w:rsidR="00444563">
        <w:t>For guidance on t</w:t>
      </w:r>
      <w:r w:rsidR="006E18FD" w:rsidRPr="00573A20">
        <w:t xml:space="preserve">he responsibilities of sponsoring entities </w:t>
      </w:r>
      <w:r w:rsidR="00444563">
        <w:t xml:space="preserve">(as mandated </w:t>
      </w:r>
      <w:r w:rsidR="006E18FD" w:rsidRPr="00573A20">
        <w:t xml:space="preserve">under </w:t>
      </w:r>
      <w:hyperlink w:anchor="_Supporting_requirements" w:history="1">
        <w:r w:rsidR="001369BF" w:rsidRPr="00DE0C6A">
          <w:rPr>
            <w:b/>
          </w:rPr>
          <w:t>R</w:t>
        </w:r>
        <w:r w:rsidR="006E18FD" w:rsidRPr="00DE0C6A">
          <w:rPr>
            <w:b/>
          </w:rPr>
          <w:t>equirement 4a</w:t>
        </w:r>
      </w:hyperlink>
      <w:r w:rsidR="00444563">
        <w:t>)</w:t>
      </w:r>
      <w:r w:rsidR="006E18FD" w:rsidRPr="00DE0C6A">
        <w:rPr>
          <w:b/>
        </w:rPr>
        <w:t xml:space="preserve"> </w:t>
      </w:r>
      <w:r w:rsidR="00444563">
        <w:t xml:space="preserve">see </w:t>
      </w:r>
      <w:r w:rsidR="00444563">
        <w:fldChar w:fldCharType="begin"/>
      </w:r>
      <w:r w:rsidR="00444563">
        <w:instrText xml:space="preserve"> REF _Ref518462136 \r \h </w:instrText>
      </w:r>
      <w:r w:rsidR="00444563">
        <w:fldChar w:fldCharType="separate"/>
      </w:r>
      <w:r w:rsidR="00CE0A07">
        <w:t>C.1.2</w:t>
      </w:r>
      <w:r w:rsidR="00444563">
        <w:fldChar w:fldCharType="end"/>
      </w:r>
      <w:r w:rsidR="007569F8">
        <w:t>.</w:t>
      </w:r>
      <w:r w:rsidR="00DE0C6A">
        <w:t xml:space="preserve"> </w:t>
      </w:r>
      <w:r w:rsidR="00444563">
        <w:t xml:space="preserve">For guidance supporting </w:t>
      </w:r>
      <w:hyperlink w:anchor="_Supporting_requirements" w:history="1">
        <w:r w:rsidR="001369BF" w:rsidRPr="00DE0C6A">
          <w:rPr>
            <w:b/>
          </w:rPr>
          <w:t>R</w:t>
        </w:r>
        <w:r w:rsidR="006E18FD" w:rsidRPr="00DE0C6A">
          <w:rPr>
            <w:b/>
          </w:rPr>
          <w:t>equirement 4b</w:t>
        </w:r>
        <w:r w:rsidR="00D413CE" w:rsidRPr="00DE0C6A">
          <w:rPr>
            <w:b/>
          </w:rPr>
          <w:t>i</w:t>
        </w:r>
        <w:r w:rsidR="006E18FD" w:rsidRPr="00792471">
          <w:t xml:space="preserve"> </w:t>
        </w:r>
        <w:r w:rsidR="00444563">
          <w:t xml:space="preserve">(relating to managing and recording changes </w:t>
        </w:r>
        <w:r w:rsidR="00F95F4B">
          <w:t xml:space="preserve">in a security clearance status), </w:t>
        </w:r>
        <w:r w:rsidR="00143590">
          <w:t xml:space="preserve">see </w:t>
        </w:r>
        <w:r w:rsidR="00444563">
          <w:fldChar w:fldCharType="begin"/>
        </w:r>
        <w:r w:rsidR="00444563">
          <w:instrText xml:space="preserve"> REF _Ref518479372 \r \h </w:instrText>
        </w:r>
        <w:r w:rsidR="00444563">
          <w:fldChar w:fldCharType="separate"/>
        </w:r>
        <w:r w:rsidR="00CE0A07">
          <w:t>C.5.1</w:t>
        </w:r>
        <w:r w:rsidR="00444563">
          <w:fldChar w:fldCharType="end"/>
        </w:r>
        <w:r w:rsidR="00444563">
          <w:t xml:space="preserve">. See </w:t>
        </w:r>
        <w:r w:rsidR="00444563">
          <w:fldChar w:fldCharType="begin"/>
        </w:r>
        <w:r w:rsidR="00444563">
          <w:instrText xml:space="preserve"> REF _Ref518479389 \r \h </w:instrText>
        </w:r>
        <w:r w:rsidR="00444563">
          <w:fldChar w:fldCharType="separate"/>
        </w:r>
        <w:r w:rsidR="00CE0A07">
          <w:t>C.5.2</w:t>
        </w:r>
        <w:r w:rsidR="00444563">
          <w:fldChar w:fldCharType="end"/>
        </w:r>
        <w:r w:rsidR="00444563">
          <w:t xml:space="preserve"> for guidance on personal security files</w:t>
        </w:r>
        <w:r w:rsidR="006E18FD" w:rsidRPr="00792471">
          <w:t xml:space="preserve"> </w:t>
        </w:r>
        <w:r w:rsidR="00444563">
          <w:t>(</w:t>
        </w:r>
        <w:r w:rsidR="00444563" w:rsidRPr="00DE0C6A">
          <w:rPr>
            <w:b/>
          </w:rPr>
          <w:t>Requirement 4</w:t>
        </w:r>
        <w:r w:rsidR="004F3F0F" w:rsidRPr="00DE0C6A">
          <w:rPr>
            <w:b/>
          </w:rPr>
          <w:t>b</w:t>
        </w:r>
        <w:r w:rsidR="00D413CE" w:rsidRPr="00DE0C6A">
          <w:rPr>
            <w:b/>
          </w:rPr>
          <w:t>ii</w:t>
        </w:r>
      </w:hyperlink>
      <w:r w:rsidR="00444563" w:rsidRPr="00DE0C6A">
        <w:rPr>
          <w:b/>
        </w:rPr>
        <w:t>)</w:t>
      </w:r>
      <w:r w:rsidR="006E18FD" w:rsidRPr="00573A20">
        <w:t>.</w:t>
      </w:r>
    </w:p>
    <w:p w14:paraId="2680F769" w14:textId="77777777" w:rsidR="006E18FD" w:rsidRPr="00573A20" w:rsidRDefault="006E18FD" w:rsidP="006E18FD">
      <w:pPr>
        <w:pStyle w:val="Heading4"/>
      </w:pPr>
      <w:bookmarkStart w:id="11" w:name="_Ref518479372"/>
      <w:r w:rsidRPr="00573A20">
        <w:t>Managing and recording security clearance status</w:t>
      </w:r>
      <w:bookmarkEnd w:id="11"/>
    </w:p>
    <w:p w14:paraId="4BDC55BF" w14:textId="77777777" w:rsidR="00E92AA3" w:rsidRDefault="003453EB" w:rsidP="00FE4ADB">
      <w:pPr>
        <w:pStyle w:val="Listbullet1"/>
      </w:pPr>
      <w:hyperlink w:anchor="_Supporting_requirements" w:history="1">
        <w:r w:rsidR="001369BF" w:rsidRPr="00582AFE">
          <w:rPr>
            <w:b/>
          </w:rPr>
          <w:t>R</w:t>
        </w:r>
        <w:r w:rsidR="006E18FD" w:rsidRPr="00582AFE">
          <w:rPr>
            <w:b/>
          </w:rPr>
          <w:t>equirement 4b</w:t>
        </w:r>
        <w:r w:rsidR="002C0720" w:rsidRPr="00582AFE">
          <w:rPr>
            <w:b/>
          </w:rPr>
          <w:t>i</w:t>
        </w:r>
      </w:hyperlink>
      <w:r w:rsidR="006E18FD" w:rsidRPr="00A4205A">
        <w:t xml:space="preserve"> mandates that authorised vetting agencies manage and record </w:t>
      </w:r>
      <w:r w:rsidR="00444563">
        <w:t xml:space="preserve">changes in </w:t>
      </w:r>
      <w:r w:rsidR="00E92AA3">
        <w:t xml:space="preserve">separating personnel’s </w:t>
      </w:r>
      <w:r w:rsidR="006E18FD" w:rsidRPr="00A4205A">
        <w:t xml:space="preserve">security clearance status, including where there is a change of sponsorship. </w:t>
      </w:r>
    </w:p>
    <w:p w14:paraId="3CA0382F" w14:textId="173334CF" w:rsidR="006E18FD" w:rsidRPr="00A4205A" w:rsidRDefault="00E92AA3" w:rsidP="00FE4ADB">
      <w:pPr>
        <w:pStyle w:val="Listbullet1"/>
      </w:pPr>
      <w:r w:rsidRPr="00A4205A">
        <w:lastRenderedPageBreak/>
        <w:t xml:space="preserve">The </w:t>
      </w:r>
      <w:r w:rsidRPr="00FF0EF0">
        <w:t>PSPF policy</w:t>
      </w:r>
      <w:r w:rsidRPr="00FF0EF0">
        <w:rPr>
          <w:b/>
        </w:rPr>
        <w:t xml:space="preserve">: </w:t>
      </w:r>
      <w:hyperlink r:id="rId23" w:history="1">
        <w:r w:rsidRPr="00FF0EF0">
          <w:rPr>
            <w:rStyle w:val="Hyperlink"/>
          </w:rPr>
          <w:t>Eligibility and suitability of personnel</w:t>
        </w:r>
      </w:hyperlink>
      <w:r w:rsidRPr="00A4205A">
        <w:t xml:space="preserve"> </w:t>
      </w:r>
      <w:r>
        <w:t>requires that a</w:t>
      </w:r>
      <w:r w:rsidR="006E18FD" w:rsidRPr="00A4205A">
        <w:t xml:space="preserve"> security clearance be sponsored by an Australian</w:t>
      </w:r>
      <w:r>
        <w:t> </w:t>
      </w:r>
      <w:r w:rsidR="006E18FD" w:rsidRPr="00A4205A">
        <w:t>Government entity</w:t>
      </w:r>
      <w:r w:rsidR="00DE0C6A">
        <w:t xml:space="preserve"> (o</w:t>
      </w:r>
      <w:r w:rsidR="00DE0C6A" w:rsidRPr="00093BEA">
        <w:t>r otherwise authorised by the Australian Government, for example, under an agreement with the states and territories</w:t>
      </w:r>
      <w:r w:rsidR="00DE0C6A">
        <w:t>)</w:t>
      </w:r>
      <w:r w:rsidR="006E18FD" w:rsidRPr="00A4205A">
        <w:t xml:space="preserve"> and can only be sponsored by one entity at </w:t>
      </w:r>
      <w:r w:rsidR="006E18FD">
        <w:t>a</w:t>
      </w:r>
      <w:r w:rsidR="006E18FD" w:rsidRPr="00A4205A">
        <w:t xml:space="preserve"> time</w:t>
      </w:r>
      <w:r w:rsidR="006E18FD">
        <w:t>. V</w:t>
      </w:r>
      <w:r w:rsidR="006E18FD" w:rsidRPr="00A4205A">
        <w:t>etting agencies may allow entities to register their interest in the clearance (i</w:t>
      </w:r>
      <w:r w:rsidR="006E18FD">
        <w:t>e</w:t>
      </w:r>
      <w:r w:rsidR="006E18FD" w:rsidRPr="00A4205A">
        <w:t xml:space="preserve"> contractors working for more than one entity</w:t>
      </w:r>
      <w:r w:rsidR="006E18FD">
        <w:t>,</w:t>
      </w:r>
      <w:r w:rsidR="006E18FD" w:rsidRPr="00A4205A">
        <w:t xml:space="preserve"> or secondees where both the home and host entities have an interest). The </w:t>
      </w:r>
      <w:r w:rsidR="006E18FD" w:rsidRPr="00FF0EF0">
        <w:t>PSPF policy</w:t>
      </w:r>
      <w:r w:rsidR="006E18FD" w:rsidRPr="00FF0EF0">
        <w:rPr>
          <w:b/>
        </w:rPr>
        <w:t xml:space="preserve">: </w:t>
      </w:r>
      <w:hyperlink r:id="rId24" w:history="1">
        <w:r w:rsidR="006E18FD" w:rsidRPr="00FF0EF0">
          <w:rPr>
            <w:rStyle w:val="Hyperlink"/>
          </w:rPr>
          <w:t>Eligibility and suitability</w:t>
        </w:r>
        <w:r w:rsidR="002C0720" w:rsidRPr="00FF0EF0">
          <w:rPr>
            <w:rStyle w:val="Hyperlink"/>
          </w:rPr>
          <w:t xml:space="preserve"> of personnel</w:t>
        </w:r>
      </w:hyperlink>
      <w:r w:rsidR="006E18FD" w:rsidRPr="00A4205A">
        <w:t xml:space="preserve"> provides definitions of statuses that may apply to a clearance. </w:t>
      </w:r>
    </w:p>
    <w:p w14:paraId="7D8BF995" w14:textId="5FC676D0" w:rsidR="006E18FD" w:rsidRDefault="00F95F4B" w:rsidP="006E18FD">
      <w:pPr>
        <w:pStyle w:val="Heading4"/>
      </w:pPr>
      <w:bookmarkStart w:id="12" w:name="_Ref518479389"/>
      <w:r>
        <w:t>Personal security f</w:t>
      </w:r>
      <w:r w:rsidR="006E18FD">
        <w:t>ile</w:t>
      </w:r>
      <w:bookmarkEnd w:id="12"/>
    </w:p>
    <w:p w14:paraId="2B49D33C" w14:textId="19441E7D" w:rsidR="00E92AA3" w:rsidRDefault="003453EB" w:rsidP="00F71EB8">
      <w:pPr>
        <w:pStyle w:val="Listbullet1"/>
      </w:pPr>
      <w:hyperlink w:anchor="_Supporting_requirements" w:history="1">
        <w:r w:rsidR="001369BF" w:rsidRPr="00E92AA3">
          <w:rPr>
            <w:b/>
          </w:rPr>
          <w:t>R</w:t>
        </w:r>
        <w:r w:rsidR="006E18FD" w:rsidRPr="00E92AA3">
          <w:rPr>
            <w:b/>
          </w:rPr>
          <w:t>equirement 4</w:t>
        </w:r>
        <w:r w:rsidR="002C0720" w:rsidRPr="00E92AA3">
          <w:rPr>
            <w:b/>
          </w:rPr>
          <w:t>bii</w:t>
        </w:r>
      </w:hyperlink>
      <w:r w:rsidR="006E18FD" w:rsidRPr="000E7295">
        <w:t xml:space="preserve"> mandates that </w:t>
      </w:r>
      <w:r w:rsidR="00E92AA3">
        <w:t xml:space="preserve">authorised </w:t>
      </w:r>
      <w:r w:rsidR="006E18FD" w:rsidRPr="000E7295">
        <w:t>vetting agencies transfer personal security files where a clearance subject transfers to an entity covered by a different authorised vetting</w:t>
      </w:r>
      <w:r w:rsidR="00984AE4">
        <w:t xml:space="preserve"> agency</w:t>
      </w:r>
      <w:r w:rsidR="006E18FD">
        <w:t xml:space="preserve"> (where</w:t>
      </w:r>
      <w:r w:rsidR="006E18FD" w:rsidRPr="000E7295">
        <w:t xml:space="preserve"> enabling legislation allows</w:t>
      </w:r>
      <w:r w:rsidR="006E18FD">
        <w:t>)</w:t>
      </w:r>
      <w:r w:rsidR="006E18FD" w:rsidRPr="000E7295">
        <w:t xml:space="preserve">. </w:t>
      </w:r>
      <w:r w:rsidR="00DE0C6A" w:rsidRPr="00582AFE">
        <w:rPr>
          <w:b/>
          <w:highlight w:val="yellow"/>
        </w:rPr>
        <w:fldChar w:fldCharType="begin"/>
      </w:r>
      <w:r w:rsidR="00DE0C6A" w:rsidRPr="00582AFE">
        <w:rPr>
          <w:b/>
        </w:rPr>
        <w:instrText xml:space="preserve"> REF _Ref518463873 \h </w:instrText>
      </w:r>
      <w:r w:rsidR="00DE0C6A" w:rsidRPr="00582AFE">
        <w:rPr>
          <w:b/>
          <w:highlight w:val="yellow"/>
        </w:rPr>
        <w:instrText xml:space="preserve"> \* MERGEFORMAT </w:instrText>
      </w:r>
      <w:r w:rsidR="00DE0C6A" w:rsidRPr="00582AFE">
        <w:rPr>
          <w:b/>
          <w:highlight w:val="yellow"/>
        </w:rPr>
      </w:r>
      <w:r w:rsidR="00DE0C6A" w:rsidRPr="00582AFE">
        <w:rPr>
          <w:b/>
          <w:highlight w:val="yellow"/>
        </w:rPr>
        <w:fldChar w:fldCharType="separate"/>
      </w:r>
      <w:r w:rsidR="00CE0A07" w:rsidRPr="00CE0A07">
        <w:rPr>
          <w:b/>
        </w:rPr>
        <w:t>Table</w:t>
      </w:r>
      <w:r w:rsidR="00CE0A07">
        <w:t xml:space="preserve"> </w:t>
      </w:r>
      <w:r w:rsidR="00CE0A07">
        <w:rPr>
          <w:noProof/>
        </w:rPr>
        <w:t>2</w:t>
      </w:r>
      <w:r w:rsidR="00DE0C6A" w:rsidRPr="00582AFE">
        <w:rPr>
          <w:b/>
          <w:highlight w:val="yellow"/>
        </w:rPr>
        <w:fldChar w:fldCharType="end"/>
      </w:r>
      <w:r w:rsidR="00DE0C6A" w:rsidRPr="00A4205A">
        <w:t xml:space="preserve"> </w:t>
      </w:r>
      <w:r w:rsidR="00DE0C6A">
        <w:t>identifies Attorney-General’s Department</w:t>
      </w:r>
      <w:r w:rsidR="00143590">
        <w:t>-</w:t>
      </w:r>
      <w:r w:rsidR="00DE0C6A">
        <w:t>recommended actions to take in such cases.</w:t>
      </w:r>
    </w:p>
    <w:p w14:paraId="41692506" w14:textId="460E2E1E" w:rsidR="006E18FD" w:rsidRPr="00A4205A" w:rsidRDefault="006E18FD" w:rsidP="006E18FD">
      <w:pPr>
        <w:pStyle w:val="Caption"/>
      </w:pPr>
      <w:bookmarkStart w:id="13" w:name="_Ref518463873"/>
      <w:r>
        <w:t xml:space="preserve">Table </w:t>
      </w:r>
      <w:r w:rsidR="00FC5A1E">
        <w:rPr>
          <w:noProof/>
        </w:rPr>
        <w:fldChar w:fldCharType="begin"/>
      </w:r>
      <w:r w:rsidR="00FC5A1E">
        <w:rPr>
          <w:noProof/>
        </w:rPr>
        <w:instrText xml:space="preserve"> SEQ Table \* ARABIC </w:instrText>
      </w:r>
      <w:r w:rsidR="00FC5A1E">
        <w:rPr>
          <w:noProof/>
        </w:rPr>
        <w:fldChar w:fldCharType="separate"/>
      </w:r>
      <w:r w:rsidR="00CE0A07">
        <w:rPr>
          <w:noProof/>
        </w:rPr>
        <w:t>2</w:t>
      </w:r>
      <w:r w:rsidR="00FC5A1E">
        <w:rPr>
          <w:noProof/>
        </w:rPr>
        <w:fldChar w:fldCharType="end"/>
      </w:r>
      <w:bookmarkEnd w:id="13"/>
      <w:r>
        <w:t xml:space="preserve"> Recommended personal security file actions</w:t>
      </w:r>
    </w:p>
    <w:tbl>
      <w:tblPr>
        <w:tblStyle w:val="LightShading-Accent4"/>
        <w:tblW w:w="5000" w:type="pct"/>
        <w:jc w:val="center"/>
        <w:tblLayout w:type="fixed"/>
        <w:tblLook w:val="04A0" w:firstRow="1" w:lastRow="0" w:firstColumn="1" w:lastColumn="0" w:noHBand="0" w:noVBand="1"/>
        <w:tblCaption w:val="Table 2 Recommended personal security file actions"/>
        <w:tblDescription w:val="Permanent transfer&#10;Before personal security file actions commence, the gaining sponsoring entity:&#10;a. identifies the level of security clearance required and whether the clearance subject has previously held a security clearance (including the entity that sponsored the previous clearance)&#10;b. obtains the clearance holder's consent to share information (refer endnote i) where an existing or previous clearance is identified on the security clearance request, or if another vetting agency has confirmed the existence of a current clearance&#10;c. requests permanent transfer of sponsorship of the security clearance that will trigger the authorised vetting agency to commence permanent transfer of the personal security file.&#10;&#10;Once the gaining vetting agency has received a request for the permanent transfer of a security clearance from the sponsoring entity:&#10;a. requests the personal security file from the losing vetting agency (some entities have legal restrictions on the transfer of personal security files. For example, the Department of Defence cannot transfer the personal security files of current and former Regular or Reserve Australian Defence Force personnel and ASIO can only transfer personal security files to other AIC entities. ASIO can only provide a statement of clearance to other vetting agencies)&#10;b. confirms the information in the personal security file meets the requirements for the requested level of security clearance or commences a new vetting process if the sponsoring entity requires a clearance that is higher than the clearance held&#10;c. identifies and addresses concerns or anomalies in the personal security file at the time of transfer, including determining whether the concerns or anomalies warrant a review for cause&#10;d. confirm the transfer of the personal security file with the sponsoring entity, including if further actions will be undertaken before the transfer of sponsorship can be finalised (i.e. sharing any concerns or conducting a review for cause).&#10;&#10;Losing vetting agency:&#10;a. facilitates transfer of the personal security file as soon as practicable, following receipt of request from the gaining vetting agency (in some instances it may not be possible to transfer personal security files immediately. This includes where personnel are still employed by the losing entity, are under investigation for a security breach or violation, are being revalidated, or are undergoing a review for cause).&#10;&#10;Temporary transfer&#10;Only transfer personal security files if necessary, for example:&#10;a. the position in the host entity requires a higher security clearance&#10;b. the clearance expires during the transfer or secondment period. "/>
      </w:tblPr>
      <w:tblGrid>
        <w:gridCol w:w="1216"/>
        <w:gridCol w:w="9250"/>
      </w:tblGrid>
      <w:tr w:rsidR="006E18FD" w14:paraId="0821F7B2" w14:textId="77777777" w:rsidTr="00E92AA3">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581" w:type="pct"/>
          </w:tcPr>
          <w:p w14:paraId="58AD0452" w14:textId="77777777" w:rsidR="006E18FD" w:rsidRPr="00C166C3" w:rsidRDefault="006E18FD" w:rsidP="005D7E7D">
            <w:pPr>
              <w:keepNext/>
              <w:rPr>
                <w:rStyle w:val="Strong"/>
                <w:b/>
              </w:rPr>
            </w:pPr>
            <w:r>
              <w:rPr>
                <w:rStyle w:val="Strong"/>
                <w:b/>
              </w:rPr>
              <w:t>Stage</w:t>
            </w:r>
          </w:p>
        </w:tc>
        <w:tc>
          <w:tcPr>
            <w:tcW w:w="4419" w:type="pct"/>
          </w:tcPr>
          <w:p w14:paraId="008BA412" w14:textId="77777777" w:rsidR="006E18FD" w:rsidRPr="00C166C3" w:rsidRDefault="006E18FD" w:rsidP="005D7E7D">
            <w:pPr>
              <w:keepNext/>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Actions</w:t>
            </w:r>
          </w:p>
        </w:tc>
      </w:tr>
      <w:tr w:rsidR="007B44B2" w14:paraId="1792D6D2" w14:textId="77777777" w:rsidTr="00F772E1">
        <w:trPr>
          <w:cnfStyle w:val="000000100000" w:firstRow="0" w:lastRow="0" w:firstColumn="0" w:lastColumn="0" w:oddVBand="0" w:evenVBand="0" w:oddHBand="1" w:evenHBand="0" w:firstRowFirstColumn="0" w:firstRowLastColumn="0" w:lastRowFirstColumn="0" w:lastRowLastColumn="0"/>
          <w:cantSplit/>
          <w:trHeight w:val="1373"/>
          <w:jc w:val="center"/>
        </w:trPr>
        <w:tc>
          <w:tcPr>
            <w:cnfStyle w:val="001000000000" w:firstRow="0" w:lastRow="0" w:firstColumn="1" w:lastColumn="0" w:oddVBand="0" w:evenVBand="0" w:oddHBand="0" w:evenHBand="0" w:firstRowFirstColumn="0" w:firstRowLastColumn="0" w:lastRowFirstColumn="0" w:lastRowLastColumn="0"/>
            <w:tcW w:w="581" w:type="pct"/>
            <w:vMerge w:val="restart"/>
          </w:tcPr>
          <w:p w14:paraId="1A282123" w14:textId="77777777" w:rsidR="007B44B2" w:rsidRPr="00A4205A" w:rsidRDefault="007B44B2" w:rsidP="00E92AA3">
            <w:pPr>
              <w:pStyle w:val="Tablebody"/>
              <w:ind w:right="-52"/>
            </w:pPr>
            <w:r w:rsidRPr="00A4205A">
              <w:t>Permanent transfer</w:t>
            </w:r>
          </w:p>
        </w:tc>
        <w:tc>
          <w:tcPr>
            <w:tcW w:w="4419" w:type="pct"/>
            <w:tcBorders>
              <w:bottom w:val="nil"/>
            </w:tcBorders>
          </w:tcPr>
          <w:p w14:paraId="3AF8DF6F" w14:textId="77777777" w:rsidR="007B44B2" w:rsidRPr="006F53EB" w:rsidRDefault="007B44B2" w:rsidP="00D53376">
            <w:pPr>
              <w:pStyle w:val="Tablebody"/>
              <w:cnfStyle w:val="000000100000" w:firstRow="0" w:lastRow="0" w:firstColumn="0" w:lastColumn="0" w:oddVBand="0" w:evenVBand="0" w:oddHBand="1" w:evenHBand="0" w:firstRowFirstColumn="0" w:firstRowLastColumn="0" w:lastRowFirstColumn="0" w:lastRowLastColumn="0"/>
              <w:rPr>
                <w:b/>
              </w:rPr>
            </w:pPr>
            <w:r w:rsidRPr="006F53EB">
              <w:rPr>
                <w:b/>
              </w:rPr>
              <w:t>Actions for the gaining sponsoring entity</w:t>
            </w:r>
          </w:p>
          <w:p w14:paraId="108C06E9" w14:textId="6A87958A" w:rsidR="007B44B2" w:rsidRPr="00A4205A" w:rsidRDefault="007B44B2" w:rsidP="00D53376">
            <w:pPr>
              <w:pStyle w:val="Tablebody"/>
              <w:cnfStyle w:val="000000100000" w:firstRow="0" w:lastRow="0" w:firstColumn="0" w:lastColumn="0" w:oddVBand="0" w:evenVBand="0" w:oddHBand="1" w:evenHBand="0" w:firstRowFirstColumn="0" w:firstRowLastColumn="0" w:lastRowFirstColumn="0" w:lastRowLastColumn="0"/>
            </w:pPr>
            <w:r w:rsidRPr="00A4205A">
              <w:t xml:space="preserve">Before </w:t>
            </w:r>
            <w:r>
              <w:t>personal security file</w:t>
            </w:r>
            <w:r w:rsidRPr="00A4205A">
              <w:t xml:space="preserve"> actions commence, the </w:t>
            </w:r>
            <w:r w:rsidRPr="006F53EB">
              <w:t>gaining sponsoring entity</w:t>
            </w:r>
            <w:r w:rsidRPr="00A4205A">
              <w:t xml:space="preserve">: </w:t>
            </w:r>
          </w:p>
          <w:p w14:paraId="66F1C38A" w14:textId="77777777" w:rsidR="007B44B2" w:rsidRPr="00A4205A" w:rsidRDefault="007B44B2" w:rsidP="00754749">
            <w:pPr>
              <w:pStyle w:val="Tablebodybullet1"/>
              <w:numPr>
                <w:ilvl w:val="0"/>
                <w:numId w:val="25"/>
              </w:numPr>
              <w:cnfStyle w:val="000000100000" w:firstRow="0" w:lastRow="0" w:firstColumn="0" w:lastColumn="0" w:oddVBand="0" w:evenVBand="0" w:oddHBand="1" w:evenHBand="0" w:firstRowFirstColumn="0" w:firstRowLastColumn="0" w:lastRowFirstColumn="0" w:lastRowLastColumn="0"/>
            </w:pPr>
            <w:r w:rsidRPr="00A4205A">
              <w:t xml:space="preserve">identifies the level of security clearance required and whether the clearance subject has previously held a security clearance (including </w:t>
            </w:r>
            <w:r>
              <w:t>the</w:t>
            </w:r>
            <w:r w:rsidRPr="00A4205A">
              <w:t xml:space="preserve"> entity</w:t>
            </w:r>
            <w:r>
              <w:t xml:space="preserve"> that </w:t>
            </w:r>
            <w:r w:rsidRPr="00A4205A">
              <w:t>sponsored the previous clearance)</w:t>
            </w:r>
          </w:p>
          <w:p w14:paraId="63E771BD" w14:textId="6B873861" w:rsidR="007B44B2" w:rsidRPr="00A4205A" w:rsidRDefault="007B44B2" w:rsidP="00D53376">
            <w:pPr>
              <w:pStyle w:val="Tablebodybullet1"/>
              <w:cnfStyle w:val="000000100000" w:firstRow="0" w:lastRow="0" w:firstColumn="0" w:lastColumn="0" w:oddVBand="0" w:evenVBand="0" w:oddHBand="1" w:evenHBand="0" w:firstRowFirstColumn="0" w:firstRowLastColumn="0" w:lastRowFirstColumn="0" w:lastRowLastColumn="0"/>
            </w:pPr>
            <w:r w:rsidRPr="00A4205A">
              <w:t>obtains the clearance holder’s consent to share information</w:t>
            </w:r>
            <w:r w:rsidR="00F772E1">
              <w:rPr>
                <w:vertAlign w:val="superscript"/>
              </w:rPr>
              <w:t xml:space="preserve"> Note </w:t>
            </w:r>
            <w:r>
              <w:rPr>
                <w:rStyle w:val="EndnoteReference"/>
              </w:rPr>
              <w:endnoteReference w:id="2"/>
            </w:r>
            <w:r w:rsidRPr="00A4205A">
              <w:t xml:space="preserve"> where a</w:t>
            </w:r>
            <w:r>
              <w:t xml:space="preserve"> current</w:t>
            </w:r>
            <w:r w:rsidRPr="00A4205A">
              <w:t xml:space="preserve"> or previous clearance is identified </w:t>
            </w:r>
          </w:p>
          <w:p w14:paraId="0634183F" w14:textId="6D0DDC56" w:rsidR="007B44B2" w:rsidRPr="00A4205A" w:rsidRDefault="007B44B2" w:rsidP="00F772E1">
            <w:pPr>
              <w:pStyle w:val="Tablebodybullet1"/>
              <w:cnfStyle w:val="000000100000" w:firstRow="0" w:lastRow="0" w:firstColumn="0" w:lastColumn="0" w:oddVBand="0" w:evenVBand="0" w:oddHBand="1" w:evenHBand="0" w:firstRowFirstColumn="0" w:firstRowLastColumn="0" w:lastRowFirstColumn="0" w:lastRowLastColumn="0"/>
            </w:pPr>
            <w:r w:rsidRPr="00A4205A">
              <w:t>requests permanent transfer of sponsorship of the security clearance</w:t>
            </w:r>
            <w:r>
              <w:t>. This will trigger the</w:t>
            </w:r>
            <w:r w:rsidRPr="00A4205A">
              <w:t xml:space="preserve"> authorised vetting agency to commence permanent transfer of the </w:t>
            </w:r>
            <w:r>
              <w:t>personal security file</w:t>
            </w:r>
            <w:r w:rsidRPr="00A4205A">
              <w:t>.</w:t>
            </w:r>
          </w:p>
        </w:tc>
      </w:tr>
      <w:tr w:rsidR="007B44B2" w14:paraId="04D8B463" w14:textId="77777777" w:rsidTr="00F772E1">
        <w:trPr>
          <w:cantSplit/>
          <w:trHeight w:val="3014"/>
          <w:jc w:val="center"/>
        </w:trPr>
        <w:tc>
          <w:tcPr>
            <w:cnfStyle w:val="001000000000" w:firstRow="0" w:lastRow="0" w:firstColumn="1" w:lastColumn="0" w:oddVBand="0" w:evenVBand="0" w:oddHBand="0" w:evenHBand="0" w:firstRowFirstColumn="0" w:firstRowLastColumn="0" w:lastRowFirstColumn="0" w:lastRowLastColumn="0"/>
            <w:tcW w:w="581" w:type="pct"/>
            <w:vMerge/>
            <w:shd w:val="clear" w:color="auto" w:fill="DFD8E8" w:themeFill="accent4" w:themeFillTint="3F"/>
          </w:tcPr>
          <w:p w14:paraId="3EB25997" w14:textId="77777777" w:rsidR="007B44B2" w:rsidRPr="00A4205A" w:rsidRDefault="007B44B2" w:rsidP="00E92AA3">
            <w:pPr>
              <w:pStyle w:val="Tablebody"/>
              <w:ind w:right="-52"/>
            </w:pPr>
          </w:p>
        </w:tc>
        <w:tc>
          <w:tcPr>
            <w:tcW w:w="4419" w:type="pct"/>
            <w:tcBorders>
              <w:top w:val="nil"/>
              <w:bottom w:val="nil"/>
              <w:right w:val="nil"/>
            </w:tcBorders>
            <w:shd w:val="clear" w:color="auto" w:fill="auto"/>
          </w:tcPr>
          <w:p w14:paraId="5D3D17A4" w14:textId="62B191A2" w:rsidR="00F772E1" w:rsidRPr="006F53EB" w:rsidRDefault="00F772E1" w:rsidP="00F772E1">
            <w:pPr>
              <w:pStyle w:val="Tablebody"/>
              <w:cnfStyle w:val="000000000000" w:firstRow="0" w:lastRow="0" w:firstColumn="0" w:lastColumn="0" w:oddVBand="0" w:evenVBand="0" w:oddHBand="0" w:evenHBand="0" w:firstRowFirstColumn="0" w:firstRowLastColumn="0" w:lastRowFirstColumn="0" w:lastRowLastColumn="0"/>
              <w:rPr>
                <w:b/>
              </w:rPr>
            </w:pPr>
            <w:r w:rsidRPr="006F53EB">
              <w:rPr>
                <w:b/>
              </w:rPr>
              <w:t xml:space="preserve">Actions for the gaining </w:t>
            </w:r>
            <w:r>
              <w:rPr>
                <w:b/>
              </w:rPr>
              <w:t>vetting</w:t>
            </w:r>
            <w:r w:rsidRPr="006F53EB">
              <w:rPr>
                <w:b/>
              </w:rPr>
              <w:t xml:space="preserve"> </w:t>
            </w:r>
            <w:r>
              <w:rPr>
                <w:b/>
              </w:rPr>
              <w:t>agency</w:t>
            </w:r>
          </w:p>
          <w:p w14:paraId="77592CCE" w14:textId="57A20EAE" w:rsidR="007B44B2" w:rsidRPr="00A4205A" w:rsidRDefault="007B44B2" w:rsidP="007B44B2">
            <w:pPr>
              <w:pStyle w:val="Tablebody"/>
              <w:cnfStyle w:val="000000000000" w:firstRow="0" w:lastRow="0" w:firstColumn="0" w:lastColumn="0" w:oddVBand="0" w:evenVBand="0" w:oddHBand="0" w:evenHBand="0" w:firstRowFirstColumn="0" w:firstRowLastColumn="0" w:lastRowFirstColumn="0" w:lastRowLastColumn="0"/>
            </w:pPr>
            <w:r w:rsidRPr="00A4205A">
              <w:t xml:space="preserve">Once </w:t>
            </w:r>
            <w:r w:rsidR="00F772E1">
              <w:t xml:space="preserve">it </w:t>
            </w:r>
            <w:r w:rsidRPr="00A4205A">
              <w:t xml:space="preserve">has received a request for the permanent transfer of a security clearance from the </w:t>
            </w:r>
            <w:r w:rsidR="00F772E1">
              <w:t xml:space="preserve">gaining </w:t>
            </w:r>
            <w:r w:rsidRPr="00A4205A">
              <w:t>sponsoring entity</w:t>
            </w:r>
            <w:r w:rsidR="00F772E1">
              <w:t xml:space="preserve">, </w:t>
            </w:r>
            <w:r w:rsidR="00F772E1" w:rsidRPr="00A4205A">
              <w:t xml:space="preserve">the </w:t>
            </w:r>
            <w:r w:rsidR="00F772E1" w:rsidRPr="006F53EB">
              <w:t>gaining vetting agency</w:t>
            </w:r>
            <w:r w:rsidRPr="00A4205A">
              <w:t>:</w:t>
            </w:r>
          </w:p>
          <w:p w14:paraId="3318CA68" w14:textId="397445E3" w:rsidR="007B44B2" w:rsidRPr="00A4205A" w:rsidRDefault="007B44B2" w:rsidP="007B44B2">
            <w:pPr>
              <w:pStyle w:val="Tablebodybullet1"/>
              <w:numPr>
                <w:ilvl w:val="0"/>
                <w:numId w:val="26"/>
              </w:numPr>
              <w:cnfStyle w:val="000000000000" w:firstRow="0" w:lastRow="0" w:firstColumn="0" w:lastColumn="0" w:oddVBand="0" w:evenVBand="0" w:oddHBand="0" w:evenHBand="0" w:firstRowFirstColumn="0" w:firstRowLastColumn="0" w:lastRowFirstColumn="0" w:lastRowLastColumn="0"/>
            </w:pPr>
            <w:r w:rsidRPr="00A4205A">
              <w:t>request</w:t>
            </w:r>
            <w:r>
              <w:t>s</w:t>
            </w:r>
            <w:r w:rsidRPr="00A4205A">
              <w:t xml:space="preserve"> the </w:t>
            </w:r>
            <w:r>
              <w:t>personal security file</w:t>
            </w:r>
            <w:r w:rsidRPr="00A4205A">
              <w:t xml:space="preserve"> from the losing vetting agency</w:t>
            </w:r>
            <w:r w:rsidR="00F71EB8">
              <w:rPr>
                <w:vertAlign w:val="superscript"/>
              </w:rPr>
              <w:t xml:space="preserve"> Note </w:t>
            </w:r>
            <w:r w:rsidR="00F71EB8">
              <w:rPr>
                <w:rStyle w:val="EndnoteReference"/>
              </w:rPr>
              <w:endnoteReference w:id="3"/>
            </w:r>
            <w:r>
              <w:t xml:space="preserve"> </w:t>
            </w:r>
          </w:p>
          <w:p w14:paraId="5919BD17" w14:textId="3FF0D5DA" w:rsidR="007B44B2" w:rsidRPr="00A4205A" w:rsidRDefault="007B44B2" w:rsidP="007B44B2">
            <w:pPr>
              <w:pStyle w:val="Tablebodybullet1"/>
              <w:cnfStyle w:val="000000000000" w:firstRow="0" w:lastRow="0" w:firstColumn="0" w:lastColumn="0" w:oddVBand="0" w:evenVBand="0" w:oddHBand="0" w:evenHBand="0" w:firstRowFirstColumn="0" w:firstRowLastColumn="0" w:lastRowFirstColumn="0" w:lastRowLastColumn="0"/>
            </w:pPr>
            <w:r w:rsidRPr="00A4205A">
              <w:t>confirm</w:t>
            </w:r>
            <w:r>
              <w:t>s the</w:t>
            </w:r>
            <w:r w:rsidRPr="00A4205A">
              <w:t xml:space="preserve"> information in the </w:t>
            </w:r>
            <w:r>
              <w:t>personal security file</w:t>
            </w:r>
            <w:r w:rsidRPr="00B47CE5">
              <w:rPr>
                <w:sz w:val="18"/>
              </w:rPr>
              <w:t xml:space="preserve"> </w:t>
            </w:r>
            <w:r w:rsidRPr="00A4205A">
              <w:t>meets the requirements for the requested level of security clearance</w:t>
            </w:r>
            <w:r w:rsidR="00F71EB8">
              <w:t>,</w:t>
            </w:r>
            <w:r>
              <w:t xml:space="preserve"> or </w:t>
            </w:r>
            <w:r w:rsidRPr="00A4205A">
              <w:t>commence</w:t>
            </w:r>
            <w:r>
              <w:t>s</w:t>
            </w:r>
            <w:r w:rsidRPr="00A4205A">
              <w:t xml:space="preserve"> a new vetting process if the sponsoring entity requires a clearance that is higher than the clearance held</w:t>
            </w:r>
          </w:p>
          <w:p w14:paraId="4B77F5DE" w14:textId="77777777" w:rsidR="007B44B2" w:rsidRPr="00A4205A" w:rsidRDefault="007B44B2" w:rsidP="007B44B2">
            <w:pPr>
              <w:pStyle w:val="Tablebodybullet1"/>
              <w:cnfStyle w:val="000000000000" w:firstRow="0" w:lastRow="0" w:firstColumn="0" w:lastColumn="0" w:oddVBand="0" w:evenVBand="0" w:oddHBand="0" w:evenHBand="0" w:firstRowFirstColumn="0" w:firstRowLastColumn="0" w:lastRowFirstColumn="0" w:lastRowLastColumn="0"/>
            </w:pPr>
            <w:r w:rsidRPr="00A4205A">
              <w:t>i</w:t>
            </w:r>
            <w:r>
              <w:t>dentifies</w:t>
            </w:r>
            <w:r w:rsidRPr="00A4205A">
              <w:t xml:space="preserve"> </w:t>
            </w:r>
            <w:r>
              <w:t xml:space="preserve">and addresses </w:t>
            </w:r>
            <w:r w:rsidRPr="00A4205A">
              <w:t xml:space="preserve">concerns or anomalies in the </w:t>
            </w:r>
            <w:r>
              <w:t xml:space="preserve">personal security file </w:t>
            </w:r>
            <w:r w:rsidRPr="00A4205A">
              <w:t>at the time of transfer</w:t>
            </w:r>
            <w:r>
              <w:t xml:space="preserve">, </w:t>
            </w:r>
            <w:r w:rsidRPr="00A4205A">
              <w:t>includ</w:t>
            </w:r>
            <w:r>
              <w:t>ing</w:t>
            </w:r>
            <w:r w:rsidRPr="00A4205A">
              <w:t xml:space="preserve"> determining whether the concerns or anomalies warrant a review for cause</w:t>
            </w:r>
          </w:p>
          <w:p w14:paraId="5B23BB63" w14:textId="339C4B7E" w:rsidR="007B44B2" w:rsidRPr="007B44B2" w:rsidRDefault="007B44B2" w:rsidP="00D53376">
            <w:pPr>
              <w:pStyle w:val="Tablebodybullet1"/>
              <w:cnfStyle w:val="000000000000" w:firstRow="0" w:lastRow="0" w:firstColumn="0" w:lastColumn="0" w:oddVBand="0" w:evenVBand="0" w:oddHBand="0" w:evenHBand="0" w:firstRowFirstColumn="0" w:firstRowLastColumn="0" w:lastRowFirstColumn="0" w:lastRowLastColumn="0"/>
            </w:pPr>
            <w:r w:rsidRPr="00A4205A">
              <w:t xml:space="preserve">confirm the transfer of the </w:t>
            </w:r>
            <w:r>
              <w:t>personal security file</w:t>
            </w:r>
            <w:r w:rsidRPr="00B47CE5">
              <w:rPr>
                <w:sz w:val="18"/>
              </w:rPr>
              <w:t xml:space="preserve"> </w:t>
            </w:r>
            <w:r w:rsidRPr="00A4205A">
              <w:t>with the sponsoring entity, including if further actions will be undertaken before the transfer of sponsorship can be finalised (i</w:t>
            </w:r>
            <w:r>
              <w:t>e</w:t>
            </w:r>
            <w:r w:rsidRPr="00A4205A">
              <w:t xml:space="preserve"> sharing any concerns or conducting a review for cause). </w:t>
            </w:r>
          </w:p>
        </w:tc>
      </w:tr>
      <w:tr w:rsidR="007B44B2" w14:paraId="4BEDFF62" w14:textId="77777777" w:rsidTr="00F772E1">
        <w:trPr>
          <w:cnfStyle w:val="000000100000" w:firstRow="0" w:lastRow="0" w:firstColumn="0" w:lastColumn="0" w:oddVBand="0" w:evenVBand="0" w:oddHBand="1" w:evenHBand="0" w:firstRowFirstColumn="0" w:firstRowLastColumn="0" w:lastRowFirstColumn="0" w:lastRowLastColumn="0"/>
          <w:cantSplit/>
          <w:trHeight w:val="87"/>
          <w:jc w:val="center"/>
        </w:trPr>
        <w:tc>
          <w:tcPr>
            <w:cnfStyle w:val="001000000000" w:firstRow="0" w:lastRow="0" w:firstColumn="1" w:lastColumn="0" w:oddVBand="0" w:evenVBand="0" w:oddHBand="0" w:evenHBand="0" w:firstRowFirstColumn="0" w:firstRowLastColumn="0" w:lastRowFirstColumn="0" w:lastRowLastColumn="0"/>
            <w:tcW w:w="581" w:type="pct"/>
            <w:vMerge/>
          </w:tcPr>
          <w:p w14:paraId="559F0695" w14:textId="77777777" w:rsidR="007B44B2" w:rsidRPr="00A4205A" w:rsidRDefault="007B44B2" w:rsidP="00E92AA3">
            <w:pPr>
              <w:pStyle w:val="Tablebody"/>
              <w:ind w:right="-52"/>
            </w:pPr>
          </w:p>
        </w:tc>
        <w:tc>
          <w:tcPr>
            <w:tcW w:w="4419" w:type="pct"/>
            <w:tcBorders>
              <w:top w:val="nil"/>
              <w:bottom w:val="nil"/>
            </w:tcBorders>
            <w:shd w:val="clear" w:color="auto" w:fill="DFD8E8"/>
          </w:tcPr>
          <w:p w14:paraId="56B41CC4" w14:textId="3D0F5656" w:rsidR="007B44B2" w:rsidRPr="004A1FF5" w:rsidRDefault="007B44B2" w:rsidP="006F53EB">
            <w:pPr>
              <w:pStyle w:val="Tablebody"/>
              <w:cnfStyle w:val="000000100000" w:firstRow="0" w:lastRow="0" w:firstColumn="0" w:lastColumn="0" w:oddVBand="0" w:evenVBand="0" w:oddHBand="1" w:evenHBand="0" w:firstRowFirstColumn="0" w:firstRowLastColumn="0" w:lastRowFirstColumn="0" w:lastRowLastColumn="0"/>
              <w:rPr>
                <w:b/>
              </w:rPr>
            </w:pPr>
            <w:r>
              <w:rPr>
                <w:b/>
              </w:rPr>
              <w:t>Actions for the l</w:t>
            </w:r>
            <w:r w:rsidRPr="004A1FF5">
              <w:rPr>
                <w:b/>
              </w:rPr>
              <w:t>osing vetting agency:</w:t>
            </w:r>
          </w:p>
          <w:p w14:paraId="77C21239" w14:textId="211A7BE4" w:rsidR="005A1561" w:rsidRDefault="005A1561" w:rsidP="00F71EB8">
            <w:pPr>
              <w:pStyle w:val="Tablebody"/>
              <w:cnfStyle w:val="000000100000" w:firstRow="0" w:lastRow="0" w:firstColumn="0" w:lastColumn="0" w:oddVBand="0" w:evenVBand="0" w:oddHBand="1" w:evenHBand="0" w:firstRowFirstColumn="0" w:firstRowLastColumn="0" w:lastRowFirstColumn="0" w:lastRowLastColumn="0"/>
            </w:pPr>
            <w:r>
              <w:t xml:space="preserve">The losing </w:t>
            </w:r>
            <w:r w:rsidR="00F71EB8" w:rsidRPr="00A4205A">
              <w:t>vetting agenc</w:t>
            </w:r>
            <w:r>
              <w:t>y:</w:t>
            </w:r>
          </w:p>
          <w:p w14:paraId="6F66CEF0" w14:textId="72DBE109" w:rsidR="005A1561" w:rsidRDefault="007B44B2" w:rsidP="005A1561">
            <w:pPr>
              <w:pStyle w:val="Tablebodybullet1"/>
              <w:numPr>
                <w:ilvl w:val="0"/>
                <w:numId w:val="45"/>
              </w:numPr>
              <w:cnfStyle w:val="000000100000" w:firstRow="0" w:lastRow="0" w:firstColumn="0" w:lastColumn="0" w:oddVBand="0" w:evenVBand="0" w:oddHBand="1" w:evenHBand="0" w:firstRowFirstColumn="0" w:firstRowLastColumn="0" w:lastRowFirstColumn="0" w:lastRowLastColumn="0"/>
            </w:pPr>
            <w:r w:rsidRPr="00A4205A">
              <w:t xml:space="preserve">facilitates transfer of the </w:t>
            </w:r>
            <w:r>
              <w:t xml:space="preserve">personal security file </w:t>
            </w:r>
            <w:r w:rsidRPr="00A4205A">
              <w:t>as soon as practicable, following receipt of request from the gaining vetting agency</w:t>
            </w:r>
            <w:r w:rsidR="00F71EB8" w:rsidRPr="005A1561">
              <w:rPr>
                <w:vertAlign w:val="superscript"/>
              </w:rPr>
              <w:t xml:space="preserve"> Note </w:t>
            </w:r>
            <w:r w:rsidR="00F71EB8">
              <w:rPr>
                <w:rStyle w:val="EndnoteReference"/>
              </w:rPr>
              <w:endnoteReference w:id="4"/>
            </w:r>
            <w:r w:rsidR="005A1561" w:rsidRPr="00A4205A">
              <w:t xml:space="preserve"> </w:t>
            </w:r>
          </w:p>
          <w:p w14:paraId="50CC6290" w14:textId="11FBCB3F" w:rsidR="007B44B2" w:rsidRPr="005A1561" w:rsidRDefault="005A1561" w:rsidP="005A1561">
            <w:pPr>
              <w:pStyle w:val="Tablebodybullet1"/>
              <w:numPr>
                <w:ilvl w:val="0"/>
                <w:numId w:val="45"/>
              </w:numPr>
              <w:cnfStyle w:val="000000100000" w:firstRow="0" w:lastRow="0" w:firstColumn="0" w:lastColumn="0" w:oddVBand="0" w:evenVBand="0" w:oddHBand="1" w:evenHBand="0" w:firstRowFirstColumn="0" w:firstRowLastColumn="0" w:lastRowFirstColumn="0" w:lastRowLastColumn="0"/>
            </w:pPr>
            <w:r w:rsidRPr="00A4205A">
              <w:t>seek</w:t>
            </w:r>
            <w:r>
              <w:t>s</w:t>
            </w:r>
            <w:r w:rsidRPr="00A4205A">
              <w:t xml:space="preserve"> consent from clearance subjects</w:t>
            </w:r>
            <w:r>
              <w:t xml:space="preserve"> p</w:t>
            </w:r>
            <w:r w:rsidRPr="00A4205A">
              <w:t xml:space="preserve">rior to transferring and sharing </w:t>
            </w:r>
            <w:r>
              <w:t>personal security files.</w:t>
            </w:r>
          </w:p>
        </w:tc>
      </w:tr>
      <w:tr w:rsidR="006E18FD" w14:paraId="6F1355EA" w14:textId="77777777" w:rsidTr="00F772E1">
        <w:trPr>
          <w:jc w:val="center"/>
        </w:trPr>
        <w:tc>
          <w:tcPr>
            <w:cnfStyle w:val="001000000000" w:firstRow="0" w:lastRow="0" w:firstColumn="1" w:lastColumn="0" w:oddVBand="0" w:evenVBand="0" w:oddHBand="0" w:evenHBand="0" w:firstRowFirstColumn="0" w:firstRowLastColumn="0" w:lastRowFirstColumn="0" w:lastRowLastColumn="0"/>
            <w:tcW w:w="581" w:type="pct"/>
          </w:tcPr>
          <w:p w14:paraId="7747F706" w14:textId="78A06FCD" w:rsidR="006E18FD" w:rsidRPr="00A4205A" w:rsidRDefault="006E18FD" w:rsidP="00D53376">
            <w:pPr>
              <w:pStyle w:val="Tablebody"/>
            </w:pPr>
            <w:r w:rsidRPr="00A4205A">
              <w:t xml:space="preserve">Temporary transfer </w:t>
            </w:r>
          </w:p>
        </w:tc>
        <w:tc>
          <w:tcPr>
            <w:tcW w:w="4419" w:type="pct"/>
            <w:tcBorders>
              <w:top w:val="nil"/>
            </w:tcBorders>
          </w:tcPr>
          <w:p w14:paraId="1EDC9EFD" w14:textId="77777777" w:rsidR="006E18FD" w:rsidRPr="00A4205A" w:rsidRDefault="006E18FD" w:rsidP="00D53376">
            <w:pPr>
              <w:pStyle w:val="Tablebody"/>
              <w:cnfStyle w:val="000000000000" w:firstRow="0" w:lastRow="0" w:firstColumn="0" w:lastColumn="0" w:oddVBand="0" w:evenVBand="0" w:oddHBand="0" w:evenHBand="0" w:firstRowFirstColumn="0" w:firstRowLastColumn="0" w:lastRowFirstColumn="0" w:lastRowLastColumn="0"/>
            </w:pPr>
            <w:r w:rsidRPr="00A4205A">
              <w:t xml:space="preserve">Only transfer </w:t>
            </w:r>
            <w:r>
              <w:t xml:space="preserve">personal security files </w:t>
            </w:r>
            <w:r w:rsidRPr="00A4205A">
              <w:t xml:space="preserve">if necessary, </w:t>
            </w:r>
            <w:r>
              <w:t>for example</w:t>
            </w:r>
            <w:r w:rsidRPr="00A4205A">
              <w:t>:</w:t>
            </w:r>
          </w:p>
          <w:p w14:paraId="10CC027D" w14:textId="0026A50D" w:rsidR="006E18FD" w:rsidRPr="00A4205A" w:rsidRDefault="006E18FD" w:rsidP="00754749">
            <w:pPr>
              <w:pStyle w:val="Tablebodybullet1"/>
              <w:numPr>
                <w:ilvl w:val="0"/>
                <w:numId w:val="27"/>
              </w:numPr>
              <w:cnfStyle w:val="000000000000" w:firstRow="0" w:lastRow="0" w:firstColumn="0" w:lastColumn="0" w:oddVBand="0" w:evenVBand="0" w:oddHBand="0" w:evenHBand="0" w:firstRowFirstColumn="0" w:firstRowLastColumn="0" w:lastRowFirstColumn="0" w:lastRowLastColumn="0"/>
            </w:pPr>
            <w:r>
              <w:t xml:space="preserve">the </w:t>
            </w:r>
            <w:r w:rsidRPr="00A4205A">
              <w:t xml:space="preserve">position in </w:t>
            </w:r>
            <w:r>
              <w:t xml:space="preserve">the </w:t>
            </w:r>
            <w:r w:rsidR="00984AE4">
              <w:t>gaining sponsoring</w:t>
            </w:r>
            <w:r w:rsidRPr="00A4205A">
              <w:t xml:space="preserve"> entity requires a higher security clearance</w:t>
            </w:r>
          </w:p>
          <w:p w14:paraId="7D88402F" w14:textId="796B6C50" w:rsidR="006E18FD" w:rsidRPr="00A4205A" w:rsidRDefault="006E18FD" w:rsidP="00D53376">
            <w:pPr>
              <w:pStyle w:val="Tablebodybullet1"/>
              <w:cnfStyle w:val="000000000000" w:firstRow="0" w:lastRow="0" w:firstColumn="0" w:lastColumn="0" w:oddVBand="0" w:evenVBand="0" w:oddHBand="0" w:evenHBand="0" w:firstRowFirstColumn="0" w:firstRowLastColumn="0" w:lastRowFirstColumn="0" w:lastRowLastColumn="0"/>
            </w:pPr>
            <w:r>
              <w:t xml:space="preserve">the </w:t>
            </w:r>
            <w:r w:rsidRPr="00A4205A">
              <w:t>clearance expires during the transfer</w:t>
            </w:r>
            <w:r>
              <w:t xml:space="preserve"> or </w:t>
            </w:r>
            <w:r w:rsidRPr="00A4205A">
              <w:t>secondment period.</w:t>
            </w:r>
          </w:p>
        </w:tc>
      </w:tr>
    </w:tbl>
    <w:p w14:paraId="0908C45D" w14:textId="77777777" w:rsidR="0054710A" w:rsidRDefault="0054710A" w:rsidP="00450144">
      <w:pPr>
        <w:pStyle w:val="Figuretext"/>
        <w:jc w:val="left"/>
        <w:sectPr w:rsidR="0054710A" w:rsidSect="006C4952">
          <w:endnotePr>
            <w:numRestart w:val="eachSect"/>
          </w:endnotePr>
          <w:type w:val="continuous"/>
          <w:pgSz w:w="11906" w:h="16838"/>
          <w:pgMar w:top="851" w:right="720" w:bottom="720" w:left="720" w:header="0" w:footer="0" w:gutter="0"/>
          <w:cols w:space="708"/>
          <w:titlePg/>
          <w:docGrid w:linePitch="360"/>
        </w:sectPr>
      </w:pPr>
      <w:r>
        <w:t>Table 2 notes:</w:t>
      </w:r>
    </w:p>
    <w:p w14:paraId="38AA2270" w14:textId="499F8D9E" w:rsidR="006E18FD" w:rsidRDefault="006E18FD" w:rsidP="009F4781">
      <w:pPr>
        <w:pStyle w:val="Figuretext"/>
        <w:jc w:val="left"/>
      </w:pPr>
    </w:p>
    <w:p w14:paraId="2B80A8AC" w14:textId="77777777" w:rsidR="00DD70BF" w:rsidRDefault="00DD70BF" w:rsidP="00143590">
      <w:pPr>
        <w:pStyle w:val="Listbullet1"/>
        <w:sectPr w:rsidR="00DD70BF" w:rsidSect="00DE0C6A">
          <w:headerReference w:type="first" r:id="rId25"/>
          <w:footerReference w:type="first" r:id="rId26"/>
          <w:endnotePr>
            <w:numRestart w:val="eachSect"/>
          </w:endnotePr>
          <w:type w:val="continuous"/>
          <w:pgSz w:w="11906" w:h="16838"/>
          <w:pgMar w:top="851" w:right="720" w:bottom="720" w:left="720" w:header="0" w:footer="0" w:gutter="0"/>
          <w:cols w:space="708"/>
          <w:docGrid w:linePitch="360"/>
        </w:sectPr>
      </w:pPr>
    </w:p>
    <w:p w14:paraId="3E4A2065" w14:textId="23090139" w:rsidR="00143590" w:rsidRDefault="00143590" w:rsidP="00143590">
      <w:pPr>
        <w:pStyle w:val="Listbullet1"/>
      </w:pPr>
      <w:r w:rsidRPr="00A4205A">
        <w:lastRenderedPageBreak/>
        <w:t xml:space="preserve">Where a </w:t>
      </w:r>
      <w:r>
        <w:t xml:space="preserve">personal security file </w:t>
      </w:r>
      <w:r w:rsidRPr="00A4205A">
        <w:t xml:space="preserve">contains a National Police Check subject to no exclusions under the </w:t>
      </w:r>
      <w:r>
        <w:t xml:space="preserve">Commonwealth </w:t>
      </w:r>
      <w:r w:rsidRPr="00A4205A">
        <w:t>spent convictions scheme</w:t>
      </w:r>
      <w:r>
        <w:t>,</w:t>
      </w:r>
      <w:r w:rsidRPr="00A4205A">
        <w:t xml:space="preserve"> the </w:t>
      </w:r>
      <w:r w:rsidRPr="00E92AA3">
        <w:t>scheme</w:t>
      </w:r>
      <w:r>
        <w:t xml:space="preserve"> requires entities </w:t>
      </w:r>
      <w:r w:rsidRPr="00A4205A">
        <w:t>ensure any previous recorded convictions are not spent</w:t>
      </w:r>
      <w:r>
        <w:t xml:space="preserve"> </w:t>
      </w:r>
      <w:r w:rsidRPr="00A4205A">
        <w:t>and</w:t>
      </w:r>
      <w:r>
        <w:t xml:space="preserve"> </w:t>
      </w:r>
      <w:r w:rsidRPr="00A4205A">
        <w:t>reference to any convictions that are spent</w:t>
      </w:r>
      <w:r>
        <w:t xml:space="preserve"> are removed</w:t>
      </w:r>
      <w:r w:rsidRPr="00A4205A">
        <w:t>.</w:t>
      </w:r>
      <w:r w:rsidRPr="00976B3C">
        <w:t xml:space="preserve"> </w:t>
      </w:r>
      <w:r>
        <w:t xml:space="preserve">For information, see the </w:t>
      </w:r>
      <w:hyperlink r:id="rId27" w:anchor="obligations" w:history="1">
        <w:r w:rsidRPr="000A3FF0">
          <w:rPr>
            <w:rStyle w:val="Hyperlink"/>
          </w:rPr>
          <w:t>Privacy fact sheet 41: Commonwealth spent convictions scheme</w:t>
        </w:r>
      </w:hyperlink>
      <w:r>
        <w:t>.</w:t>
      </w:r>
      <w:r w:rsidRPr="00A4205A">
        <w:t xml:space="preserve"> </w:t>
      </w:r>
    </w:p>
    <w:p w14:paraId="3CC9A05A" w14:textId="77777777" w:rsidR="00143590" w:rsidRPr="00A4205A" w:rsidRDefault="00143590" w:rsidP="00143590">
      <w:pPr>
        <w:pStyle w:val="Listbullet1"/>
      </w:pPr>
      <w:r w:rsidRPr="00A4205A">
        <w:t>If the original National Police Check is not shared</w:t>
      </w:r>
      <w:r>
        <w:t xml:space="preserve"> (</w:t>
      </w:r>
      <w:r w:rsidRPr="00A4205A">
        <w:t>as a result</w:t>
      </w:r>
      <w:r>
        <w:t xml:space="preserve"> of Commonwealth spent convictions scheme requirements)</w:t>
      </w:r>
      <w:r w:rsidRPr="00A4205A">
        <w:t>, the Attorney</w:t>
      </w:r>
      <w:r w:rsidRPr="00A4205A">
        <w:noBreakHyphen/>
        <w:t xml:space="preserve">General’s Department recommends that the gaining vetting agency request a new National Police Check on transfer of the </w:t>
      </w:r>
      <w:r>
        <w:t>personal security file. This meets</w:t>
      </w:r>
      <w:r w:rsidRPr="00A4205A">
        <w:t xml:space="preserve"> the requirements outlined in the </w:t>
      </w:r>
      <w:r w:rsidRPr="002C0720">
        <w:t>PSPF policy</w:t>
      </w:r>
      <w:r w:rsidRPr="002C0720">
        <w:rPr>
          <w:b/>
        </w:rPr>
        <w:t xml:space="preserve">: </w:t>
      </w:r>
      <w:hyperlink r:id="rId28" w:history="1">
        <w:r w:rsidRPr="00201051">
          <w:rPr>
            <w:rStyle w:val="Hyperlink"/>
          </w:rPr>
          <w:t>Eligibility and suitability of personnel</w:t>
        </w:r>
      </w:hyperlink>
      <w:r w:rsidRPr="002C0720">
        <w:t>.</w:t>
      </w:r>
    </w:p>
    <w:p w14:paraId="37B4938F" w14:textId="785506CF" w:rsidR="006E18FD" w:rsidRDefault="006E18FD" w:rsidP="00FE4ADB">
      <w:pPr>
        <w:pStyle w:val="Listbullet1"/>
      </w:pPr>
      <w:r>
        <w:t>Consistent with t</w:t>
      </w:r>
      <w:r w:rsidRPr="00A4205A">
        <w:t xml:space="preserve">he </w:t>
      </w:r>
      <w:r w:rsidRPr="0017368F">
        <w:t>PSPF policies</w:t>
      </w:r>
      <w:r w:rsidRPr="0017368F">
        <w:rPr>
          <w:b/>
        </w:rPr>
        <w:t xml:space="preserve">: </w:t>
      </w:r>
      <w:hyperlink r:id="rId29" w:history="1">
        <w:r w:rsidRPr="0017368F">
          <w:rPr>
            <w:rStyle w:val="Hyperlink"/>
          </w:rPr>
          <w:t>Eligibility and suitability of personnel</w:t>
        </w:r>
      </w:hyperlink>
      <w:r w:rsidRPr="0017368F">
        <w:t xml:space="preserve"> and </w:t>
      </w:r>
      <w:hyperlink r:id="rId30" w:history="1">
        <w:r w:rsidRPr="0017368F">
          <w:rPr>
            <w:rStyle w:val="Hyperlink"/>
          </w:rPr>
          <w:t>Ongoing assessment of personnel</w:t>
        </w:r>
      </w:hyperlink>
      <w:r>
        <w:t xml:space="preserve">, where there are concerns </w:t>
      </w:r>
      <w:r w:rsidRPr="00A4205A">
        <w:t xml:space="preserve">transferring </w:t>
      </w:r>
      <w:r>
        <w:t>personal security file</w:t>
      </w:r>
      <w:r w:rsidRPr="0049444E">
        <w:t>s</w:t>
      </w:r>
      <w:r>
        <w:t xml:space="preserve">, vetting agencies </w:t>
      </w:r>
      <w:r w:rsidR="00CE0A07">
        <w:t xml:space="preserve">will </w:t>
      </w:r>
      <w:r>
        <w:t>advise the sponsoring entity.</w:t>
      </w:r>
      <w:r w:rsidRPr="00A4205A">
        <w:t xml:space="preserve"> The sponsoring entity can </w:t>
      </w:r>
      <w:r w:rsidR="005A1561">
        <w:t xml:space="preserve">then </w:t>
      </w:r>
      <w:r w:rsidRPr="00A4205A">
        <w:t>make a risk</w:t>
      </w:r>
      <w:r>
        <w:t>-</w:t>
      </w:r>
      <w:r w:rsidRPr="00A4205A">
        <w:t>based decision on providing or continuing access to Australian Government resources.</w:t>
      </w:r>
    </w:p>
    <w:p w14:paraId="258DA0DB" w14:textId="15F6B9AD" w:rsidR="006E18FD" w:rsidRPr="00A4205A" w:rsidRDefault="006E18FD" w:rsidP="00FE4ADB">
      <w:pPr>
        <w:pStyle w:val="Listbullet1"/>
      </w:pPr>
      <w:r>
        <w:t>T</w:t>
      </w:r>
      <w:r w:rsidRPr="00A4205A">
        <w:t xml:space="preserve">ransferred </w:t>
      </w:r>
      <w:r>
        <w:t>personal security files may include</w:t>
      </w:r>
      <w:r w:rsidRPr="00A4205A">
        <w:t xml:space="preserve"> information </w:t>
      </w:r>
      <w:r>
        <w:t xml:space="preserve">that </w:t>
      </w:r>
      <w:r w:rsidRPr="00A4205A">
        <w:t xml:space="preserve">has </w:t>
      </w:r>
      <w:r>
        <w:t xml:space="preserve">been </w:t>
      </w:r>
      <w:r w:rsidRPr="00A4205A">
        <w:t>previously collected</w:t>
      </w:r>
      <w:r w:rsidR="00DE0C6A">
        <w:t xml:space="preserve"> (eg</w:t>
      </w:r>
      <w:r w:rsidRPr="00A4205A">
        <w:t xml:space="preserve"> personal information or copies of supporting information</w:t>
      </w:r>
      <w:r w:rsidR="00DE0C6A">
        <w:t>)</w:t>
      </w:r>
      <w:r>
        <w:t>. The</w:t>
      </w:r>
      <w:r w:rsidRPr="00A4205A">
        <w:t xml:space="preserve"> Attorney-General’s Department recommends the </w:t>
      </w:r>
      <w:r w:rsidR="00073980">
        <w:t xml:space="preserve">gaining </w:t>
      </w:r>
      <w:r w:rsidRPr="00A4205A">
        <w:t>authorised vetting agency not request this information again, unless there are concerns about the authenticity of the document</w:t>
      </w:r>
      <w:r w:rsidR="00DE0C6A">
        <w:t>s</w:t>
      </w:r>
      <w:r w:rsidRPr="00A4205A">
        <w:t xml:space="preserve"> originally supplied.</w:t>
      </w:r>
      <w:r w:rsidR="00976B3C">
        <w:t xml:space="preserve"> </w:t>
      </w:r>
      <w:r w:rsidR="00976B3C" w:rsidRPr="009152E6">
        <w:t>If electronic packs are used, information may be regathered electronically to populate the electronic record</w:t>
      </w:r>
      <w:r w:rsidR="00073980">
        <w:t>;</w:t>
      </w:r>
      <w:r w:rsidR="00976B3C">
        <w:t xml:space="preserve"> </w:t>
      </w:r>
      <w:r w:rsidR="00073980">
        <w:t>t</w:t>
      </w:r>
      <w:r w:rsidR="00976B3C" w:rsidRPr="009152E6">
        <w:t>his occurs at the next revalidation or review of the security clearance.</w:t>
      </w:r>
    </w:p>
    <w:p w14:paraId="2179DF89" w14:textId="77777777" w:rsidR="006E18FD" w:rsidRDefault="006E18FD" w:rsidP="006E18FD">
      <w:pPr>
        <w:pStyle w:val="Heading4"/>
      </w:pPr>
      <w:r>
        <w:t>Temporary transfer or secondment</w:t>
      </w:r>
    </w:p>
    <w:p w14:paraId="5B8159F8" w14:textId="67A8DA94" w:rsidR="006E18FD" w:rsidRPr="00A4205A" w:rsidRDefault="00073980" w:rsidP="00FE4ADB">
      <w:pPr>
        <w:pStyle w:val="Listbullet1"/>
      </w:pPr>
      <w:r>
        <w:t>E</w:t>
      </w:r>
      <w:r w:rsidR="006E18FD" w:rsidRPr="00A4205A">
        <w:t>ntit</w:t>
      </w:r>
      <w:r>
        <w:t>y</w:t>
      </w:r>
      <w:r w:rsidR="006E18FD" w:rsidRPr="00A4205A">
        <w:t xml:space="preserve"> processes for the sponsorship of security clearances</w:t>
      </w:r>
      <w:r>
        <w:t xml:space="preserve"> (</w:t>
      </w:r>
      <w:r w:rsidR="006E18FD">
        <w:t>includ</w:t>
      </w:r>
      <w:r>
        <w:t>ing</w:t>
      </w:r>
      <w:r w:rsidR="006E18FD" w:rsidRPr="00A4205A">
        <w:t xml:space="preserve"> associated responsibilities for assessment and management of ongoing suitability</w:t>
      </w:r>
      <w:r w:rsidR="006E18FD">
        <w:t xml:space="preserve"> </w:t>
      </w:r>
      <w:r w:rsidR="006E18FD" w:rsidRPr="00A4205A">
        <w:t>for clearance holders on temporary transfer or secondment</w:t>
      </w:r>
      <w:r>
        <w:t xml:space="preserve">) </w:t>
      </w:r>
      <w:r w:rsidR="006E18FD">
        <w:t>n</w:t>
      </w:r>
      <w:r w:rsidR="006E18FD" w:rsidRPr="00A4205A">
        <w:t>eed to be:</w:t>
      </w:r>
    </w:p>
    <w:p w14:paraId="0C6558B6" w14:textId="53D6431F" w:rsidR="006E18FD" w:rsidRPr="00A4205A" w:rsidRDefault="006E18FD" w:rsidP="00FE4ADB">
      <w:pPr>
        <w:pStyle w:val="ListBullet2"/>
        <w:numPr>
          <w:ilvl w:val="0"/>
          <w:numId w:val="16"/>
        </w:numPr>
      </w:pPr>
      <w:r w:rsidRPr="00A4205A">
        <w:t xml:space="preserve">flexible to account for the diversity of timeframes and arrangements applicable to secondment and other temporary transfers </w:t>
      </w:r>
    </w:p>
    <w:p w14:paraId="2708FAE3" w14:textId="77777777" w:rsidR="006E18FD" w:rsidRPr="00A4205A" w:rsidRDefault="006E18FD" w:rsidP="00FE4ADB">
      <w:pPr>
        <w:pStyle w:val="ListBullet2"/>
      </w:pPr>
      <w:r w:rsidRPr="00A4205A">
        <w:t>negotiated between the home entity and host entity on a case-by-case basis.</w:t>
      </w:r>
    </w:p>
    <w:p w14:paraId="1E8D95DB" w14:textId="4A58C74E" w:rsidR="006E18FD" w:rsidRPr="00A4205A" w:rsidRDefault="006E18FD" w:rsidP="00FE4ADB">
      <w:pPr>
        <w:pStyle w:val="Listbullet1"/>
      </w:pPr>
      <w:r w:rsidRPr="00A4205A">
        <w:t>The Attorney</w:t>
      </w:r>
      <w:r w:rsidR="00597315" w:rsidRPr="00A4205A">
        <w:t>-</w:t>
      </w:r>
      <w:r w:rsidRPr="00A4205A">
        <w:t xml:space="preserve">General’s Department recommends the </w:t>
      </w:r>
      <w:r w:rsidR="00073980">
        <w:t>losing sponsoring</w:t>
      </w:r>
      <w:r w:rsidRPr="00A4205A">
        <w:t xml:space="preserve"> entity</w:t>
      </w:r>
      <w:r w:rsidR="00073980">
        <w:t xml:space="preserve"> (the home entity), in</w:t>
      </w:r>
      <w:r>
        <w:t xml:space="preserve"> </w:t>
      </w:r>
      <w:r w:rsidR="00073980" w:rsidRPr="00A4205A">
        <w:t xml:space="preserve">consultation with the </w:t>
      </w:r>
      <w:r w:rsidR="00073980">
        <w:t xml:space="preserve">gaining sponsoring entity (the </w:t>
      </w:r>
      <w:r w:rsidR="00073980" w:rsidRPr="00A4205A">
        <w:t>host entity</w:t>
      </w:r>
      <w:r w:rsidR="00073980">
        <w:t>)</w:t>
      </w:r>
      <w:r w:rsidR="00073980" w:rsidRPr="00A4205A">
        <w:t xml:space="preserve"> </w:t>
      </w:r>
      <w:r w:rsidRPr="00A4205A">
        <w:t xml:space="preserve">determine whether to treat </w:t>
      </w:r>
      <w:r w:rsidR="00073980">
        <w:t>a temporary</w:t>
      </w:r>
      <w:r w:rsidRPr="00A4205A">
        <w:t xml:space="preserve"> transfer </w:t>
      </w:r>
      <w:r w:rsidR="00073980">
        <w:t xml:space="preserve">or secondment </w:t>
      </w:r>
      <w:r w:rsidRPr="00A4205A">
        <w:t>as a separation for the purpose of security clearance sponsorship.</w:t>
      </w:r>
      <w:r>
        <w:t xml:space="preserve"> </w:t>
      </w:r>
      <w:r w:rsidRPr="00A4205A">
        <w:t xml:space="preserve">Relevant factors </w:t>
      </w:r>
      <w:r>
        <w:t>to consider</w:t>
      </w:r>
      <w:r w:rsidRPr="00A4205A">
        <w:t xml:space="preserve"> include:</w:t>
      </w:r>
    </w:p>
    <w:p w14:paraId="38BABFA9" w14:textId="77777777" w:rsidR="006E18FD" w:rsidRPr="00A4205A" w:rsidRDefault="006E18FD" w:rsidP="00FE4ADB">
      <w:pPr>
        <w:pStyle w:val="ListBullet2"/>
        <w:numPr>
          <w:ilvl w:val="0"/>
          <w:numId w:val="28"/>
        </w:numPr>
      </w:pPr>
      <w:r w:rsidRPr="00A4205A">
        <w:t xml:space="preserve">the duration of the transfer or secondment and the level of access </w:t>
      </w:r>
      <w:r>
        <w:t>personnel</w:t>
      </w:r>
      <w:r w:rsidRPr="00A4205A">
        <w:t xml:space="preserve"> will require to </w:t>
      </w:r>
      <w:r>
        <w:t>the</w:t>
      </w:r>
      <w:r w:rsidRPr="00A4205A">
        <w:t xml:space="preserve"> </w:t>
      </w:r>
      <w:r>
        <w:t>home</w:t>
      </w:r>
      <w:r w:rsidRPr="00A4205A">
        <w:t xml:space="preserve"> entity and </w:t>
      </w:r>
      <w:r>
        <w:t>host</w:t>
      </w:r>
      <w:r w:rsidRPr="00A4205A">
        <w:t xml:space="preserve"> entity resources during the transfer or secondment</w:t>
      </w:r>
    </w:p>
    <w:p w14:paraId="6F578CB6" w14:textId="7CB240C8" w:rsidR="006E18FD" w:rsidRPr="00A4205A" w:rsidRDefault="006E18FD" w:rsidP="00FE4ADB">
      <w:pPr>
        <w:pStyle w:val="ListBullet2"/>
      </w:pPr>
      <w:r w:rsidRPr="00A4205A">
        <w:t>whether the host entity requires a security clearance for the position at the same, higher or lower level than the home entity</w:t>
      </w:r>
    </w:p>
    <w:p w14:paraId="0CBE058D" w14:textId="77777777" w:rsidR="006E18FD" w:rsidRPr="00A4205A" w:rsidRDefault="006E18FD" w:rsidP="00FE4ADB">
      <w:pPr>
        <w:pStyle w:val="ListBullet2"/>
      </w:pPr>
      <w:r w:rsidRPr="00A4205A">
        <w:t xml:space="preserve">whether both entities use the same authorised vetting agency and if there </w:t>
      </w:r>
      <w:r>
        <w:t>is</w:t>
      </w:r>
      <w:r w:rsidRPr="00A4205A">
        <w:t xml:space="preserve"> a need to transfer the clearance holder’s </w:t>
      </w:r>
      <w:r>
        <w:t>personal security file</w:t>
      </w:r>
      <w:r w:rsidRPr="00A4205A">
        <w:t>.</w:t>
      </w:r>
    </w:p>
    <w:p w14:paraId="70E7A732" w14:textId="4FDB8A1C" w:rsidR="006E18FD" w:rsidRPr="00A4205A" w:rsidRDefault="006E18FD" w:rsidP="00FE4ADB">
      <w:pPr>
        <w:pStyle w:val="Listbullet1"/>
      </w:pPr>
      <w:r w:rsidRPr="00A4205A">
        <w:t>If the host entity requires a higher level of clearance or the clearance expires during the period of the temporary transfer</w:t>
      </w:r>
      <w:r>
        <w:t>, t</w:t>
      </w:r>
      <w:r w:rsidRPr="00A4205A">
        <w:t>he Attorney</w:t>
      </w:r>
      <w:r w:rsidR="00597315" w:rsidRPr="00A4205A">
        <w:t>-</w:t>
      </w:r>
      <w:r w:rsidRPr="00A4205A">
        <w:t>General’s Department recommends that the host</w:t>
      </w:r>
      <w:r>
        <w:t xml:space="preserve"> entity’s</w:t>
      </w:r>
      <w:r w:rsidRPr="00A4205A">
        <w:t xml:space="preserve"> authorised vetting agency is responsible for the upgrade </w:t>
      </w:r>
      <w:r>
        <w:t xml:space="preserve">of the </w:t>
      </w:r>
      <w:r w:rsidRPr="00A4205A">
        <w:t>clearance.</w:t>
      </w:r>
    </w:p>
    <w:p w14:paraId="57B91827" w14:textId="77777777" w:rsidR="006E18FD" w:rsidRDefault="006E18FD" w:rsidP="006E18FD">
      <w:pPr>
        <w:pStyle w:val="Heading3"/>
      </w:pPr>
      <w:bookmarkStart w:id="14" w:name="_Ref521493374"/>
      <w:r>
        <w:t>Extended leave</w:t>
      </w:r>
      <w:bookmarkEnd w:id="14"/>
    </w:p>
    <w:p w14:paraId="2A475AC8" w14:textId="4AE2CD9B" w:rsidR="002C0720" w:rsidRDefault="006E18FD" w:rsidP="00FE4ADB">
      <w:pPr>
        <w:pStyle w:val="Listbullet1"/>
      </w:pPr>
      <w:r w:rsidRPr="00A4205A">
        <w:t xml:space="preserve">The </w:t>
      </w:r>
      <w:r w:rsidR="008B717C">
        <w:t>definition of separating personnel includes those taking extended leave. As such, the personnel security requirements of this policy apply</w:t>
      </w:r>
      <w:r w:rsidRPr="00A4205A">
        <w:t xml:space="preserve">, unless a risk assessment determines this </w:t>
      </w:r>
      <w:r>
        <w:t xml:space="preserve">is not </w:t>
      </w:r>
      <w:r w:rsidRPr="00A4205A">
        <w:t xml:space="preserve">necessary. </w:t>
      </w:r>
    </w:p>
    <w:p w14:paraId="36CA55EE" w14:textId="5DF47B2B" w:rsidR="00E05043" w:rsidRDefault="006E18FD" w:rsidP="00FE4ADB">
      <w:pPr>
        <w:pStyle w:val="Listbullet1"/>
      </w:pPr>
      <w:r w:rsidRPr="00A4205A">
        <w:t>This policy does not define the period of time to which the term ‘extended leave’ applies. T</w:t>
      </w:r>
      <w:r>
        <w:t>he Attorney</w:t>
      </w:r>
      <w:r>
        <w:noBreakHyphen/>
      </w:r>
      <w:r w:rsidRPr="00A4205A">
        <w:t>General’s Department recommends that entities take a risk</w:t>
      </w:r>
      <w:r>
        <w:t>-</w:t>
      </w:r>
      <w:r w:rsidRPr="00A4205A">
        <w:t>based approach to determin</w:t>
      </w:r>
      <w:r>
        <w:t>e</w:t>
      </w:r>
      <w:r w:rsidRPr="00A4205A">
        <w:t xml:space="preserve"> the length of leave </w:t>
      </w:r>
      <w:r>
        <w:t>that</w:t>
      </w:r>
      <w:r w:rsidRPr="00A4205A">
        <w:t xml:space="preserve"> constitutes ‘extended leave’</w:t>
      </w:r>
      <w:r w:rsidR="00E05043">
        <w:t xml:space="preserve"> by considering </w:t>
      </w:r>
      <w:r w:rsidR="00E05043" w:rsidRPr="00A4205A">
        <w:t>an entity’s risk profile and any specific risks associated with the position</w:t>
      </w:r>
      <w:r>
        <w:t>. G</w:t>
      </w:r>
      <w:r w:rsidRPr="00A4205A">
        <w:t xml:space="preserve">enerally, a period of </w:t>
      </w:r>
      <w:r>
        <w:t>three</w:t>
      </w:r>
      <w:r w:rsidRPr="00A4205A">
        <w:t xml:space="preserve"> months or longer </w:t>
      </w:r>
      <w:r>
        <w:t>may be</w:t>
      </w:r>
      <w:r w:rsidRPr="00A4205A">
        <w:t xml:space="preserve"> considered as extended leave. </w:t>
      </w:r>
    </w:p>
    <w:p w14:paraId="72E07ACA" w14:textId="2A7C53AD" w:rsidR="006E18FD" w:rsidRPr="00A4205A" w:rsidRDefault="006E18FD" w:rsidP="00FE4ADB">
      <w:pPr>
        <w:pStyle w:val="Listbullet1"/>
      </w:pPr>
      <w:r w:rsidRPr="00A4205A">
        <w:t xml:space="preserve">An example of </w:t>
      </w:r>
      <w:r w:rsidR="00073980">
        <w:t xml:space="preserve">an entity </w:t>
      </w:r>
      <w:r w:rsidR="008B717C">
        <w:t xml:space="preserve">balancing security risks with other </w:t>
      </w:r>
      <w:r w:rsidR="00E05043">
        <w:t xml:space="preserve">desired </w:t>
      </w:r>
      <w:r w:rsidR="008B717C">
        <w:t xml:space="preserve">human </w:t>
      </w:r>
      <w:r w:rsidR="00E05043">
        <w:t>resource</w:t>
      </w:r>
      <w:r w:rsidR="008B717C">
        <w:t xml:space="preserve"> outcomes c</w:t>
      </w:r>
      <w:r w:rsidRPr="00A4205A">
        <w:t xml:space="preserve">ould be </w:t>
      </w:r>
      <w:r w:rsidR="00E05043">
        <w:t xml:space="preserve">where </w:t>
      </w:r>
      <w:r w:rsidR="00073980">
        <w:t>it</w:t>
      </w:r>
      <w:r w:rsidRPr="00A4205A">
        <w:t xml:space="preserve"> </w:t>
      </w:r>
      <w:r w:rsidR="00E05043" w:rsidRPr="00A4205A">
        <w:t>choos</w:t>
      </w:r>
      <w:r w:rsidR="00E05043">
        <w:t>es</w:t>
      </w:r>
      <w:r w:rsidR="00E05043" w:rsidRPr="00A4205A">
        <w:t xml:space="preserve"> </w:t>
      </w:r>
      <w:r w:rsidRPr="00A4205A">
        <w:t>not to apply separation procedures to personnel on maternity or paternity leave</w:t>
      </w:r>
      <w:r>
        <w:t>,</w:t>
      </w:r>
      <w:r w:rsidRPr="00A4205A">
        <w:t xml:space="preserve"> and </w:t>
      </w:r>
      <w:r w:rsidR="007B44B2" w:rsidRPr="00A4205A">
        <w:lastRenderedPageBreak/>
        <w:t>allow</w:t>
      </w:r>
      <w:r w:rsidR="007B44B2">
        <w:t>s</w:t>
      </w:r>
      <w:r w:rsidR="00E05043" w:rsidRPr="00A4205A">
        <w:t xml:space="preserve"> </w:t>
      </w:r>
      <w:r w:rsidRPr="00A4205A">
        <w:t>ongoing access to the entit</w:t>
      </w:r>
      <w:r>
        <w:t>y’</w:t>
      </w:r>
      <w:r w:rsidRPr="00A4205A">
        <w:t xml:space="preserve">s buildings, but suspending access to sensitive resources and administrative accounts for the period of leave. </w:t>
      </w:r>
    </w:p>
    <w:p w14:paraId="28D3836E" w14:textId="5A957307" w:rsidR="006E18FD" w:rsidRPr="00A4205A" w:rsidRDefault="00073980" w:rsidP="00FE4ADB">
      <w:pPr>
        <w:pStyle w:val="Listbullet1"/>
      </w:pPr>
      <w:r>
        <w:t xml:space="preserve">Note, </w:t>
      </w:r>
      <w:r w:rsidRPr="00093BEA">
        <w:t xml:space="preserve">the PSPF policy: </w:t>
      </w:r>
      <w:hyperlink r:id="rId31" w:history="1">
        <w:r w:rsidRPr="00093BEA">
          <w:rPr>
            <w:rStyle w:val="Hyperlink"/>
          </w:rPr>
          <w:t>Eligibility and suitability of personnel</w:t>
        </w:r>
      </w:hyperlink>
      <w:r>
        <w:rPr>
          <w:rStyle w:val="Hyperlink"/>
        </w:rPr>
        <w:t xml:space="preserve"> </w:t>
      </w:r>
      <w:r>
        <w:t xml:space="preserve">states that, where a clearance holder does not maintain their </w:t>
      </w:r>
      <w:r w:rsidRPr="00093BEA">
        <w:t xml:space="preserve">security clearance </w:t>
      </w:r>
      <w:r>
        <w:t>for a period greater than six months due to long term absence from their role, the security clearance is considered</w:t>
      </w:r>
      <w:r w:rsidRPr="00093BEA">
        <w:t xml:space="preserve"> inactive</w:t>
      </w:r>
      <w:r>
        <w:t xml:space="preserve">. </w:t>
      </w:r>
      <w:r w:rsidR="006E18FD" w:rsidRPr="00A4205A">
        <w:t>The Attorney-General’s Department recommends that entities advise the vetting agency to change clearances to inactive for personnel on extended absences</w:t>
      </w:r>
      <w:r w:rsidR="006E18FD">
        <w:t xml:space="preserve"> </w:t>
      </w:r>
      <w:r w:rsidR="006E18FD" w:rsidRPr="00A4205A">
        <w:t>based on their risk assessment. When clearance subjects return to work, the vetting agency can make the clearance active, if requested, after undertaking appropriate vetting updates.</w:t>
      </w:r>
    </w:p>
    <w:p w14:paraId="5565E9F4" w14:textId="384D76EF" w:rsidR="006E18FD" w:rsidRPr="00A4205A" w:rsidRDefault="006E18FD" w:rsidP="00FE4ADB">
      <w:pPr>
        <w:pStyle w:val="Listbullet1"/>
      </w:pPr>
      <w:r w:rsidRPr="00A4205A">
        <w:t xml:space="preserve">The Attorney-General’s Department encourages entities to include </w:t>
      </w:r>
      <w:r w:rsidR="00073980">
        <w:t xml:space="preserve">personnel security </w:t>
      </w:r>
      <w:r w:rsidRPr="00A4205A">
        <w:t xml:space="preserve">guidance </w:t>
      </w:r>
      <w:r w:rsidR="00A96FA3">
        <w:t xml:space="preserve">on the following </w:t>
      </w:r>
      <w:r w:rsidRPr="00A4205A">
        <w:t xml:space="preserve">in their </w:t>
      </w:r>
      <w:r w:rsidR="00073980">
        <w:t xml:space="preserve">human resources or </w:t>
      </w:r>
      <w:r w:rsidRPr="00A4205A">
        <w:t>leave</w:t>
      </w:r>
      <w:r w:rsidR="00073980">
        <w:t>-related</w:t>
      </w:r>
      <w:r w:rsidRPr="00A4205A">
        <w:t xml:space="preserve"> procedures:</w:t>
      </w:r>
    </w:p>
    <w:p w14:paraId="41CD0B0F" w14:textId="13BDBE02" w:rsidR="006E18FD" w:rsidRPr="00A4205A" w:rsidRDefault="006E18FD" w:rsidP="00FE4ADB">
      <w:pPr>
        <w:pStyle w:val="ListBullet2"/>
        <w:numPr>
          <w:ilvl w:val="0"/>
          <w:numId w:val="29"/>
        </w:numPr>
      </w:pPr>
      <w:r>
        <w:t>notifying r</w:t>
      </w:r>
      <w:r w:rsidRPr="00A4205A">
        <w:t xml:space="preserve">elevant security advisors in advance of personnel </w:t>
      </w:r>
      <w:r>
        <w:t>commencing</w:t>
      </w:r>
      <w:r w:rsidRPr="00A4205A">
        <w:t xml:space="preserve"> extended leave</w:t>
      </w:r>
      <w:r w:rsidR="00073980">
        <w:t>,</w:t>
      </w:r>
      <w:r>
        <w:t xml:space="preserve"> as well as completing</w:t>
      </w:r>
      <w:r w:rsidRPr="00A4205A">
        <w:t xml:space="preserve"> risk assessments if required</w:t>
      </w:r>
    </w:p>
    <w:p w14:paraId="722E1AFC" w14:textId="210315D5" w:rsidR="006E18FD" w:rsidRPr="00A4205A" w:rsidRDefault="006E18FD" w:rsidP="00FE4ADB">
      <w:pPr>
        <w:pStyle w:val="ListBullet2"/>
      </w:pPr>
      <w:r w:rsidRPr="00A4205A">
        <w:t xml:space="preserve">considering and managing security issues before extended leave is approved, particularly if </w:t>
      </w:r>
      <w:r>
        <w:t>it is</w:t>
      </w:r>
      <w:r w:rsidRPr="00A4205A">
        <w:t xml:space="preserve"> assessed as likely </w:t>
      </w:r>
      <w:r>
        <w:t xml:space="preserve">that personnel may </w:t>
      </w:r>
      <w:r w:rsidRPr="00A4205A">
        <w:t>decide not to return</w:t>
      </w:r>
      <w:r w:rsidR="00073980">
        <w:t>.</w:t>
      </w:r>
      <w:r>
        <w:t xml:space="preserve"> </w:t>
      </w:r>
      <w:r w:rsidR="00073980">
        <w:t>E</w:t>
      </w:r>
      <w:r w:rsidRPr="00A4205A">
        <w:t xml:space="preserve">ntities are encouraged to resolve any security issues before the leave </w:t>
      </w:r>
      <w:r>
        <w:t>commences</w:t>
      </w:r>
    </w:p>
    <w:p w14:paraId="6DCE1BE5" w14:textId="77777777" w:rsidR="006E18FD" w:rsidRPr="00A4205A" w:rsidRDefault="006E18FD" w:rsidP="00FE4ADB">
      <w:pPr>
        <w:pStyle w:val="ListBullet2"/>
      </w:pPr>
      <w:r w:rsidRPr="00A4205A">
        <w:t xml:space="preserve">reminding </w:t>
      </w:r>
      <w:r>
        <w:t>personnel</w:t>
      </w:r>
      <w:r w:rsidRPr="00A4205A">
        <w:t xml:space="preserve"> on extended leave of their ongoing confidentiality obligations </w:t>
      </w:r>
    </w:p>
    <w:p w14:paraId="1711250B" w14:textId="77777777" w:rsidR="006E18FD" w:rsidRPr="00A4205A" w:rsidRDefault="006E18FD" w:rsidP="00FE4ADB">
      <w:pPr>
        <w:pStyle w:val="ListBullet2"/>
      </w:pPr>
      <w:r w:rsidRPr="00A4205A">
        <w:t>briefing personnel travelling overseas of their responsibilities, including the requirement to report suspicious, unusual or persistent contacts, as well as contact with foreign nationals that becomes ongoing</w:t>
      </w:r>
    </w:p>
    <w:p w14:paraId="07C6CC6C" w14:textId="5D6C26B9" w:rsidR="006E18FD" w:rsidRPr="00A4205A" w:rsidRDefault="006E18FD" w:rsidP="00FE4ADB">
      <w:pPr>
        <w:pStyle w:val="ListBullet2"/>
      </w:pPr>
      <w:r w:rsidRPr="00A4205A">
        <w:t>advising the authorised vetting agency when a security clearance holder is taking extended leave and requesting the clearance status be changed to inactive</w:t>
      </w:r>
    </w:p>
    <w:p w14:paraId="709D1244" w14:textId="77777777" w:rsidR="006E18FD" w:rsidRPr="00A4205A" w:rsidRDefault="006E18FD" w:rsidP="00FE4ADB">
      <w:pPr>
        <w:pStyle w:val="ListBullet2"/>
      </w:pPr>
      <w:r>
        <w:t xml:space="preserve">ensuring </w:t>
      </w:r>
      <w:r w:rsidRPr="00A4205A">
        <w:t>recommencement procedures includ</w:t>
      </w:r>
      <w:r>
        <w:t>e</w:t>
      </w:r>
      <w:r w:rsidRPr="00A4205A">
        <w:t xml:space="preserve"> chang</w:t>
      </w:r>
      <w:r>
        <w:t>ing</w:t>
      </w:r>
      <w:r w:rsidRPr="00A4205A">
        <w:t xml:space="preserve"> the status of the security </w:t>
      </w:r>
      <w:r>
        <w:t>clearance and</w:t>
      </w:r>
      <w:r w:rsidRPr="00A4205A">
        <w:t xml:space="preserve"> noting that the vetting agency may need to undertake vetting updates.</w:t>
      </w:r>
    </w:p>
    <w:p w14:paraId="2CFD787C" w14:textId="77777777" w:rsidR="006E18FD" w:rsidRDefault="006E18FD" w:rsidP="006E18FD">
      <w:pPr>
        <w:pStyle w:val="Heading2"/>
      </w:pPr>
      <w:r>
        <w:t>Find out more</w:t>
      </w:r>
    </w:p>
    <w:p w14:paraId="1A605B9F" w14:textId="6F1B6BCB" w:rsidR="00C166C3" w:rsidRDefault="006E18FD" w:rsidP="00FE4ADB">
      <w:pPr>
        <w:pStyle w:val="Listbullet1"/>
      </w:pPr>
      <w:r w:rsidRPr="00A4205A">
        <w:t>For information regarding separation procedures for contractors</w:t>
      </w:r>
      <w:r>
        <w:t>,</w:t>
      </w:r>
      <w:r w:rsidRPr="00A4205A">
        <w:t xml:space="preserve"> see the</w:t>
      </w:r>
      <w:r>
        <w:t xml:space="preserve"> </w:t>
      </w:r>
      <w:r w:rsidRPr="002C0720">
        <w:t xml:space="preserve">PSPF policy: </w:t>
      </w:r>
      <w:hyperlink r:id="rId32" w:history="1">
        <w:r w:rsidRPr="007535B6">
          <w:rPr>
            <w:rStyle w:val="Hyperlink"/>
          </w:rPr>
          <w:t xml:space="preserve">Security governance for contracted </w:t>
        </w:r>
        <w:r w:rsidR="000F2A34">
          <w:rPr>
            <w:rStyle w:val="Hyperlink"/>
          </w:rPr>
          <w:t xml:space="preserve">goods and </w:t>
        </w:r>
        <w:r w:rsidRPr="007535B6">
          <w:rPr>
            <w:rStyle w:val="Hyperlink"/>
          </w:rPr>
          <w:t>service provider</w:t>
        </w:r>
        <w:r w:rsidR="002C0720" w:rsidRPr="007535B6">
          <w:rPr>
            <w:rStyle w:val="Hyperlink"/>
          </w:rPr>
          <w:t>s</w:t>
        </w:r>
      </w:hyperlink>
      <w:r w:rsidR="004920FE" w:rsidRPr="002C0720">
        <w:t>.</w:t>
      </w:r>
    </w:p>
    <w:p w14:paraId="2FBDDA52" w14:textId="77777777" w:rsidR="008B6CF6" w:rsidRDefault="008B6CF6" w:rsidP="008B6CF6">
      <w:pPr>
        <w:pStyle w:val="Heading3"/>
      </w:pPr>
      <w:r>
        <w:t>Change log</w:t>
      </w:r>
    </w:p>
    <w:p w14:paraId="216D37A9" w14:textId="77777777" w:rsidR="008B6CF6" w:rsidRPr="00116E26" w:rsidRDefault="008B6CF6" w:rsidP="008B6CF6">
      <w:pPr>
        <w:pStyle w:val="Caption"/>
      </w:pPr>
      <w:r w:rsidRPr="00FB5CFE">
        <w:t xml:space="preserve">Table </w:t>
      </w:r>
      <w:r w:rsidR="00FC5A1E">
        <w:rPr>
          <w:noProof/>
        </w:rPr>
        <w:fldChar w:fldCharType="begin"/>
      </w:r>
      <w:r w:rsidR="00FC5A1E">
        <w:rPr>
          <w:noProof/>
        </w:rPr>
        <w:instrText xml:space="preserve"> SEQ Table \* ARABIC </w:instrText>
      </w:r>
      <w:r w:rsidR="00FC5A1E">
        <w:rPr>
          <w:noProof/>
        </w:rPr>
        <w:fldChar w:fldCharType="separate"/>
      </w:r>
      <w:r w:rsidR="00CE0A07">
        <w:rPr>
          <w:noProof/>
        </w:rPr>
        <w:t>3</w:t>
      </w:r>
      <w:r w:rsidR="00FC5A1E">
        <w:rPr>
          <w:noProof/>
        </w:rPr>
        <w:fldChar w:fldCharType="end"/>
      </w:r>
      <w:r>
        <w:t xml:space="preserve"> Amendments in this policy</w:t>
      </w:r>
    </w:p>
    <w:tbl>
      <w:tblPr>
        <w:tblStyle w:val="LightShading-Accent4"/>
        <w:tblW w:w="0" w:type="auto"/>
        <w:jc w:val="center"/>
        <w:tblLook w:val="04A0" w:firstRow="1" w:lastRow="0" w:firstColumn="1" w:lastColumn="0" w:noHBand="0" w:noVBand="1"/>
        <w:tblCaption w:val="Amendments in this policy"/>
        <w:tblDescription w:val="This is the first issue of this policy. v2018.0"/>
      </w:tblPr>
      <w:tblGrid>
        <w:gridCol w:w="1368"/>
        <w:gridCol w:w="1528"/>
        <w:gridCol w:w="1411"/>
        <w:gridCol w:w="6159"/>
      </w:tblGrid>
      <w:tr w:rsidR="008B6CF6" w14:paraId="7D62565E" w14:textId="77777777" w:rsidTr="00D53376">
        <w:trPr>
          <w:cnfStyle w:val="100000000000" w:firstRow="1" w:lastRow="0" w:firstColumn="0" w:lastColumn="0" w:oddVBand="0" w:evenVBand="0" w:oddHBand="0" w:evenHBand="0" w:firstRowFirstColumn="0" w:firstRowLastColumn="0" w:lastRowFirstColumn="0" w:lastRowLastColumn="0"/>
          <w:trHeight w:val="154"/>
          <w:tblHeader/>
          <w:jc w:val="center"/>
        </w:trPr>
        <w:tc>
          <w:tcPr>
            <w:cnfStyle w:val="001000000000" w:firstRow="0" w:lastRow="0" w:firstColumn="1" w:lastColumn="0" w:oddVBand="0" w:evenVBand="0" w:oddHBand="0" w:evenHBand="0" w:firstRowFirstColumn="0" w:firstRowLastColumn="0" w:lastRowFirstColumn="0" w:lastRowLastColumn="0"/>
            <w:tcW w:w="1384" w:type="dxa"/>
          </w:tcPr>
          <w:p w14:paraId="75FD06E3" w14:textId="77777777" w:rsidR="008B6CF6" w:rsidRPr="00C166C3" w:rsidRDefault="008B6CF6" w:rsidP="00D53376">
            <w:pPr>
              <w:rPr>
                <w:rStyle w:val="Strong"/>
                <w:b/>
              </w:rPr>
            </w:pPr>
            <w:r>
              <w:rPr>
                <w:rStyle w:val="Strong"/>
              </w:rPr>
              <w:t>Version</w:t>
            </w:r>
          </w:p>
        </w:tc>
        <w:tc>
          <w:tcPr>
            <w:tcW w:w="1559" w:type="dxa"/>
          </w:tcPr>
          <w:p w14:paraId="06FE3106" w14:textId="77777777" w:rsidR="008B6CF6" w:rsidRPr="00C166C3" w:rsidRDefault="008B6CF6" w:rsidP="00D53376">
            <w:pPr>
              <w:cnfStyle w:val="100000000000" w:firstRow="1" w:lastRow="0" w:firstColumn="0" w:lastColumn="0" w:oddVBand="0" w:evenVBand="0" w:oddHBand="0" w:evenHBand="0" w:firstRowFirstColumn="0" w:firstRowLastColumn="0" w:lastRowFirstColumn="0" w:lastRowLastColumn="0"/>
              <w:rPr>
                <w:rStyle w:val="Strong"/>
                <w:b/>
              </w:rPr>
            </w:pPr>
            <w:r>
              <w:rPr>
                <w:rStyle w:val="Strong"/>
              </w:rPr>
              <w:t>Date</w:t>
            </w:r>
          </w:p>
        </w:tc>
        <w:tc>
          <w:tcPr>
            <w:tcW w:w="1418" w:type="dxa"/>
          </w:tcPr>
          <w:p w14:paraId="60AB5EB6" w14:textId="77777777" w:rsidR="008B6CF6" w:rsidRPr="00C166C3" w:rsidRDefault="008B6CF6" w:rsidP="00D53376">
            <w:pPr>
              <w:cnfStyle w:val="100000000000" w:firstRow="1" w:lastRow="0" w:firstColumn="0" w:lastColumn="0" w:oddVBand="0" w:evenVBand="0" w:oddHBand="0" w:evenHBand="0" w:firstRowFirstColumn="0" w:firstRowLastColumn="0" w:lastRowFirstColumn="0" w:lastRowLastColumn="0"/>
              <w:rPr>
                <w:rStyle w:val="Strong"/>
                <w:b/>
              </w:rPr>
            </w:pPr>
            <w:r>
              <w:rPr>
                <w:rStyle w:val="Strong"/>
              </w:rPr>
              <w:t>Section</w:t>
            </w:r>
          </w:p>
        </w:tc>
        <w:tc>
          <w:tcPr>
            <w:tcW w:w="6321" w:type="dxa"/>
          </w:tcPr>
          <w:p w14:paraId="295D5A6A" w14:textId="77777777" w:rsidR="008B6CF6" w:rsidRPr="00F62A59" w:rsidRDefault="008B6CF6" w:rsidP="00D53376">
            <w:pPr>
              <w:cnfStyle w:val="100000000000" w:firstRow="1" w:lastRow="0" w:firstColumn="0" w:lastColumn="0" w:oddVBand="0" w:evenVBand="0" w:oddHBand="0" w:evenHBand="0" w:firstRowFirstColumn="0" w:firstRowLastColumn="0" w:lastRowFirstColumn="0" w:lastRowLastColumn="0"/>
              <w:rPr>
                <w:rStyle w:val="Strong"/>
                <w:bCs w:val="0"/>
              </w:rPr>
            </w:pPr>
            <w:r>
              <w:rPr>
                <w:rStyle w:val="Strong"/>
              </w:rPr>
              <w:t>Amendment</w:t>
            </w:r>
          </w:p>
        </w:tc>
      </w:tr>
      <w:tr w:rsidR="008B6CF6" w14:paraId="542FD756" w14:textId="77777777" w:rsidTr="00D53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4" w:type="dxa"/>
          </w:tcPr>
          <w:p w14:paraId="40984763" w14:textId="77777777" w:rsidR="008B6CF6" w:rsidRPr="0068552B" w:rsidRDefault="008B6CF6" w:rsidP="00D53376">
            <w:pPr>
              <w:pStyle w:val="Tablebody"/>
              <w:rPr>
                <w:b w:val="0"/>
              </w:rPr>
            </w:pPr>
            <w:r>
              <w:rPr>
                <w:b w:val="0"/>
              </w:rPr>
              <w:t>v2018.0</w:t>
            </w:r>
            <w:r w:rsidRPr="0068552B">
              <w:rPr>
                <w:b w:val="0"/>
              </w:rPr>
              <w:t xml:space="preserve"> </w:t>
            </w:r>
          </w:p>
        </w:tc>
        <w:tc>
          <w:tcPr>
            <w:tcW w:w="1559" w:type="dxa"/>
          </w:tcPr>
          <w:p w14:paraId="2CF788BE" w14:textId="56B658E5" w:rsidR="008B6CF6" w:rsidRPr="0068552B" w:rsidRDefault="005844BF" w:rsidP="00D53376">
            <w:pPr>
              <w:pStyle w:val="Tablebody"/>
              <w:cnfStyle w:val="000000100000" w:firstRow="0" w:lastRow="0" w:firstColumn="0" w:lastColumn="0" w:oddVBand="0" w:evenVBand="0" w:oddHBand="1" w:evenHBand="0" w:firstRowFirstColumn="0" w:firstRowLastColumn="0" w:lastRowFirstColumn="0" w:lastRowLastColumn="0"/>
            </w:pPr>
            <w:r>
              <w:t>Sep 2018</w:t>
            </w:r>
          </w:p>
        </w:tc>
        <w:tc>
          <w:tcPr>
            <w:tcW w:w="1418" w:type="dxa"/>
          </w:tcPr>
          <w:p w14:paraId="2F45AA74" w14:textId="77777777" w:rsidR="008B6CF6" w:rsidRPr="0068552B" w:rsidRDefault="008B6CF6" w:rsidP="00D53376">
            <w:pPr>
              <w:pStyle w:val="Tablebody"/>
              <w:cnfStyle w:val="000000100000" w:firstRow="0" w:lastRow="0" w:firstColumn="0" w:lastColumn="0" w:oddVBand="0" w:evenVBand="0" w:oddHBand="1" w:evenHBand="0" w:firstRowFirstColumn="0" w:firstRowLastColumn="0" w:lastRowFirstColumn="0" w:lastRowLastColumn="0"/>
            </w:pPr>
            <w:r>
              <w:t>Throughout</w:t>
            </w:r>
          </w:p>
        </w:tc>
        <w:tc>
          <w:tcPr>
            <w:tcW w:w="6321" w:type="dxa"/>
          </w:tcPr>
          <w:p w14:paraId="1EA8FE48" w14:textId="77777777" w:rsidR="008B6CF6" w:rsidRPr="0068552B" w:rsidRDefault="008B6CF6" w:rsidP="00D53376">
            <w:pPr>
              <w:pStyle w:val="Tablebody"/>
              <w:cnfStyle w:val="000000100000" w:firstRow="0" w:lastRow="0" w:firstColumn="0" w:lastColumn="0" w:oddVBand="0" w:evenVBand="0" w:oddHBand="1" w:evenHBand="0" w:firstRowFirstColumn="0" w:firstRowLastColumn="0" w:lastRowFirstColumn="0" w:lastRowLastColumn="0"/>
            </w:pPr>
            <w:r>
              <w:t>Not applicable. This is the first issue of this policy</w:t>
            </w:r>
          </w:p>
        </w:tc>
      </w:tr>
      <w:tr w:rsidR="005844BF" w14:paraId="2EEDEFD6" w14:textId="77777777" w:rsidTr="00D53376">
        <w:trPr>
          <w:jc w:val="center"/>
        </w:trPr>
        <w:tc>
          <w:tcPr>
            <w:cnfStyle w:val="001000000000" w:firstRow="0" w:lastRow="0" w:firstColumn="1" w:lastColumn="0" w:oddVBand="0" w:evenVBand="0" w:oddHBand="0" w:evenHBand="0" w:firstRowFirstColumn="0" w:firstRowLastColumn="0" w:lastRowFirstColumn="0" w:lastRowLastColumn="0"/>
            <w:tcW w:w="1384" w:type="dxa"/>
          </w:tcPr>
          <w:p w14:paraId="7A0284B9" w14:textId="5F9B9C6C" w:rsidR="005844BF" w:rsidRDefault="005844BF" w:rsidP="00D53376">
            <w:pPr>
              <w:pStyle w:val="Tablebody"/>
            </w:pPr>
            <w:r>
              <w:t>v2020.1</w:t>
            </w:r>
          </w:p>
        </w:tc>
        <w:tc>
          <w:tcPr>
            <w:tcW w:w="1559" w:type="dxa"/>
          </w:tcPr>
          <w:p w14:paraId="4DAA97C1" w14:textId="2C7D305F" w:rsidR="005844BF" w:rsidRDefault="005844BF" w:rsidP="00D53376">
            <w:pPr>
              <w:pStyle w:val="Tablebody"/>
              <w:cnfStyle w:val="000000000000" w:firstRow="0" w:lastRow="0" w:firstColumn="0" w:lastColumn="0" w:oddVBand="0" w:evenVBand="0" w:oddHBand="0" w:evenHBand="0" w:firstRowFirstColumn="0" w:firstRowLastColumn="0" w:lastRowFirstColumn="0" w:lastRowLastColumn="0"/>
            </w:pPr>
            <w:r>
              <w:t>Mar 2020</w:t>
            </w:r>
          </w:p>
        </w:tc>
        <w:tc>
          <w:tcPr>
            <w:tcW w:w="1418" w:type="dxa"/>
          </w:tcPr>
          <w:p w14:paraId="248CAC58" w14:textId="59B5648F" w:rsidR="005844BF" w:rsidRDefault="005844BF" w:rsidP="00D53376">
            <w:pPr>
              <w:pStyle w:val="Tablebody"/>
              <w:cnfStyle w:val="000000000000" w:firstRow="0" w:lastRow="0" w:firstColumn="0" w:lastColumn="0" w:oddVBand="0" w:evenVBand="0" w:oddHBand="0" w:evenHBand="0" w:firstRowFirstColumn="0" w:firstRowLastColumn="0" w:lastRowFirstColumn="0" w:lastRowLastColumn="0"/>
            </w:pPr>
            <w:r>
              <w:t>Throughout</w:t>
            </w:r>
          </w:p>
        </w:tc>
        <w:tc>
          <w:tcPr>
            <w:tcW w:w="6321" w:type="dxa"/>
          </w:tcPr>
          <w:p w14:paraId="43BC6EA8" w14:textId="1EDF96B2" w:rsidR="005844BF" w:rsidRDefault="005844BF" w:rsidP="00D53376">
            <w:pPr>
              <w:pStyle w:val="Tablebody"/>
              <w:cnfStyle w:val="000000000000" w:firstRow="0" w:lastRow="0" w:firstColumn="0" w:lastColumn="0" w:oddVBand="0" w:evenVBand="0" w:oddHBand="0" w:evenHBand="0" w:firstRowFirstColumn="0" w:firstRowLastColumn="0" w:lastRowFirstColumn="0" w:lastRowLastColumn="0"/>
            </w:pPr>
            <w:r>
              <w:t>Updated hyperlinks; replaced references to GovDex with GovTEAMS</w:t>
            </w:r>
          </w:p>
        </w:tc>
      </w:tr>
      <w:tr w:rsidR="00DA5BBB" w14:paraId="74323098" w14:textId="77777777" w:rsidTr="00D53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4" w:type="dxa"/>
          </w:tcPr>
          <w:p w14:paraId="61A529F5" w14:textId="6CB94FB0" w:rsidR="00DA5BBB" w:rsidRDefault="00DA5BBB" w:rsidP="00D53376">
            <w:pPr>
              <w:pStyle w:val="Tablebody"/>
            </w:pPr>
            <w:r>
              <w:t>V2020.2</w:t>
            </w:r>
          </w:p>
        </w:tc>
        <w:tc>
          <w:tcPr>
            <w:tcW w:w="1559" w:type="dxa"/>
          </w:tcPr>
          <w:p w14:paraId="1847905F" w14:textId="3C9E1D3C" w:rsidR="00DA5BBB" w:rsidRDefault="00DA5BBB" w:rsidP="00D53376">
            <w:pPr>
              <w:pStyle w:val="Tablebody"/>
              <w:cnfStyle w:val="000000100000" w:firstRow="0" w:lastRow="0" w:firstColumn="0" w:lastColumn="0" w:oddVBand="0" w:evenVBand="0" w:oddHBand="1" w:evenHBand="0" w:firstRowFirstColumn="0" w:firstRowLastColumn="0" w:lastRowFirstColumn="0" w:lastRowLastColumn="0"/>
            </w:pPr>
            <w:r>
              <w:t>XX 2020</w:t>
            </w:r>
          </w:p>
        </w:tc>
        <w:tc>
          <w:tcPr>
            <w:tcW w:w="1418" w:type="dxa"/>
          </w:tcPr>
          <w:p w14:paraId="0C7A435D" w14:textId="6C64156A" w:rsidR="00DA5BBB" w:rsidRDefault="00DA5BBB" w:rsidP="00D53376">
            <w:pPr>
              <w:pStyle w:val="Tablebody"/>
              <w:cnfStyle w:val="000000100000" w:firstRow="0" w:lastRow="0" w:firstColumn="0" w:lastColumn="0" w:oddVBand="0" w:evenVBand="0" w:oddHBand="1" w:evenHBand="0" w:firstRowFirstColumn="0" w:firstRowLastColumn="0" w:lastRowFirstColumn="0" w:lastRowLastColumn="0"/>
            </w:pPr>
            <w:r>
              <w:t>Throughout</w:t>
            </w:r>
          </w:p>
        </w:tc>
        <w:tc>
          <w:tcPr>
            <w:tcW w:w="6321" w:type="dxa"/>
          </w:tcPr>
          <w:p w14:paraId="4976F8C3" w14:textId="63897D67" w:rsidR="00DA5BBB" w:rsidRPr="00C826A3" w:rsidRDefault="00C826A3" w:rsidP="00D53376">
            <w:pPr>
              <w:pStyle w:val="Tablebody"/>
              <w:cnfStyle w:val="000000100000" w:firstRow="0" w:lastRow="0" w:firstColumn="0" w:lastColumn="0" w:oddVBand="0" w:evenVBand="0" w:oddHBand="1" w:evenHBand="0" w:firstRowFirstColumn="0" w:firstRowLastColumn="0" w:lastRowFirstColumn="0" w:lastRowLastColumn="0"/>
            </w:pPr>
            <w:r w:rsidRPr="00C826A3">
              <w:rPr>
                <w:iCs/>
              </w:rPr>
              <w:t>Removed reference to Crimes Act 1914 and Criminal Code Act 1995, replaced with Commonwealth Criminal Code.</w:t>
            </w:r>
          </w:p>
        </w:tc>
      </w:tr>
    </w:tbl>
    <w:p w14:paraId="49036D7C" w14:textId="3D7C0310" w:rsidR="008836AE" w:rsidRDefault="008836AE" w:rsidP="00FE4ADB">
      <w:pPr>
        <w:pStyle w:val="Listbullet1"/>
        <w:numPr>
          <w:ilvl w:val="0"/>
          <w:numId w:val="0"/>
        </w:numPr>
      </w:pPr>
    </w:p>
    <w:sectPr w:rsidR="008836AE" w:rsidSect="00DD70BF">
      <w:endnotePr>
        <w:numRestart w:val="eachSect"/>
      </w:endnotePr>
      <w:pgSz w:w="11906" w:h="16838"/>
      <w:pgMar w:top="851" w:right="720" w:bottom="720" w:left="720"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5B692" w14:textId="77777777" w:rsidR="003453EB" w:rsidRDefault="003453EB" w:rsidP="007D070A">
      <w:pPr>
        <w:spacing w:after="0"/>
      </w:pPr>
      <w:r>
        <w:separator/>
      </w:r>
    </w:p>
  </w:endnote>
  <w:endnote w:type="continuationSeparator" w:id="0">
    <w:p w14:paraId="473D1F78" w14:textId="77777777" w:rsidR="003453EB" w:rsidRDefault="003453EB" w:rsidP="007D070A">
      <w:pPr>
        <w:spacing w:after="0"/>
      </w:pPr>
      <w:r>
        <w:continuationSeparator/>
      </w:r>
    </w:p>
  </w:endnote>
  <w:endnote w:id="1">
    <w:p w14:paraId="31B7F1BF" w14:textId="77777777" w:rsidR="00BC3467" w:rsidRDefault="00BC3467" w:rsidP="00D53376">
      <w:pPr>
        <w:pStyle w:val="Figuretext"/>
        <w:jc w:val="left"/>
      </w:pPr>
      <w:r>
        <w:rPr>
          <w:rStyle w:val="EndnoteReference"/>
        </w:rPr>
        <w:endnoteRef/>
      </w:r>
      <w:r>
        <w:t xml:space="preserve"> </w:t>
      </w:r>
      <w:r w:rsidRPr="00866B9A">
        <w:t>Where entities allow the transfer of ow</w:t>
      </w:r>
      <w:r>
        <w:t xml:space="preserve">nership of ICT equipment to </w:t>
      </w:r>
      <w:r w:rsidRPr="00866B9A">
        <w:t xml:space="preserve">separating </w:t>
      </w:r>
      <w:r>
        <w:t>personnel</w:t>
      </w:r>
      <w:r w:rsidRPr="00866B9A">
        <w:t xml:space="preserve">, or where entities allow the use of personal devices for </w:t>
      </w:r>
      <w:r w:rsidRPr="002D3D08">
        <w:t>work purposes, the Attorney-General’s</w:t>
      </w:r>
      <w:r w:rsidRPr="00866B9A">
        <w:t xml:space="preserve"> Department recommends that</w:t>
      </w:r>
      <w:r>
        <w:t>:</w:t>
      </w:r>
    </w:p>
    <w:p w14:paraId="65EFC6BE" w14:textId="77777777" w:rsidR="00BC3467" w:rsidRDefault="00BC3467" w:rsidP="00D53376">
      <w:pPr>
        <w:pStyle w:val="Tablenotes"/>
        <w:numPr>
          <w:ilvl w:val="0"/>
          <w:numId w:val="40"/>
        </w:numPr>
        <w:ind w:left="720"/>
        <w:rPr>
          <w:rFonts w:cstheme="minorHAnsi"/>
        </w:rPr>
      </w:pPr>
      <w:r w:rsidRPr="00D53376">
        <w:rPr>
          <w:rFonts w:cstheme="minorHAnsi"/>
        </w:rPr>
        <w:t>any business related documents are archived in accordance with entity records management procedures</w:t>
      </w:r>
    </w:p>
    <w:p w14:paraId="0D8F7418" w14:textId="77777777" w:rsidR="00BC3467" w:rsidRDefault="00BC3467" w:rsidP="00D53376">
      <w:pPr>
        <w:pStyle w:val="Tablenotes"/>
        <w:numPr>
          <w:ilvl w:val="0"/>
          <w:numId w:val="40"/>
        </w:numPr>
        <w:ind w:left="720"/>
        <w:rPr>
          <w:rFonts w:cstheme="minorHAnsi"/>
        </w:rPr>
      </w:pPr>
      <w:r w:rsidRPr="00D53376">
        <w:rPr>
          <w:rFonts w:cstheme="minorHAnsi"/>
        </w:rPr>
        <w:t>entity information is removed</w:t>
      </w:r>
    </w:p>
    <w:p w14:paraId="4282914F" w14:textId="77777777" w:rsidR="00BC3467" w:rsidRDefault="00BC3467" w:rsidP="00D53376">
      <w:pPr>
        <w:pStyle w:val="Tablenotes"/>
        <w:numPr>
          <w:ilvl w:val="0"/>
          <w:numId w:val="40"/>
        </w:numPr>
        <w:ind w:left="720"/>
        <w:rPr>
          <w:rFonts w:cstheme="minorHAnsi"/>
        </w:rPr>
      </w:pPr>
      <w:r w:rsidRPr="00D53376">
        <w:rPr>
          <w:rFonts w:cstheme="minorHAnsi"/>
        </w:rPr>
        <w:t>all entity software applications are removed</w:t>
      </w:r>
    </w:p>
    <w:p w14:paraId="755E344F" w14:textId="260D6D20" w:rsidR="00BC3467" w:rsidRPr="00D53376" w:rsidRDefault="00BC3467" w:rsidP="00D53376">
      <w:pPr>
        <w:pStyle w:val="Tablenotes"/>
        <w:numPr>
          <w:ilvl w:val="0"/>
          <w:numId w:val="40"/>
        </w:numPr>
        <w:ind w:left="720"/>
        <w:rPr>
          <w:rFonts w:cstheme="minorHAnsi"/>
        </w:rPr>
      </w:pPr>
      <w:r w:rsidRPr="00D53376">
        <w:rPr>
          <w:rFonts w:cstheme="minorHAnsi"/>
        </w:rPr>
        <w:t>if necessary, the entire content of the device’s hard drive is erased.</w:t>
      </w:r>
    </w:p>
  </w:endnote>
  <w:endnote w:id="2">
    <w:p w14:paraId="1705A6B3" w14:textId="29BB7427" w:rsidR="00BC3467" w:rsidRDefault="00BC3467" w:rsidP="009F4781">
      <w:pPr>
        <w:pStyle w:val="Figuretext"/>
        <w:jc w:val="left"/>
      </w:pPr>
      <w:r>
        <w:rPr>
          <w:rStyle w:val="EndnoteReference"/>
        </w:rPr>
        <w:endnoteRef/>
      </w:r>
      <w:r>
        <w:t xml:space="preserve"> F</w:t>
      </w:r>
      <w:r w:rsidRPr="006B6F6D">
        <w:t xml:space="preserve">or </w:t>
      </w:r>
      <w:r>
        <w:t xml:space="preserve">guidance </w:t>
      </w:r>
      <w:r w:rsidRPr="006B6F6D">
        <w:t>o</w:t>
      </w:r>
      <w:r>
        <w:t xml:space="preserve">n informed consent to share information relating to employment screening and security clearance vetting, see the </w:t>
      </w:r>
      <w:r w:rsidRPr="002C0720">
        <w:t>PSPF polic</w:t>
      </w:r>
      <w:r>
        <w:t>y</w:t>
      </w:r>
      <w:r w:rsidRPr="002C0720">
        <w:rPr>
          <w:b/>
        </w:rPr>
        <w:t xml:space="preserve">: </w:t>
      </w:r>
      <w:hyperlink r:id="rId1" w:history="1">
        <w:r w:rsidRPr="007535B6">
          <w:rPr>
            <w:rStyle w:val="Hyperlink"/>
          </w:rPr>
          <w:t>Eligibility and suitability of personnel</w:t>
        </w:r>
      </w:hyperlink>
      <w:r>
        <w:t>. For guidance on informed consent to share information about ongoing suitability, see the PSPF policy:</w:t>
      </w:r>
      <w:r w:rsidRPr="002C0720">
        <w:t xml:space="preserve"> </w:t>
      </w:r>
      <w:hyperlink r:id="rId2" w:history="1">
        <w:r w:rsidRPr="007535B6">
          <w:rPr>
            <w:rStyle w:val="Hyperlink"/>
          </w:rPr>
          <w:t>Ongoing assessment of personnel</w:t>
        </w:r>
      </w:hyperlink>
      <w:r w:rsidRPr="002C0720">
        <w:t>.</w:t>
      </w:r>
    </w:p>
  </w:endnote>
  <w:endnote w:id="3">
    <w:p w14:paraId="28920611" w14:textId="182C4282" w:rsidR="00BC3467" w:rsidRDefault="00BC3467" w:rsidP="00F71EB8">
      <w:pPr>
        <w:pStyle w:val="Figuretext"/>
        <w:jc w:val="left"/>
      </w:pPr>
      <w:r>
        <w:rPr>
          <w:rStyle w:val="EndnoteReference"/>
        </w:rPr>
        <w:endnoteRef/>
      </w:r>
      <w:r>
        <w:t xml:space="preserve"> S</w:t>
      </w:r>
      <w:r w:rsidRPr="007D5F55">
        <w:t xml:space="preserve">ome entities have legal </w:t>
      </w:r>
      <w:r w:rsidRPr="009C7782">
        <w:t>restrictions</w:t>
      </w:r>
      <w:r w:rsidRPr="007D5F55">
        <w:t xml:space="preserve"> on the transfer of </w:t>
      </w:r>
      <w:r>
        <w:t>personal security file</w:t>
      </w:r>
      <w:r w:rsidRPr="007D5F55">
        <w:t xml:space="preserve">s. </w:t>
      </w:r>
      <w:r>
        <w:t xml:space="preserve">For example, </w:t>
      </w:r>
      <w:r w:rsidRPr="007D5F55">
        <w:t xml:space="preserve">the Department of Defence cannot transfer </w:t>
      </w:r>
      <w:r>
        <w:t>the personal security files</w:t>
      </w:r>
      <w:r w:rsidRPr="007D5F55">
        <w:t xml:space="preserve"> of </w:t>
      </w:r>
      <w:r>
        <w:t xml:space="preserve">current and former </w:t>
      </w:r>
      <w:r w:rsidRPr="007D5F55">
        <w:t xml:space="preserve">Regular or Reserve Australian Defence Force personnel and ASIO can only transfer </w:t>
      </w:r>
      <w:r>
        <w:t xml:space="preserve">personal security files </w:t>
      </w:r>
      <w:r w:rsidRPr="007D5F55">
        <w:t>to other AIC entities. ASIO can only provide a statement of clearance to other vetting agencies</w:t>
      </w:r>
      <w:r>
        <w:t>.</w:t>
      </w:r>
      <w:r w:rsidR="00984AE4">
        <w:t xml:space="preserve"> Psychological assessments may only be transferred to another appropriately qualified psychologist and only with the specific consent of the clearance holder.</w:t>
      </w:r>
    </w:p>
  </w:endnote>
  <w:endnote w:id="4">
    <w:p w14:paraId="60FD6E2E" w14:textId="365A1BD2" w:rsidR="00BC3467" w:rsidRDefault="00BC3467" w:rsidP="00F71EB8">
      <w:pPr>
        <w:pStyle w:val="Figuretext"/>
        <w:jc w:val="left"/>
      </w:pPr>
      <w:r>
        <w:rPr>
          <w:rStyle w:val="EndnoteReference"/>
        </w:rPr>
        <w:endnoteRef/>
      </w:r>
      <w:r>
        <w:t xml:space="preserve"> I</w:t>
      </w:r>
      <w:r w:rsidRPr="007D5F55">
        <w:t xml:space="preserve">n some instances it may not be possible to transfer </w:t>
      </w:r>
      <w:r>
        <w:t>personal security files</w:t>
      </w:r>
      <w:r w:rsidRPr="007D5F55">
        <w:t xml:space="preserve"> immediately. This include</w:t>
      </w:r>
      <w:r>
        <w:t>s</w:t>
      </w:r>
      <w:r w:rsidRPr="007D5F55">
        <w:t xml:space="preserve"> where personnel are still employed by the losing entity</w:t>
      </w:r>
      <w:r>
        <w:t xml:space="preserve">, are </w:t>
      </w:r>
      <w:r w:rsidRPr="007D5F55">
        <w:t xml:space="preserve">under investigation for a </w:t>
      </w:r>
      <w:r w:rsidRPr="009C7782">
        <w:t>security</w:t>
      </w:r>
      <w:r w:rsidRPr="007D5F55">
        <w:t xml:space="preserve"> breach or violation, </w:t>
      </w:r>
      <w:r>
        <w:t xml:space="preserve">are </w:t>
      </w:r>
      <w:r w:rsidRPr="007D5F55">
        <w:t xml:space="preserve">being revalidated, or </w:t>
      </w:r>
      <w:r>
        <w:t xml:space="preserve">are </w:t>
      </w:r>
      <w:r w:rsidRPr="007D5F55">
        <w:t>undergoing a review for cause</w:t>
      </w:r>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8DFA7" w14:textId="77777777" w:rsidR="00B02C1C" w:rsidRDefault="00B02C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6757938"/>
      <w:docPartObj>
        <w:docPartGallery w:val="Page Numbers (Bottom of Page)"/>
        <w:docPartUnique/>
      </w:docPartObj>
    </w:sdtPr>
    <w:sdtEndPr>
      <w:rPr>
        <w:noProof/>
        <w:sz w:val="20"/>
        <w:szCs w:val="20"/>
      </w:rPr>
    </w:sdtEndPr>
    <w:sdtContent>
      <w:p w14:paraId="7D2E8D9D" w14:textId="42A0AA9E" w:rsidR="00BC3467" w:rsidRPr="00563082" w:rsidRDefault="003453EB" w:rsidP="007A01AA">
        <w:pPr>
          <w:pStyle w:val="Footer"/>
          <w:tabs>
            <w:tab w:val="clear" w:pos="4513"/>
            <w:tab w:val="clear" w:pos="9026"/>
            <w:tab w:val="center" w:pos="5529"/>
            <w:tab w:val="left" w:pos="8222"/>
            <w:tab w:val="left" w:pos="10065"/>
          </w:tabs>
          <w:jc w:val="both"/>
          <w:rPr>
            <w:noProof/>
            <w:sz w:val="20"/>
            <w:szCs w:val="20"/>
          </w:rPr>
        </w:pPr>
        <w:sdt>
          <w:sdtPr>
            <w:rPr>
              <w:sz w:val="20"/>
              <w:szCs w:val="20"/>
            </w:rPr>
            <w:id w:val="-82685551"/>
            <w:docPartObj>
              <w:docPartGallery w:val="Page Numbers (Bottom of Page)"/>
              <w:docPartUnique/>
            </w:docPartObj>
          </w:sdtPr>
          <w:sdtEndPr>
            <w:rPr>
              <w:noProof/>
            </w:rPr>
          </w:sdtEndPr>
          <w:sdtContent>
            <w:r w:rsidR="005844BF">
              <w:rPr>
                <w:sz w:val="20"/>
                <w:szCs w:val="20"/>
              </w:rPr>
              <w:t>v2020.</w:t>
            </w:r>
            <w:r w:rsidR="00DA5BBB">
              <w:rPr>
                <w:sz w:val="20"/>
                <w:szCs w:val="20"/>
              </w:rPr>
              <w:t>2</w:t>
            </w:r>
            <w:r w:rsidR="00BC3467" w:rsidRPr="006F61B7">
              <w:rPr>
                <w:sz w:val="20"/>
                <w:szCs w:val="20"/>
              </w:rPr>
              <w:tab/>
            </w:r>
            <w:r w:rsidR="00BC3467">
              <w:rPr>
                <w:sz w:val="20"/>
                <w:szCs w:val="20"/>
              </w:rPr>
              <w:fldChar w:fldCharType="begin"/>
            </w:r>
            <w:r w:rsidR="00BC3467">
              <w:rPr>
                <w:sz w:val="20"/>
                <w:szCs w:val="20"/>
              </w:rPr>
              <w:instrText xml:space="preserve"> REF _Ref518466996 \h </w:instrText>
            </w:r>
            <w:r w:rsidR="00BC3467">
              <w:rPr>
                <w:sz w:val="20"/>
                <w:szCs w:val="20"/>
              </w:rPr>
            </w:r>
            <w:r w:rsidR="00BC3467">
              <w:rPr>
                <w:sz w:val="20"/>
                <w:szCs w:val="20"/>
              </w:rPr>
              <w:fldChar w:fldCharType="separate"/>
            </w:r>
            <w:r w:rsidR="00BC3467">
              <w:t>14 Separating personnel</w:t>
            </w:r>
            <w:r w:rsidR="00BC3467">
              <w:rPr>
                <w:sz w:val="20"/>
                <w:szCs w:val="20"/>
              </w:rPr>
              <w:fldChar w:fldCharType="end"/>
            </w:r>
            <w:r w:rsidR="00BC3467" w:rsidRPr="006F61B7">
              <w:rPr>
                <w:noProof/>
                <w:w w:val="100"/>
                <w:sz w:val="20"/>
                <w:szCs w:val="20"/>
                <w:lang w:eastAsia="en-AU"/>
              </w:rPr>
              <mc:AlternateContent>
                <mc:Choice Requires="wps">
                  <w:drawing>
                    <wp:anchor distT="0" distB="0" distL="114300" distR="114300" simplePos="0" relativeHeight="251711488" behindDoc="0" locked="0" layoutInCell="1" allowOverlap="1" wp14:anchorId="743EE066" wp14:editId="2B339DF2">
                      <wp:simplePos x="0" y="0"/>
                      <wp:positionH relativeFrom="column">
                        <wp:posOffset>0</wp:posOffset>
                      </wp:positionH>
                      <wp:positionV relativeFrom="paragraph">
                        <wp:posOffset>-73660</wp:posOffset>
                      </wp:positionV>
                      <wp:extent cx="6648450" cy="47625"/>
                      <wp:effectExtent l="0" t="0" r="0" b="9525"/>
                      <wp:wrapNone/>
                      <wp:docPr id="1" name="Rectangle 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F35667D" id="Rectangle 1" o:spid="_x0000_s1026" style="position:absolute;margin-left:0;margin-top:-5.8pt;width:523.5pt;height:3.75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ucBkw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dLbcWZF&#10;Q0/0QKQJuzGKjS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12512" behindDoc="0" locked="0" layoutInCell="1" allowOverlap="1" wp14:anchorId="763F0E2C" wp14:editId="6C0FB634">
                      <wp:simplePos x="0" y="0"/>
                      <wp:positionH relativeFrom="column">
                        <wp:posOffset>0</wp:posOffset>
                      </wp:positionH>
                      <wp:positionV relativeFrom="paragraph">
                        <wp:posOffset>-73660</wp:posOffset>
                      </wp:positionV>
                      <wp:extent cx="6648450" cy="47625"/>
                      <wp:effectExtent l="0" t="0" r="0" b="9525"/>
                      <wp:wrapNone/>
                      <wp:docPr id="2" name="Rectangle 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4864F1" id="Rectangle 2" o:spid="_x0000_s1026" style="position:absolute;margin-left:0;margin-top:-5.8pt;width:523.5pt;height:3.75pt;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Fa6iv6UAgAAhAUAAA4AAAAAAAAAAAAAAAAALgIAAGRycy9lMm9Eb2MueG1sUEsB&#10;Ai0AFAAGAAgAAAAhAATLDOraAAAACAEAAA8AAAAAAAAAAAAAAAAA7gQAAGRycy9kb3ducmV2Lnht&#10;bFBLBQYAAAAABAAEAPMAAAD1BQ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09440" behindDoc="0" locked="0" layoutInCell="1" allowOverlap="1" wp14:anchorId="31CDCB6C" wp14:editId="3F01C2AE">
                      <wp:simplePos x="0" y="0"/>
                      <wp:positionH relativeFrom="column">
                        <wp:posOffset>0</wp:posOffset>
                      </wp:positionH>
                      <wp:positionV relativeFrom="paragraph">
                        <wp:posOffset>-73660</wp:posOffset>
                      </wp:positionV>
                      <wp:extent cx="6648450" cy="47625"/>
                      <wp:effectExtent l="0" t="0" r="0" b="9525"/>
                      <wp:wrapNone/>
                      <wp:docPr id="3" name="Rectangle 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04DEB1" id="Rectangle 3" o:spid="_x0000_s1026" style="position:absolute;margin-left:0;margin-top:-5.8pt;width:523.5pt;height:3.75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AkGrquUAgAAhAUAAA4AAAAAAAAAAAAAAAAALgIAAGRycy9lMm9Eb2MueG1sUEsB&#10;Ai0AFAAGAAgAAAAhAATLDOraAAAACAEAAA8AAAAAAAAAAAAAAAAA7gQAAGRycy9kb3ducmV2Lnht&#10;bFBLBQYAAAAABAAEAPMAAAD1BQ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10464" behindDoc="0" locked="0" layoutInCell="1" allowOverlap="1" wp14:anchorId="41965BE3" wp14:editId="404FE2AA">
                      <wp:simplePos x="0" y="0"/>
                      <wp:positionH relativeFrom="column">
                        <wp:posOffset>0</wp:posOffset>
                      </wp:positionH>
                      <wp:positionV relativeFrom="paragraph">
                        <wp:posOffset>-73660</wp:posOffset>
                      </wp:positionV>
                      <wp:extent cx="6648450" cy="47625"/>
                      <wp:effectExtent l="0" t="0" r="0" b="9525"/>
                      <wp:wrapNone/>
                      <wp:docPr id="4" name="Rectangle 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4F3652" id="Rectangle 4" o:spid="_x0000_s1026" style="position:absolute;margin-left:0;margin-top:-5.8pt;width:523.5pt;height:3.75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SDblA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RY858yK&#10;hp7ogUgTdmMUyy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4xp7ziZrtE+mONVIzTPtDSWMSqphJUUu+Ay4FG4Ct2GoLUj1XKZzGhcnQi3&#10;9tHJCB5ZjX35tH8W6PrmDdT1d3CcWjF/08OdbfS0sNwG0HVq8Bdee75p1FPj9Gsp7pLXcrJ6WZ6L&#10;3wA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NU1INuUAgAAhAUAAA4AAAAAAAAAAAAAAAAALgIAAGRycy9lMm9Eb2MueG1sUEsB&#10;Ai0AFAAGAAgAAAAhAATLDOraAAAACAEAAA8AAAAAAAAAAAAAAAAA7gQAAGRycy9kb3ducmV2Lnht&#10;bFBLBQYAAAAABAAEAPMAAAD1BQAAAAA=&#10;" fillcolor="#483a70" stroked="f" strokeweight="2pt"/>
                  </w:pict>
                </mc:Fallback>
              </mc:AlternateContent>
            </w:r>
            <w:r w:rsidR="00BC3467" w:rsidRPr="006F61B7">
              <w:rPr>
                <w:sz w:val="20"/>
                <w:szCs w:val="20"/>
              </w:rPr>
              <w:tab/>
            </w:r>
            <w:r w:rsidR="00BC3467">
              <w:rPr>
                <w:sz w:val="20"/>
                <w:szCs w:val="20"/>
              </w:rPr>
              <w:tab/>
            </w:r>
            <w:r w:rsidR="00BC3467">
              <w:rPr>
                <w:sz w:val="20"/>
                <w:szCs w:val="20"/>
              </w:rPr>
              <w:tab/>
            </w:r>
            <w:r w:rsidR="00BC3467" w:rsidRPr="006F61B7">
              <w:rPr>
                <w:sz w:val="20"/>
                <w:szCs w:val="20"/>
              </w:rPr>
              <w:fldChar w:fldCharType="begin"/>
            </w:r>
            <w:r w:rsidR="00BC3467" w:rsidRPr="006F61B7">
              <w:rPr>
                <w:sz w:val="20"/>
                <w:szCs w:val="20"/>
              </w:rPr>
              <w:instrText xml:space="preserve"> PAGE   \* MERGEFORMAT </w:instrText>
            </w:r>
            <w:r w:rsidR="00BC3467" w:rsidRPr="006F61B7">
              <w:rPr>
                <w:sz w:val="20"/>
                <w:szCs w:val="20"/>
              </w:rPr>
              <w:fldChar w:fldCharType="separate"/>
            </w:r>
            <w:r w:rsidR="00B02C1C">
              <w:rPr>
                <w:noProof/>
                <w:sz w:val="20"/>
                <w:szCs w:val="20"/>
              </w:rPr>
              <w:t>2</w:t>
            </w:r>
            <w:r w:rsidR="00BC3467" w:rsidRPr="006F61B7">
              <w:rPr>
                <w:noProof/>
                <w:sz w:val="20"/>
                <w:szCs w:val="20"/>
              </w:rPr>
              <w:fldChar w:fldCharType="end"/>
            </w:r>
          </w:sdtContent>
        </w:sdt>
        <w:r w:rsidR="00BC3467" w:rsidRPr="006F61B7">
          <w:rPr>
            <w:noProof/>
            <w:sz w:val="20"/>
            <w:szCs w:val="20"/>
          </w:rPr>
          <w:br/>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1114897"/>
      <w:docPartObj>
        <w:docPartGallery w:val="Page Numbers (Bottom of Page)"/>
        <w:docPartUnique/>
      </w:docPartObj>
    </w:sdtPr>
    <w:sdtEndPr>
      <w:rPr>
        <w:noProof/>
        <w:sz w:val="20"/>
        <w:szCs w:val="20"/>
      </w:rPr>
    </w:sdtEndPr>
    <w:sdtContent>
      <w:p w14:paraId="64A38735" w14:textId="26339336" w:rsidR="00BC3467" w:rsidRPr="00563082" w:rsidRDefault="003453EB" w:rsidP="007A01AA">
        <w:pPr>
          <w:pStyle w:val="Footer"/>
          <w:tabs>
            <w:tab w:val="clear" w:pos="4513"/>
            <w:tab w:val="clear" w:pos="9026"/>
            <w:tab w:val="center" w:pos="5529"/>
            <w:tab w:val="left" w:pos="8222"/>
            <w:tab w:val="left" w:pos="10065"/>
          </w:tabs>
          <w:jc w:val="both"/>
          <w:rPr>
            <w:noProof/>
            <w:sz w:val="20"/>
            <w:szCs w:val="20"/>
          </w:rPr>
        </w:pPr>
        <w:sdt>
          <w:sdtPr>
            <w:rPr>
              <w:sz w:val="20"/>
              <w:szCs w:val="20"/>
            </w:rPr>
            <w:id w:val="804131436"/>
            <w:docPartObj>
              <w:docPartGallery w:val="Page Numbers (Bottom of Page)"/>
              <w:docPartUnique/>
            </w:docPartObj>
          </w:sdtPr>
          <w:sdtEndPr>
            <w:rPr>
              <w:noProof/>
            </w:rPr>
          </w:sdtEndPr>
          <w:sdtContent>
            <w:r w:rsidR="00BC3467">
              <w:rPr>
                <w:sz w:val="20"/>
                <w:szCs w:val="20"/>
              </w:rPr>
              <w:t>v2018.0</w:t>
            </w:r>
            <w:r w:rsidR="00BC3467" w:rsidRPr="006F61B7">
              <w:rPr>
                <w:sz w:val="20"/>
                <w:szCs w:val="20"/>
              </w:rPr>
              <w:tab/>
            </w:r>
            <w:r w:rsidR="00BC3467">
              <w:rPr>
                <w:sz w:val="20"/>
                <w:szCs w:val="20"/>
              </w:rPr>
              <w:fldChar w:fldCharType="begin"/>
            </w:r>
            <w:r w:rsidR="00BC3467">
              <w:rPr>
                <w:sz w:val="20"/>
                <w:szCs w:val="20"/>
              </w:rPr>
              <w:instrText xml:space="preserve"> REF _Ref518466996 \h </w:instrText>
            </w:r>
            <w:r w:rsidR="00BC3467">
              <w:rPr>
                <w:sz w:val="20"/>
                <w:szCs w:val="20"/>
              </w:rPr>
            </w:r>
            <w:r w:rsidR="00BC3467">
              <w:rPr>
                <w:sz w:val="20"/>
                <w:szCs w:val="20"/>
              </w:rPr>
              <w:fldChar w:fldCharType="separate"/>
            </w:r>
            <w:r w:rsidR="00BC3467">
              <w:t>14 Separating personnel</w:t>
            </w:r>
            <w:r w:rsidR="00BC3467">
              <w:rPr>
                <w:sz w:val="20"/>
                <w:szCs w:val="20"/>
              </w:rPr>
              <w:fldChar w:fldCharType="end"/>
            </w:r>
            <w:r w:rsidR="00BC3467" w:rsidRPr="006F61B7">
              <w:rPr>
                <w:noProof/>
                <w:w w:val="100"/>
                <w:sz w:val="20"/>
                <w:szCs w:val="20"/>
                <w:lang w:eastAsia="en-AU"/>
              </w:rPr>
              <mc:AlternateContent>
                <mc:Choice Requires="wps">
                  <w:drawing>
                    <wp:anchor distT="0" distB="0" distL="114300" distR="114300" simplePos="0" relativeHeight="251706368" behindDoc="0" locked="0" layoutInCell="1" allowOverlap="1" wp14:anchorId="34AE4C4E" wp14:editId="1DB20FA0">
                      <wp:simplePos x="0" y="0"/>
                      <wp:positionH relativeFrom="column">
                        <wp:posOffset>0</wp:posOffset>
                      </wp:positionH>
                      <wp:positionV relativeFrom="paragraph">
                        <wp:posOffset>-73660</wp:posOffset>
                      </wp:positionV>
                      <wp:extent cx="6648450" cy="47625"/>
                      <wp:effectExtent l="0" t="0" r="0" b="9525"/>
                      <wp:wrapNone/>
                      <wp:docPr id="38" name="Rectangle 3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9D7DD7" id="Rectangle 38" o:spid="_x0000_s1026" style="position:absolute;margin-left:0;margin-top:-5.8pt;width:523.5pt;height:3.7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5ulQ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ybx5ulQIAAIYFAAAOAAAAAAAAAAAAAAAAAC4CAABkcnMvZTJvRG9jLnhtbFBL&#10;AQItABQABgAIAAAAIQAEywzq2gAAAAgBAAAPAAAAAAAAAAAAAAAAAO8EAABkcnMvZG93bnJldi54&#10;bWxQSwUGAAAAAAQABADzAAAA9gU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07392" behindDoc="0" locked="0" layoutInCell="1" allowOverlap="1" wp14:anchorId="530E24F2" wp14:editId="60AC3E1D">
                      <wp:simplePos x="0" y="0"/>
                      <wp:positionH relativeFrom="column">
                        <wp:posOffset>0</wp:posOffset>
                      </wp:positionH>
                      <wp:positionV relativeFrom="paragraph">
                        <wp:posOffset>-73660</wp:posOffset>
                      </wp:positionV>
                      <wp:extent cx="6648450" cy="47625"/>
                      <wp:effectExtent l="0" t="0" r="0" b="9525"/>
                      <wp:wrapNone/>
                      <wp:docPr id="39" name="Rectangle 39"/>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8DB4AF" id="Rectangle 39" o:spid="_x0000_s1026" style="position:absolute;margin-left:0;margin-top:-5.8pt;width:523.5pt;height:3.7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CNBn4IlQIAAIYFAAAOAAAAAAAAAAAAAAAAAC4CAABkcnMvZTJvRG9jLnhtbFBL&#10;AQItABQABgAIAAAAIQAEywzq2gAAAAgBAAAPAAAAAAAAAAAAAAAAAO8EAABkcnMvZG93bnJldi54&#10;bWxQSwUGAAAAAAQABADzAAAA9gU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04320" behindDoc="0" locked="0" layoutInCell="1" allowOverlap="1" wp14:anchorId="4AD7D572" wp14:editId="55245A5E">
                      <wp:simplePos x="0" y="0"/>
                      <wp:positionH relativeFrom="column">
                        <wp:posOffset>0</wp:posOffset>
                      </wp:positionH>
                      <wp:positionV relativeFrom="paragraph">
                        <wp:posOffset>-73660</wp:posOffset>
                      </wp:positionV>
                      <wp:extent cx="6648450" cy="47625"/>
                      <wp:effectExtent l="0" t="0" r="0" b="9525"/>
                      <wp:wrapNone/>
                      <wp:docPr id="40" name="Rectangle 40"/>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67FD6A4" id="Rectangle 40" o:spid="_x0000_s1026" style="position:absolute;margin-left:0;margin-top:-5.8pt;width:523.5pt;height:3.7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BcEeMSUAgAAhgUAAA4AAAAAAAAAAAAAAAAALgIAAGRycy9lMm9Eb2MueG1sUEsB&#10;Ai0AFAAGAAgAAAAhAATLDOraAAAACAEAAA8AAAAAAAAAAAAAAAAA7gQAAGRycy9kb3ducmV2Lnht&#10;bFBLBQYAAAAABAAEAPMAAAD1BQ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05344" behindDoc="0" locked="0" layoutInCell="1" allowOverlap="1" wp14:anchorId="6EABADD3" wp14:editId="4B386426">
                      <wp:simplePos x="0" y="0"/>
                      <wp:positionH relativeFrom="column">
                        <wp:posOffset>0</wp:posOffset>
                      </wp:positionH>
                      <wp:positionV relativeFrom="paragraph">
                        <wp:posOffset>-73660</wp:posOffset>
                      </wp:positionV>
                      <wp:extent cx="6648450" cy="47625"/>
                      <wp:effectExtent l="0" t="0" r="0" b="9525"/>
                      <wp:wrapNone/>
                      <wp:docPr id="41" name="Rectangle 4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35FB798" id="Rectangle 41" o:spid="_x0000_s1026" style="position:absolute;margin-left:0;margin-top:-5.8pt;width:523.5pt;height:3.7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Rii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obRiilQIAAIYFAAAOAAAAAAAAAAAAAAAAAC4CAABkcnMvZTJvRG9jLnhtbFBL&#10;AQItABQABgAIAAAAIQAEywzq2gAAAAgBAAAPAAAAAAAAAAAAAAAAAO8EAABkcnMvZG93bnJldi54&#10;bWxQSwUGAAAAAAQABADzAAAA9gUAAAAA&#10;" fillcolor="#483a70" stroked="f" strokeweight="2pt"/>
                  </w:pict>
                </mc:Fallback>
              </mc:AlternateContent>
            </w:r>
            <w:r w:rsidR="00BC3467" w:rsidRPr="006F61B7">
              <w:rPr>
                <w:sz w:val="20"/>
                <w:szCs w:val="20"/>
              </w:rPr>
              <w:tab/>
            </w:r>
            <w:r w:rsidR="00BC3467">
              <w:rPr>
                <w:sz w:val="20"/>
                <w:szCs w:val="20"/>
              </w:rPr>
              <w:tab/>
            </w:r>
            <w:r w:rsidR="00BC3467">
              <w:rPr>
                <w:sz w:val="20"/>
                <w:szCs w:val="20"/>
              </w:rPr>
              <w:tab/>
            </w:r>
            <w:r w:rsidR="00BC3467" w:rsidRPr="006F61B7">
              <w:rPr>
                <w:sz w:val="20"/>
                <w:szCs w:val="20"/>
              </w:rPr>
              <w:fldChar w:fldCharType="begin"/>
            </w:r>
            <w:r w:rsidR="00BC3467" w:rsidRPr="006F61B7">
              <w:rPr>
                <w:sz w:val="20"/>
                <w:szCs w:val="20"/>
              </w:rPr>
              <w:instrText xml:space="preserve"> PAGE   \* MERGEFORMAT </w:instrText>
            </w:r>
            <w:r w:rsidR="00BC3467" w:rsidRPr="006F61B7">
              <w:rPr>
                <w:sz w:val="20"/>
                <w:szCs w:val="20"/>
              </w:rPr>
              <w:fldChar w:fldCharType="separate"/>
            </w:r>
            <w:r w:rsidR="00B02C1C">
              <w:rPr>
                <w:noProof/>
                <w:sz w:val="20"/>
                <w:szCs w:val="20"/>
              </w:rPr>
              <w:t>1</w:t>
            </w:r>
            <w:r w:rsidR="00BC3467" w:rsidRPr="006F61B7">
              <w:rPr>
                <w:noProof/>
                <w:sz w:val="20"/>
                <w:szCs w:val="20"/>
              </w:rPr>
              <w:fldChar w:fldCharType="end"/>
            </w:r>
          </w:sdtContent>
        </w:sdt>
        <w:r w:rsidR="00BC3467" w:rsidRPr="006F61B7">
          <w:rPr>
            <w:noProof/>
            <w:sz w:val="20"/>
            <w:szCs w:val="20"/>
          </w:rPr>
          <w:br/>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8158645"/>
      <w:docPartObj>
        <w:docPartGallery w:val="Page Numbers (Bottom of Page)"/>
        <w:docPartUnique/>
      </w:docPartObj>
    </w:sdtPr>
    <w:sdtEndPr>
      <w:rPr>
        <w:noProof/>
        <w:sz w:val="20"/>
        <w:szCs w:val="20"/>
      </w:rPr>
    </w:sdtEndPr>
    <w:sdtContent>
      <w:p w14:paraId="56B33091" w14:textId="77777777" w:rsidR="00BC3467" w:rsidRPr="00563082" w:rsidRDefault="003453EB" w:rsidP="007A01AA">
        <w:pPr>
          <w:pStyle w:val="Footer"/>
          <w:tabs>
            <w:tab w:val="clear" w:pos="4513"/>
            <w:tab w:val="clear" w:pos="9026"/>
            <w:tab w:val="center" w:pos="5529"/>
            <w:tab w:val="left" w:pos="8222"/>
            <w:tab w:val="left" w:pos="10065"/>
          </w:tabs>
          <w:jc w:val="both"/>
          <w:rPr>
            <w:noProof/>
            <w:sz w:val="20"/>
            <w:szCs w:val="20"/>
          </w:rPr>
        </w:pPr>
        <w:sdt>
          <w:sdtPr>
            <w:rPr>
              <w:sz w:val="20"/>
              <w:szCs w:val="20"/>
            </w:rPr>
            <w:id w:val="-59718602"/>
            <w:docPartObj>
              <w:docPartGallery w:val="Page Numbers (Bottom of Page)"/>
              <w:docPartUnique/>
            </w:docPartObj>
          </w:sdtPr>
          <w:sdtEndPr>
            <w:rPr>
              <w:noProof/>
            </w:rPr>
          </w:sdtEndPr>
          <w:sdtContent>
            <w:r w:rsidR="00BC3467">
              <w:rPr>
                <w:sz w:val="20"/>
                <w:szCs w:val="20"/>
              </w:rPr>
              <w:t>v2018.0</w:t>
            </w:r>
            <w:r w:rsidR="00BC3467" w:rsidRPr="006F61B7">
              <w:rPr>
                <w:sz w:val="20"/>
                <w:szCs w:val="20"/>
              </w:rPr>
              <w:tab/>
            </w:r>
            <w:r w:rsidR="00BC3467">
              <w:rPr>
                <w:sz w:val="20"/>
                <w:szCs w:val="20"/>
              </w:rPr>
              <w:fldChar w:fldCharType="begin"/>
            </w:r>
            <w:r w:rsidR="00BC3467">
              <w:rPr>
                <w:sz w:val="20"/>
                <w:szCs w:val="20"/>
              </w:rPr>
              <w:instrText xml:space="preserve"> REF _Ref518466996 \h </w:instrText>
            </w:r>
            <w:r w:rsidR="00BC3467">
              <w:rPr>
                <w:sz w:val="20"/>
                <w:szCs w:val="20"/>
              </w:rPr>
            </w:r>
            <w:r w:rsidR="00BC3467">
              <w:rPr>
                <w:sz w:val="20"/>
                <w:szCs w:val="20"/>
              </w:rPr>
              <w:fldChar w:fldCharType="separate"/>
            </w:r>
            <w:r w:rsidR="00BC3467">
              <w:t>14 Separating personnel</w:t>
            </w:r>
            <w:r w:rsidR="00BC3467">
              <w:rPr>
                <w:sz w:val="20"/>
                <w:szCs w:val="20"/>
              </w:rPr>
              <w:fldChar w:fldCharType="end"/>
            </w:r>
            <w:r w:rsidR="00BC3467" w:rsidRPr="006F61B7">
              <w:rPr>
                <w:noProof/>
                <w:w w:val="100"/>
                <w:sz w:val="20"/>
                <w:szCs w:val="20"/>
                <w:lang w:eastAsia="en-AU"/>
              </w:rPr>
              <mc:AlternateContent>
                <mc:Choice Requires="wps">
                  <w:drawing>
                    <wp:anchor distT="0" distB="0" distL="114300" distR="114300" simplePos="0" relativeHeight="251716608" behindDoc="0" locked="0" layoutInCell="1" allowOverlap="1" wp14:anchorId="335AFEE5" wp14:editId="44F17753">
                      <wp:simplePos x="0" y="0"/>
                      <wp:positionH relativeFrom="column">
                        <wp:posOffset>0</wp:posOffset>
                      </wp:positionH>
                      <wp:positionV relativeFrom="paragraph">
                        <wp:posOffset>-73660</wp:posOffset>
                      </wp:positionV>
                      <wp:extent cx="6648450" cy="47625"/>
                      <wp:effectExtent l="0" t="0" r="0" b="9525"/>
                      <wp:wrapNone/>
                      <wp:docPr id="10" name="Rectangle 10"/>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75945B8" id="Rectangle 10" o:spid="_x0000_s1026" style="position:absolute;margin-left:0;margin-top:-5.8pt;width:523.5pt;height:3.75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zaxlA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EE3NrGUAgAAhgUAAA4AAAAAAAAAAAAAAAAALgIAAGRycy9lMm9Eb2MueG1sUEsB&#10;Ai0AFAAGAAgAAAAhAATLDOraAAAACAEAAA8AAAAAAAAAAAAAAAAA7gQAAGRycy9kb3ducmV2Lnht&#10;bFBLBQYAAAAABAAEAPMAAAD1BQ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17632" behindDoc="0" locked="0" layoutInCell="1" allowOverlap="1" wp14:anchorId="7E7B86B6" wp14:editId="63EBF2F8">
                      <wp:simplePos x="0" y="0"/>
                      <wp:positionH relativeFrom="column">
                        <wp:posOffset>0</wp:posOffset>
                      </wp:positionH>
                      <wp:positionV relativeFrom="paragraph">
                        <wp:posOffset>-73660</wp:posOffset>
                      </wp:positionV>
                      <wp:extent cx="6648450" cy="47625"/>
                      <wp:effectExtent l="0" t="0" r="0" b="9525"/>
                      <wp:wrapNone/>
                      <wp:docPr id="11" name="Rectangle 1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4658B7" id="Rectangle 11" o:spid="_x0000_s1026" style="position:absolute;margin-left:0;margin-top:-5.8pt;width:523.5pt;height:3.75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bX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XlbXlQIAAIYFAAAOAAAAAAAAAAAAAAAAAC4CAABkcnMvZTJvRG9jLnhtbFBL&#10;AQItABQABgAIAAAAIQAEywzq2gAAAAgBAAAPAAAAAAAAAAAAAAAAAO8EAABkcnMvZG93bnJldi54&#10;bWxQSwUGAAAAAAQABADzAAAA9gU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14560" behindDoc="0" locked="0" layoutInCell="1" allowOverlap="1" wp14:anchorId="6DD501DC" wp14:editId="1FB55919">
                      <wp:simplePos x="0" y="0"/>
                      <wp:positionH relativeFrom="column">
                        <wp:posOffset>0</wp:posOffset>
                      </wp:positionH>
                      <wp:positionV relativeFrom="paragraph">
                        <wp:posOffset>-73660</wp:posOffset>
                      </wp:positionV>
                      <wp:extent cx="6648450" cy="47625"/>
                      <wp:effectExtent l="0" t="0" r="0" b="9525"/>
                      <wp:wrapNone/>
                      <wp:docPr id="13" name="Rectangle 1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996A2B" id="Rectangle 13" o:spid="_x0000_s1026" style="position:absolute;margin-left:0;margin-top:-5.8pt;width:523.5pt;height:3.75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JYblQ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AjJYblQIAAIYFAAAOAAAAAAAAAAAAAAAAAC4CAABkcnMvZTJvRG9jLnhtbFBL&#10;AQItABQABgAIAAAAIQAEywzq2gAAAAgBAAAPAAAAAAAAAAAAAAAAAO8EAABkcnMvZG93bnJldi54&#10;bWxQSwUGAAAAAAQABADzAAAA9gU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15584" behindDoc="0" locked="0" layoutInCell="1" allowOverlap="1" wp14:anchorId="0B27D772" wp14:editId="1280EF35">
                      <wp:simplePos x="0" y="0"/>
                      <wp:positionH relativeFrom="column">
                        <wp:posOffset>0</wp:posOffset>
                      </wp:positionH>
                      <wp:positionV relativeFrom="paragraph">
                        <wp:posOffset>-73660</wp:posOffset>
                      </wp:positionV>
                      <wp:extent cx="6648450" cy="47625"/>
                      <wp:effectExtent l="0" t="0" r="0" b="9525"/>
                      <wp:wrapNone/>
                      <wp:docPr id="14" name="Rectangle 1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DCE616" id="Rectangle 14" o:spid="_x0000_s1026" style="position:absolute;margin-left:0;margin-top:-5.8pt;width:523.5pt;height:3.75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Mbz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8lMbzlQIAAIYFAAAOAAAAAAAAAAAAAAAAAC4CAABkcnMvZTJvRG9jLnhtbFBL&#10;AQItABQABgAIAAAAIQAEywzq2gAAAAgBAAAPAAAAAAAAAAAAAAAAAO8EAABkcnMvZG93bnJldi54&#10;bWxQSwUGAAAAAAQABADzAAAA9gUAAAAA&#10;" fillcolor="#483a70" stroked="f" strokeweight="2pt"/>
                  </w:pict>
                </mc:Fallback>
              </mc:AlternateContent>
            </w:r>
            <w:r w:rsidR="00BC3467" w:rsidRPr="006F61B7">
              <w:rPr>
                <w:sz w:val="20"/>
                <w:szCs w:val="20"/>
              </w:rPr>
              <w:tab/>
            </w:r>
            <w:r w:rsidR="00BC3467">
              <w:rPr>
                <w:sz w:val="20"/>
                <w:szCs w:val="20"/>
              </w:rPr>
              <w:tab/>
            </w:r>
            <w:r w:rsidR="00BC3467">
              <w:rPr>
                <w:sz w:val="20"/>
                <w:szCs w:val="20"/>
              </w:rPr>
              <w:tab/>
            </w:r>
            <w:r w:rsidR="00BC3467" w:rsidRPr="006F61B7">
              <w:rPr>
                <w:sz w:val="20"/>
                <w:szCs w:val="20"/>
              </w:rPr>
              <w:fldChar w:fldCharType="begin"/>
            </w:r>
            <w:r w:rsidR="00BC3467" w:rsidRPr="006F61B7">
              <w:rPr>
                <w:sz w:val="20"/>
                <w:szCs w:val="20"/>
              </w:rPr>
              <w:instrText xml:space="preserve"> PAGE   \* MERGEFORMAT </w:instrText>
            </w:r>
            <w:r w:rsidR="00BC3467" w:rsidRPr="006F61B7">
              <w:rPr>
                <w:sz w:val="20"/>
                <w:szCs w:val="20"/>
              </w:rPr>
              <w:fldChar w:fldCharType="separate"/>
            </w:r>
            <w:r w:rsidR="00BC3467">
              <w:rPr>
                <w:noProof/>
                <w:sz w:val="20"/>
                <w:szCs w:val="20"/>
              </w:rPr>
              <w:t>6</w:t>
            </w:r>
            <w:r w:rsidR="00BC3467" w:rsidRPr="006F61B7">
              <w:rPr>
                <w:noProof/>
                <w:sz w:val="20"/>
                <w:szCs w:val="20"/>
              </w:rPr>
              <w:fldChar w:fldCharType="end"/>
            </w:r>
          </w:sdtContent>
        </w:sdt>
        <w:r w:rsidR="00BC3467" w:rsidRPr="006F61B7">
          <w:rPr>
            <w:noProof/>
            <w:sz w:val="20"/>
            <w:szCs w:val="20"/>
          </w:rPr>
          <w:b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4BC66" w14:textId="77777777" w:rsidR="003453EB" w:rsidRDefault="003453EB" w:rsidP="007D070A">
      <w:pPr>
        <w:spacing w:after="0"/>
      </w:pPr>
      <w:r>
        <w:separator/>
      </w:r>
    </w:p>
  </w:footnote>
  <w:footnote w:type="continuationSeparator" w:id="0">
    <w:p w14:paraId="09ACBDA7" w14:textId="77777777" w:rsidR="003453EB" w:rsidRDefault="003453EB" w:rsidP="007D070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2CB5B" w14:textId="77777777" w:rsidR="00B02C1C" w:rsidRDefault="00B02C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162D6" w14:textId="7C625D3B" w:rsidR="00BC3467" w:rsidRDefault="00BC3467" w:rsidP="00DE000A">
    <w:pPr>
      <w:pStyle w:val="Header"/>
      <w:spacing w:before="240"/>
    </w:pPr>
    <w:r w:rsidRPr="006F61B7">
      <w:rPr>
        <w:sz w:val="20"/>
        <w:szCs w:val="20"/>
      </w:rPr>
      <w:t>Protective Security Policy Framework</w:t>
    </w:r>
    <w:r>
      <w:rPr>
        <w:noProof/>
        <w:w w:val="100"/>
        <w:lang w:eastAsia="en-AU"/>
      </w:rPr>
      <w:t xml:space="preserve"> </w:t>
    </w:r>
    <w:r>
      <w:rPr>
        <w:noProof/>
        <w:w w:val="100"/>
        <w:lang w:eastAsia="en-AU"/>
      </w:rPr>
      <mc:AlternateContent>
        <mc:Choice Requires="wps">
          <w:drawing>
            <wp:anchor distT="0" distB="0" distL="114300" distR="114300" simplePos="0" relativeHeight="251666432" behindDoc="0" locked="0" layoutInCell="1" allowOverlap="1" wp14:anchorId="0C996238" wp14:editId="7359B3D7">
              <wp:simplePos x="0" y="0"/>
              <wp:positionH relativeFrom="column">
                <wp:posOffset>2019300</wp:posOffset>
              </wp:positionH>
              <wp:positionV relativeFrom="paragraph">
                <wp:posOffset>1019175</wp:posOffset>
              </wp:positionV>
              <wp:extent cx="5200650" cy="66675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05BDDC" w14:textId="77777777" w:rsidR="00BC3467" w:rsidRPr="00361D34" w:rsidRDefault="00BC3467" w:rsidP="00361D34">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996238" id="_x0000_t202" coordsize="21600,21600" o:spt="202" path="m,l,21600r21600,l21600,xe">
              <v:stroke joinstyle="miter"/>
              <v:path gradientshapeok="t" o:connecttype="rect"/>
            </v:shapetype>
            <v:shape id="Text Box 12" o:spid="_x0000_s1026" type="#_x0000_t202" style="position:absolute;margin-left:159pt;margin-top:80.25pt;width:409.5pt;height: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" filled="f" stroked="f" strokeweight=".5pt">
              <v:textbox>
                <w:txbxContent>
                  <w:p w14:paraId="5F05BDDC" w14:textId="77777777" w:rsidR="00BC3467" w:rsidRPr="00361D34" w:rsidRDefault="00BC3467" w:rsidP="00361D34">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0739E" w14:textId="77777777" w:rsidR="00BC3467" w:rsidRDefault="00BC3467" w:rsidP="00563082">
    <w:pPr>
      <w:pStyle w:val="Header"/>
    </w:pPr>
    <w:r>
      <w:rPr>
        <w:noProof/>
        <w:w w:val="100"/>
        <w:lang w:eastAsia="en-AU"/>
      </w:rPr>
      <mc:AlternateContent>
        <mc:Choice Requires="wps">
          <w:drawing>
            <wp:anchor distT="0" distB="0" distL="114300" distR="114300" simplePos="0" relativeHeight="251702272" behindDoc="0" locked="0" layoutInCell="1" allowOverlap="1" wp14:anchorId="05E0384A" wp14:editId="05DC11BA">
              <wp:simplePos x="0" y="0"/>
              <wp:positionH relativeFrom="column">
                <wp:posOffset>2019300</wp:posOffset>
              </wp:positionH>
              <wp:positionV relativeFrom="paragraph">
                <wp:posOffset>1019175</wp:posOffset>
              </wp:positionV>
              <wp:extent cx="5200650" cy="66675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24CAB0" w14:textId="77777777" w:rsidR="00BC3467" w:rsidRPr="00361D34" w:rsidRDefault="00BC3467"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E0384A" id="_x0000_t202" coordsize="21600,21600" o:spt="202" path="m,l,21600r21600,l21600,xe">
              <v:stroke joinstyle="miter"/>
              <v:path gradientshapeok="t" o:connecttype="rect"/>
            </v:shapetype>
            <v:shape id="Text Box 36" o:spid="_x0000_s1027" type="#_x0000_t202" style="position:absolute;margin-left:159pt;margin-top:80.25pt;width:409.5pt;height:5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" filled="f" stroked="f" strokeweight=".5pt">
              <v:textbox>
                <w:txbxContent>
                  <w:p w14:paraId="1D24CAB0" w14:textId="77777777" w:rsidR="00BC3467" w:rsidRPr="00361D34" w:rsidRDefault="00BC3467"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701248" behindDoc="1" locked="0" layoutInCell="1" allowOverlap="1" wp14:anchorId="66A0D1CD" wp14:editId="25FAAF77">
          <wp:simplePos x="0" y="0"/>
          <wp:positionH relativeFrom="column">
            <wp:posOffset>0</wp:posOffset>
          </wp:positionH>
          <wp:positionV relativeFrom="paragraph">
            <wp:posOffset>371475</wp:posOffset>
          </wp:positionV>
          <wp:extent cx="6645275" cy="1288415"/>
          <wp:effectExtent l="0" t="0" r="3175" b="6985"/>
          <wp:wrapTight wrapText="bothSides">
            <wp:wrapPolygon edited="0">
              <wp:start x="0" y="0"/>
              <wp:lineTo x="0" y="21398"/>
              <wp:lineTo x="21548" y="21398"/>
              <wp:lineTo x="21548" y="0"/>
              <wp:lineTo x="0" y="0"/>
            </wp:wrapPolygon>
          </wp:wrapTight>
          <wp:docPr id="21" name="Picture 21"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DFDB4" w14:textId="77777777" w:rsidR="00BC3467" w:rsidRDefault="00BC3467" w:rsidP="00563082">
    <w:pPr>
      <w:pStyle w:val="Header"/>
    </w:pPr>
    <w:r>
      <w:rPr>
        <w:noProof/>
        <w:w w:val="100"/>
        <w:lang w:eastAsia="en-AU"/>
      </w:rPr>
      <mc:AlternateContent>
        <mc:Choice Requires="wps">
          <w:drawing>
            <wp:anchor distT="0" distB="0" distL="114300" distR="114300" simplePos="0" relativeHeight="251720704" behindDoc="0" locked="0" layoutInCell="1" allowOverlap="1" wp14:anchorId="678AB64F" wp14:editId="4F80DF52">
              <wp:simplePos x="0" y="0"/>
              <wp:positionH relativeFrom="column">
                <wp:posOffset>2019300</wp:posOffset>
              </wp:positionH>
              <wp:positionV relativeFrom="paragraph">
                <wp:posOffset>1019175</wp:posOffset>
              </wp:positionV>
              <wp:extent cx="5200650" cy="66675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FFC34D" w14:textId="77777777" w:rsidR="00BC3467" w:rsidRPr="00361D34" w:rsidRDefault="00BC3467"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8AB64F" id="_x0000_t202" coordsize="21600,21600" o:spt="202" path="m,l,21600r21600,l21600,xe">
              <v:stroke joinstyle="miter"/>
              <v:path gradientshapeok="t" o:connecttype="rect"/>
            </v:shapetype>
            <v:shape id="Text Box 15" o:spid="_x0000_s1028" type="#_x0000_t202" style="position:absolute;margin-left:159pt;margin-top:80.25pt;width:409.5pt;height:5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" filled="f" stroked="f" strokeweight=".5pt">
              <v:textbox>
                <w:txbxContent>
                  <w:p w14:paraId="58FFC34D" w14:textId="77777777" w:rsidR="00BC3467" w:rsidRPr="00361D34" w:rsidRDefault="00BC3467"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719680" behindDoc="1" locked="0" layoutInCell="1" allowOverlap="1" wp14:anchorId="1E0438D7" wp14:editId="230540BC">
          <wp:simplePos x="0" y="0"/>
          <wp:positionH relativeFrom="column">
            <wp:posOffset>0</wp:posOffset>
          </wp:positionH>
          <wp:positionV relativeFrom="paragraph">
            <wp:posOffset>371475</wp:posOffset>
          </wp:positionV>
          <wp:extent cx="6645275" cy="1288415"/>
          <wp:effectExtent l="0" t="0" r="3175" b="6985"/>
          <wp:wrapTight wrapText="bothSides">
            <wp:wrapPolygon edited="0">
              <wp:start x="0" y="0"/>
              <wp:lineTo x="0" y="21398"/>
              <wp:lineTo x="21548" y="21398"/>
              <wp:lineTo x="21548" y="0"/>
              <wp:lineTo x="0" y="0"/>
            </wp:wrapPolygon>
          </wp:wrapTight>
          <wp:docPr id="16" name="Picture 16"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BD9CC27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70DC2200"/>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F2AA7D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0D4049B"/>
    <w:multiLevelType w:val="hybridMultilevel"/>
    <w:tmpl w:val="DEC6DEB8"/>
    <w:lvl w:ilvl="0" w:tplc="F9142DD0">
      <w:start w:val="1"/>
      <w:numFmt w:val="lowerRoman"/>
      <w:pStyle w:val="Tablebodybullet2"/>
      <w:lvlText w:val="%1."/>
      <w:lvlJc w:val="right"/>
      <w:pPr>
        <w:ind w:left="1440" w:hanging="360"/>
      </w:pPr>
    </w:lvl>
    <w:lvl w:ilvl="1" w:tplc="E840913E">
      <w:start w:val="1"/>
      <w:numFmt w:val="upperLetter"/>
      <w:pStyle w:val="Tablebodybullet3"/>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 w15:restartNumberingAfterBreak="0">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A09A1"/>
    <w:multiLevelType w:val="hybridMultilevel"/>
    <w:tmpl w:val="4DBCBAD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F790E11"/>
    <w:multiLevelType w:val="hybridMultilevel"/>
    <w:tmpl w:val="433EEBFA"/>
    <w:lvl w:ilvl="0" w:tplc="53148620">
      <w:start w:val="1"/>
      <w:numFmt w:val="lowerLetter"/>
      <w:pStyle w:val="intensequotenumbered"/>
      <w:lvlText w:val="%1."/>
      <w:lvlJc w:val="left"/>
      <w:pPr>
        <w:ind w:left="1656" w:hanging="360"/>
      </w:pPr>
    </w:lvl>
    <w:lvl w:ilvl="1" w:tplc="0C090019" w:tentative="1">
      <w:start w:val="1"/>
      <w:numFmt w:val="lowerLetter"/>
      <w:lvlText w:val="%2."/>
      <w:lvlJc w:val="left"/>
      <w:pPr>
        <w:ind w:left="2376" w:hanging="360"/>
      </w:pPr>
    </w:lvl>
    <w:lvl w:ilvl="2" w:tplc="0C09001B" w:tentative="1">
      <w:start w:val="1"/>
      <w:numFmt w:val="lowerRoman"/>
      <w:lvlText w:val="%3."/>
      <w:lvlJc w:val="right"/>
      <w:pPr>
        <w:ind w:left="3096" w:hanging="180"/>
      </w:pPr>
    </w:lvl>
    <w:lvl w:ilvl="3" w:tplc="0C09000F" w:tentative="1">
      <w:start w:val="1"/>
      <w:numFmt w:val="decimal"/>
      <w:lvlText w:val="%4."/>
      <w:lvlJc w:val="left"/>
      <w:pPr>
        <w:ind w:left="3816" w:hanging="360"/>
      </w:pPr>
    </w:lvl>
    <w:lvl w:ilvl="4" w:tplc="0C090019" w:tentative="1">
      <w:start w:val="1"/>
      <w:numFmt w:val="lowerLetter"/>
      <w:lvlText w:val="%5."/>
      <w:lvlJc w:val="left"/>
      <w:pPr>
        <w:ind w:left="4536" w:hanging="360"/>
      </w:pPr>
    </w:lvl>
    <w:lvl w:ilvl="5" w:tplc="0C09001B" w:tentative="1">
      <w:start w:val="1"/>
      <w:numFmt w:val="lowerRoman"/>
      <w:lvlText w:val="%6."/>
      <w:lvlJc w:val="right"/>
      <w:pPr>
        <w:ind w:left="5256" w:hanging="180"/>
      </w:pPr>
    </w:lvl>
    <w:lvl w:ilvl="6" w:tplc="0C09000F" w:tentative="1">
      <w:start w:val="1"/>
      <w:numFmt w:val="decimal"/>
      <w:lvlText w:val="%7."/>
      <w:lvlJc w:val="left"/>
      <w:pPr>
        <w:ind w:left="5976" w:hanging="360"/>
      </w:pPr>
    </w:lvl>
    <w:lvl w:ilvl="7" w:tplc="0C090019" w:tentative="1">
      <w:start w:val="1"/>
      <w:numFmt w:val="lowerLetter"/>
      <w:lvlText w:val="%8."/>
      <w:lvlJc w:val="left"/>
      <w:pPr>
        <w:ind w:left="6696" w:hanging="360"/>
      </w:pPr>
    </w:lvl>
    <w:lvl w:ilvl="8" w:tplc="0C09001B" w:tentative="1">
      <w:start w:val="1"/>
      <w:numFmt w:val="lowerRoman"/>
      <w:lvlText w:val="%9."/>
      <w:lvlJc w:val="right"/>
      <w:pPr>
        <w:ind w:left="7416" w:hanging="180"/>
      </w:pPr>
    </w:lvl>
  </w:abstractNum>
  <w:abstractNum w:abstractNumId="7" w15:restartNumberingAfterBreak="0">
    <w:nsid w:val="2B0D3A6B"/>
    <w:multiLevelType w:val="hybridMultilevel"/>
    <w:tmpl w:val="CE9242B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45E47A96"/>
    <w:multiLevelType w:val="hybridMultilevel"/>
    <w:tmpl w:val="281E8C8A"/>
    <w:lvl w:ilvl="0" w:tplc="03E6D220">
      <w:start w:val="1"/>
      <w:numFmt w:val="lowerRoman"/>
      <w:pStyle w:val="ListBullet3"/>
      <w:lvlText w:val="%1."/>
      <w:lvlJc w:val="righ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9" w15:restartNumberingAfterBreak="0">
    <w:nsid w:val="4B857351"/>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504E7A51"/>
    <w:multiLevelType w:val="hybridMultilevel"/>
    <w:tmpl w:val="4CC48348"/>
    <w:lvl w:ilvl="0" w:tplc="FFE6D80E">
      <w:start w:val="1"/>
      <w:numFmt w:val="lowerLetter"/>
      <w:pStyle w:val="ListBullet2"/>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E077327"/>
    <w:multiLevelType w:val="hybridMultilevel"/>
    <w:tmpl w:val="10D6339A"/>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2" w15:restartNumberingAfterBreak="0">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13" w15:restartNumberingAfterBreak="0">
    <w:nsid w:val="63A15FB9"/>
    <w:multiLevelType w:val="multilevel"/>
    <w:tmpl w:val="63066030"/>
    <w:lvl w:ilvl="0">
      <w:start w:val="1"/>
      <w:numFmt w:val="decimal"/>
      <w:pStyle w:val="Listbullet1"/>
      <w:lvlText w:val="%1."/>
      <w:lvlJc w:val="left"/>
      <w:pPr>
        <w:ind w:left="360" w:hanging="360"/>
      </w:pPr>
      <w:rPr>
        <w:rFonts w:hint="default"/>
        <w:color w:val="5C5C5C"/>
      </w:rPr>
    </w:lvl>
    <w:lvl w:ilvl="1">
      <w:start w:val="1"/>
      <w:numFmt w:val="lowerLetter"/>
      <w:lvlText w:val="%2"/>
      <w:lvlJc w:val="left"/>
      <w:pPr>
        <w:ind w:left="426" w:hanging="360"/>
      </w:pPr>
      <w:rPr>
        <w:rFonts w:hint="default"/>
        <w:color w:val="463A70"/>
      </w:rPr>
    </w:lvl>
    <w:lvl w:ilvl="2">
      <w:start w:val="1"/>
      <w:numFmt w:val="lowerRoman"/>
      <w:lvlText w:val="%3"/>
      <w:lvlJc w:val="left"/>
      <w:pPr>
        <w:ind w:left="1800" w:hanging="360"/>
      </w:pPr>
      <w:rPr>
        <w:rFonts w:hint="default"/>
      </w:rPr>
    </w:lvl>
    <w:lvl w:ilvl="3">
      <w:start w:val="1"/>
      <w:numFmt w:val="upperLetter"/>
      <w:lvlText w:val="%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5A77CC3"/>
    <w:multiLevelType w:val="multilevel"/>
    <w:tmpl w:val="FF42316C"/>
    <w:lvl w:ilvl="0">
      <w:start w:val="1"/>
      <w:numFmt w:val="upperLetter"/>
      <w:pStyle w:val="Heading2"/>
      <w:lvlText w:val="%1."/>
      <w:lvlJc w:val="left"/>
      <w:pPr>
        <w:ind w:left="432" w:hanging="432"/>
      </w:pPr>
    </w:lvl>
    <w:lvl w:ilvl="1">
      <w:start w:val="1"/>
      <w:numFmt w:val="decimal"/>
      <w:pStyle w:val="Heading3"/>
      <w:lvlText w:val="%1.%2"/>
      <w:lvlJc w:val="left"/>
      <w:pPr>
        <w:ind w:left="576" w:hanging="576"/>
      </w:pPr>
    </w:lvl>
    <w:lvl w:ilvl="2">
      <w:start w:val="1"/>
      <w:numFmt w:val="decimal"/>
      <w:pStyle w:val="Heading4"/>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5686220"/>
    <w:multiLevelType w:val="hybridMultilevel"/>
    <w:tmpl w:val="461AA046"/>
    <w:lvl w:ilvl="0" w:tplc="0F348542">
      <w:start w:val="1"/>
      <w:numFmt w:val="lowerLetter"/>
      <w:pStyle w:val="Tablebodybullet1"/>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3"/>
  </w:num>
  <w:num w:numId="2">
    <w:abstractNumId w:val="4"/>
  </w:num>
  <w:num w:numId="3">
    <w:abstractNumId w:val="1"/>
  </w:num>
  <w:num w:numId="4">
    <w:abstractNumId w:val="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3"/>
  </w:num>
  <w:num w:numId="8">
    <w:abstractNumId w:val="15"/>
  </w:num>
  <w:num w:numId="9">
    <w:abstractNumId w:val="3"/>
  </w:num>
  <w:num w:numId="10">
    <w:abstractNumId w:val="11"/>
  </w:num>
  <w:num w:numId="11">
    <w:abstractNumId w:val="9"/>
  </w:num>
  <w:num w:numId="12">
    <w:abstractNumId w:val="6"/>
  </w:num>
  <w:num w:numId="13">
    <w:abstractNumId w:val="10"/>
  </w:num>
  <w:num w:numId="14">
    <w:abstractNumId w:val="8"/>
  </w:num>
  <w:num w:numId="15">
    <w:abstractNumId w:val="12"/>
  </w:num>
  <w:num w:numId="16">
    <w:abstractNumId w:val="10"/>
    <w:lvlOverride w:ilvl="0">
      <w:startOverride w:val="1"/>
    </w:lvlOverride>
  </w:num>
  <w:num w:numId="17">
    <w:abstractNumId w:val="8"/>
    <w:lvlOverride w:ilvl="0">
      <w:startOverride w:val="1"/>
    </w:lvlOverride>
  </w:num>
  <w:num w:numId="18">
    <w:abstractNumId w:val="12"/>
    <w:lvlOverride w:ilvl="0">
      <w:startOverride w:val="1"/>
    </w:lvlOverride>
  </w:num>
  <w:num w:numId="19">
    <w:abstractNumId w:val="15"/>
    <w:lvlOverride w:ilvl="0">
      <w:startOverride w:val="1"/>
    </w:lvlOverride>
  </w:num>
  <w:num w:numId="20">
    <w:abstractNumId w:val="14"/>
  </w:num>
  <w:num w:numId="21">
    <w:abstractNumId w:val="13"/>
  </w:num>
  <w:num w:numId="22">
    <w:abstractNumId w:val="15"/>
    <w:lvlOverride w:ilvl="0">
      <w:startOverride w:val="1"/>
    </w:lvlOverride>
  </w:num>
  <w:num w:numId="23">
    <w:abstractNumId w:val="15"/>
    <w:lvlOverride w:ilvl="0">
      <w:startOverride w:val="1"/>
    </w:lvlOverride>
  </w:num>
  <w:num w:numId="24">
    <w:abstractNumId w:val="15"/>
    <w:lvlOverride w:ilvl="0">
      <w:startOverride w:val="1"/>
    </w:lvlOverride>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2"/>
  </w:num>
  <w:num w:numId="31">
    <w:abstractNumId w:val="13"/>
  </w:num>
  <w:num w:numId="32">
    <w:abstractNumId w:val="3"/>
    <w:lvlOverride w:ilvl="0">
      <w:startOverride w:val="1"/>
    </w:lvlOverride>
  </w:num>
  <w:num w:numId="33">
    <w:abstractNumId w:val="15"/>
    <w:lvlOverride w:ilvl="0">
      <w:startOverride w:val="1"/>
    </w:lvlOverride>
  </w:num>
  <w:num w:numId="34">
    <w:abstractNumId w:val="5"/>
  </w:num>
  <w:num w:numId="35">
    <w:abstractNumId w:val="3"/>
  </w:num>
  <w:num w:numId="36">
    <w:abstractNumId w:val="3"/>
  </w:num>
  <w:num w:numId="37">
    <w:abstractNumId w:val="10"/>
  </w:num>
  <w:num w:numId="38">
    <w:abstractNumId w:val="10"/>
    <w:lvlOverride w:ilvl="0">
      <w:startOverride w:val="1"/>
    </w:lvlOverride>
  </w:num>
  <w:num w:numId="39">
    <w:abstractNumId w:val="10"/>
    <w:lvlOverride w:ilvl="0">
      <w:startOverride w:val="1"/>
    </w:lvlOverride>
  </w:num>
  <w:num w:numId="40">
    <w:abstractNumId w:val="7"/>
  </w:num>
  <w:num w:numId="41">
    <w:abstractNumId w:val="15"/>
  </w:num>
  <w:num w:numId="42">
    <w:abstractNumId w:val="15"/>
  </w:num>
  <w:num w:numId="43">
    <w:abstractNumId w:val="15"/>
  </w:num>
  <w:num w:numId="44">
    <w:abstractNumId w:val="15"/>
  </w:num>
  <w:num w:numId="45">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doNotTrackFormatting/>
  <w:defaultTabStop w:val="720"/>
  <w:characterSpacingControl w:val="doNotCompress"/>
  <w:hdrShapeDefaults>
    <o:shapedefaults v:ext="edit" spidmax="2049"/>
  </w:hdrShapeDefaults>
  <w:footnotePr>
    <w:footnote w:id="-1"/>
    <w:footnote w:id="0"/>
  </w:footnotePr>
  <w:endnotePr>
    <w:pos w:val="sectEnd"/>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70A"/>
    <w:rsid w:val="0001076D"/>
    <w:rsid w:val="000151B8"/>
    <w:rsid w:val="00032AA3"/>
    <w:rsid w:val="0005310C"/>
    <w:rsid w:val="00060A9E"/>
    <w:rsid w:val="000635AA"/>
    <w:rsid w:val="000643E4"/>
    <w:rsid w:val="00066000"/>
    <w:rsid w:val="00073980"/>
    <w:rsid w:val="0008058B"/>
    <w:rsid w:val="00083718"/>
    <w:rsid w:val="00092751"/>
    <w:rsid w:val="00093BEA"/>
    <w:rsid w:val="000A21D2"/>
    <w:rsid w:val="000B0C90"/>
    <w:rsid w:val="000B60A9"/>
    <w:rsid w:val="000C11E4"/>
    <w:rsid w:val="000C2E85"/>
    <w:rsid w:val="000C3629"/>
    <w:rsid w:val="000D0C21"/>
    <w:rsid w:val="000F2A34"/>
    <w:rsid w:val="000F7B5C"/>
    <w:rsid w:val="00103D13"/>
    <w:rsid w:val="00104039"/>
    <w:rsid w:val="00116E26"/>
    <w:rsid w:val="001369BF"/>
    <w:rsid w:val="00143590"/>
    <w:rsid w:val="00151114"/>
    <w:rsid w:val="00172E12"/>
    <w:rsid w:val="0017368F"/>
    <w:rsid w:val="0017788D"/>
    <w:rsid w:val="001A4878"/>
    <w:rsid w:val="001A66C9"/>
    <w:rsid w:val="001E23C3"/>
    <w:rsid w:val="001E5596"/>
    <w:rsid w:val="002002FE"/>
    <w:rsid w:val="00201051"/>
    <w:rsid w:val="00213FBB"/>
    <w:rsid w:val="00227A31"/>
    <w:rsid w:val="00246E9C"/>
    <w:rsid w:val="00276BBD"/>
    <w:rsid w:val="0028047D"/>
    <w:rsid w:val="0028447D"/>
    <w:rsid w:val="002B6075"/>
    <w:rsid w:val="002B74C0"/>
    <w:rsid w:val="002C0720"/>
    <w:rsid w:val="002C1C24"/>
    <w:rsid w:val="002C7370"/>
    <w:rsid w:val="002D0D7F"/>
    <w:rsid w:val="002D42F3"/>
    <w:rsid w:val="002F6FC7"/>
    <w:rsid w:val="00316A97"/>
    <w:rsid w:val="00321AAA"/>
    <w:rsid w:val="003304B5"/>
    <w:rsid w:val="0034100A"/>
    <w:rsid w:val="003453EB"/>
    <w:rsid w:val="003457C7"/>
    <w:rsid w:val="003523D7"/>
    <w:rsid w:val="00361D34"/>
    <w:rsid w:val="0036414D"/>
    <w:rsid w:val="0036466F"/>
    <w:rsid w:val="0036481C"/>
    <w:rsid w:val="003C0736"/>
    <w:rsid w:val="0041417A"/>
    <w:rsid w:val="0044340A"/>
    <w:rsid w:val="00444563"/>
    <w:rsid w:val="00450144"/>
    <w:rsid w:val="004540EF"/>
    <w:rsid w:val="00474298"/>
    <w:rsid w:val="004920FE"/>
    <w:rsid w:val="00494ED2"/>
    <w:rsid w:val="0049666E"/>
    <w:rsid w:val="004A5300"/>
    <w:rsid w:val="004C7518"/>
    <w:rsid w:val="004D0C20"/>
    <w:rsid w:val="004E209B"/>
    <w:rsid w:val="004F3F0F"/>
    <w:rsid w:val="0050752E"/>
    <w:rsid w:val="00524E40"/>
    <w:rsid w:val="0053241E"/>
    <w:rsid w:val="0054710A"/>
    <w:rsid w:val="00555668"/>
    <w:rsid w:val="00563082"/>
    <w:rsid w:val="005679D4"/>
    <w:rsid w:val="00573A20"/>
    <w:rsid w:val="00582AFE"/>
    <w:rsid w:val="00583024"/>
    <w:rsid w:val="005844BF"/>
    <w:rsid w:val="00597315"/>
    <w:rsid w:val="005A1561"/>
    <w:rsid w:val="005A5F4B"/>
    <w:rsid w:val="005B028C"/>
    <w:rsid w:val="005C30EC"/>
    <w:rsid w:val="005D7E7D"/>
    <w:rsid w:val="005E1DF4"/>
    <w:rsid w:val="005F46FF"/>
    <w:rsid w:val="0068552B"/>
    <w:rsid w:val="00693A88"/>
    <w:rsid w:val="006C4952"/>
    <w:rsid w:val="006C6589"/>
    <w:rsid w:val="006E18FD"/>
    <w:rsid w:val="006F53EB"/>
    <w:rsid w:val="006F61B7"/>
    <w:rsid w:val="007423F9"/>
    <w:rsid w:val="007535B6"/>
    <w:rsid w:val="00754749"/>
    <w:rsid w:val="007569F8"/>
    <w:rsid w:val="00792471"/>
    <w:rsid w:val="00794775"/>
    <w:rsid w:val="00797ED0"/>
    <w:rsid w:val="007A01AA"/>
    <w:rsid w:val="007A0D74"/>
    <w:rsid w:val="007B44B2"/>
    <w:rsid w:val="007B450D"/>
    <w:rsid w:val="007D070A"/>
    <w:rsid w:val="007E4AA9"/>
    <w:rsid w:val="008423D0"/>
    <w:rsid w:val="00843CA5"/>
    <w:rsid w:val="008676F4"/>
    <w:rsid w:val="008836AE"/>
    <w:rsid w:val="008A3873"/>
    <w:rsid w:val="008B3F3E"/>
    <w:rsid w:val="008B6CF6"/>
    <w:rsid w:val="008B717C"/>
    <w:rsid w:val="008C3221"/>
    <w:rsid w:val="008E496C"/>
    <w:rsid w:val="00914EA7"/>
    <w:rsid w:val="009152E6"/>
    <w:rsid w:val="0092454D"/>
    <w:rsid w:val="00944990"/>
    <w:rsid w:val="00956AC0"/>
    <w:rsid w:val="00976B3C"/>
    <w:rsid w:val="00983EB7"/>
    <w:rsid w:val="00984AE4"/>
    <w:rsid w:val="00996BEA"/>
    <w:rsid w:val="009A30A6"/>
    <w:rsid w:val="009F394D"/>
    <w:rsid w:val="009F4781"/>
    <w:rsid w:val="00A013AF"/>
    <w:rsid w:val="00A01CB4"/>
    <w:rsid w:val="00A05362"/>
    <w:rsid w:val="00A10798"/>
    <w:rsid w:val="00A24AA5"/>
    <w:rsid w:val="00A32549"/>
    <w:rsid w:val="00A61F95"/>
    <w:rsid w:val="00A742F1"/>
    <w:rsid w:val="00A802B4"/>
    <w:rsid w:val="00A81602"/>
    <w:rsid w:val="00A86FAC"/>
    <w:rsid w:val="00A96FA3"/>
    <w:rsid w:val="00A97CAE"/>
    <w:rsid w:val="00AA2281"/>
    <w:rsid w:val="00AC6AE2"/>
    <w:rsid w:val="00AE35D8"/>
    <w:rsid w:val="00AF0947"/>
    <w:rsid w:val="00B02C1C"/>
    <w:rsid w:val="00B12627"/>
    <w:rsid w:val="00B12C2A"/>
    <w:rsid w:val="00B50A01"/>
    <w:rsid w:val="00B5653A"/>
    <w:rsid w:val="00B57812"/>
    <w:rsid w:val="00B649DD"/>
    <w:rsid w:val="00B80210"/>
    <w:rsid w:val="00B95357"/>
    <w:rsid w:val="00BC1CB2"/>
    <w:rsid w:val="00BC3467"/>
    <w:rsid w:val="00BD0323"/>
    <w:rsid w:val="00C166C3"/>
    <w:rsid w:val="00C5789D"/>
    <w:rsid w:val="00C668E7"/>
    <w:rsid w:val="00C762DB"/>
    <w:rsid w:val="00C826A3"/>
    <w:rsid w:val="00C97447"/>
    <w:rsid w:val="00CA5F84"/>
    <w:rsid w:val="00CB0943"/>
    <w:rsid w:val="00CB24BC"/>
    <w:rsid w:val="00CD27BF"/>
    <w:rsid w:val="00CE0A07"/>
    <w:rsid w:val="00CE1D87"/>
    <w:rsid w:val="00D04058"/>
    <w:rsid w:val="00D06CDC"/>
    <w:rsid w:val="00D24E4D"/>
    <w:rsid w:val="00D413CE"/>
    <w:rsid w:val="00D47E88"/>
    <w:rsid w:val="00D53376"/>
    <w:rsid w:val="00D575DF"/>
    <w:rsid w:val="00D61220"/>
    <w:rsid w:val="00D748D6"/>
    <w:rsid w:val="00D9331D"/>
    <w:rsid w:val="00DA5924"/>
    <w:rsid w:val="00DA5BBB"/>
    <w:rsid w:val="00DB6FE4"/>
    <w:rsid w:val="00DC4297"/>
    <w:rsid w:val="00DD69CE"/>
    <w:rsid w:val="00DD70BF"/>
    <w:rsid w:val="00DE000A"/>
    <w:rsid w:val="00DE0C6A"/>
    <w:rsid w:val="00DE1250"/>
    <w:rsid w:val="00DF416E"/>
    <w:rsid w:val="00E05043"/>
    <w:rsid w:val="00E127AD"/>
    <w:rsid w:val="00E15ACD"/>
    <w:rsid w:val="00E42BBB"/>
    <w:rsid w:val="00E56A7A"/>
    <w:rsid w:val="00E75D3F"/>
    <w:rsid w:val="00E92AA3"/>
    <w:rsid w:val="00EA3508"/>
    <w:rsid w:val="00EE0CF7"/>
    <w:rsid w:val="00EF6676"/>
    <w:rsid w:val="00F552E9"/>
    <w:rsid w:val="00F5763E"/>
    <w:rsid w:val="00F60BF2"/>
    <w:rsid w:val="00F62A59"/>
    <w:rsid w:val="00F70342"/>
    <w:rsid w:val="00F71EB8"/>
    <w:rsid w:val="00F772E1"/>
    <w:rsid w:val="00F81F31"/>
    <w:rsid w:val="00F95F4B"/>
    <w:rsid w:val="00FA41A4"/>
    <w:rsid w:val="00FB5CFE"/>
    <w:rsid w:val="00FC5A1E"/>
    <w:rsid w:val="00FD0827"/>
    <w:rsid w:val="00FD4A3C"/>
    <w:rsid w:val="00FE4ADB"/>
    <w:rsid w:val="00FF0EF0"/>
    <w:rsid w:val="00FF1B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B1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013AF"/>
    <w:pPr>
      <w:spacing w:after="120" w:line="240" w:lineRule="auto"/>
    </w:pPr>
    <w:rPr>
      <w:rFonts w:ascii="Calibri" w:eastAsia="Calibri" w:hAnsi="Calibri" w:cs="Calibri"/>
      <w:w w:val="105"/>
      <w:kern w:val="40"/>
    </w:rPr>
  </w:style>
  <w:style w:type="paragraph" w:styleId="Heading1">
    <w:name w:val="heading 1"/>
    <w:aliases w:val="Policy Name"/>
    <w:basedOn w:val="Normal"/>
    <w:next w:val="Normal"/>
    <w:link w:val="Heading1Char"/>
    <w:uiPriority w:val="9"/>
    <w:qFormat/>
    <w:rsid w:val="00B12627"/>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B12627"/>
    <w:pPr>
      <w:keepNext/>
      <w:numPr>
        <w:numId w:val="6"/>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116E26"/>
    <w:pPr>
      <w:keepNext/>
      <w:numPr>
        <w:ilvl w:val="1"/>
        <w:numId w:val="6"/>
      </w:numPr>
      <w:spacing w:before="240" w:after="60"/>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B12627"/>
    <w:pPr>
      <w:numPr>
        <w:ilvl w:val="2"/>
      </w:numPr>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FD4A3C"/>
    <w:pPr>
      <w:keepNext/>
      <w:keepLines/>
      <w:numPr>
        <w:ilvl w:val="4"/>
        <w:numId w:val="6"/>
      </w:numPr>
      <w:spacing w:before="200" w:after="0"/>
      <w:outlineLvl w:val="4"/>
    </w:pPr>
    <w:rPr>
      <w:rFonts w:asciiTheme="minorHAnsi" w:eastAsiaTheme="majorEastAsia" w:hAnsiTheme="minorHAnsi" w:cstheme="majorBidi"/>
      <w:color w:val="243F60" w:themeColor="accent1" w:themeShade="7F"/>
    </w:rPr>
  </w:style>
  <w:style w:type="paragraph" w:styleId="Heading6">
    <w:name w:val="heading 6"/>
    <w:basedOn w:val="Normal"/>
    <w:next w:val="Normal"/>
    <w:link w:val="Heading6Char"/>
    <w:uiPriority w:val="9"/>
    <w:semiHidden/>
    <w:unhideWhenUsed/>
    <w:rsid w:val="00B12627"/>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2627"/>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2627"/>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2627"/>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070A"/>
    <w:pPr>
      <w:tabs>
        <w:tab w:val="center" w:pos="4513"/>
        <w:tab w:val="right" w:pos="9026"/>
      </w:tabs>
      <w:spacing w:after="0"/>
    </w:pPr>
  </w:style>
  <w:style w:type="character" w:customStyle="1" w:styleId="HeaderChar">
    <w:name w:val="Header Char"/>
    <w:basedOn w:val="DefaultParagraphFont"/>
    <w:link w:val="Header"/>
    <w:uiPriority w:val="99"/>
    <w:rsid w:val="007D070A"/>
  </w:style>
  <w:style w:type="paragraph" w:styleId="Footer">
    <w:name w:val="footer"/>
    <w:basedOn w:val="Normal"/>
    <w:link w:val="FooterChar"/>
    <w:uiPriority w:val="99"/>
    <w:unhideWhenUsed/>
    <w:qFormat/>
    <w:rsid w:val="007D070A"/>
    <w:pPr>
      <w:tabs>
        <w:tab w:val="center" w:pos="4513"/>
        <w:tab w:val="right" w:pos="9026"/>
      </w:tabs>
      <w:spacing w:after="0"/>
    </w:pPr>
  </w:style>
  <w:style w:type="character" w:customStyle="1" w:styleId="FooterChar">
    <w:name w:val="Footer Char"/>
    <w:basedOn w:val="DefaultParagraphFont"/>
    <w:link w:val="Footer"/>
    <w:uiPriority w:val="99"/>
    <w:rsid w:val="007D070A"/>
  </w:style>
  <w:style w:type="character" w:customStyle="1" w:styleId="Heading1Char">
    <w:name w:val="Heading 1 Char"/>
    <w:aliases w:val="Policy Name Char"/>
    <w:basedOn w:val="DefaultParagraphFont"/>
    <w:link w:val="Heading1"/>
    <w:uiPriority w:val="9"/>
    <w:rsid w:val="00B12627"/>
    <w:rPr>
      <w:rFonts w:ascii="Calibri" w:eastAsia="SimSun" w:hAnsi="Calibri" w:cs="Angsana New"/>
      <w:b/>
      <w:bCs/>
      <w:color w:val="404040"/>
      <w:w w:val="105"/>
      <w:kern w:val="32"/>
      <w:sz w:val="52"/>
      <w:szCs w:val="52"/>
    </w:rPr>
  </w:style>
  <w:style w:type="character" w:customStyle="1" w:styleId="Heading2Char">
    <w:name w:val="Heading 2 Char"/>
    <w:aliases w:val="Content Heading 1 Section name Char"/>
    <w:basedOn w:val="DefaultParagraphFont"/>
    <w:link w:val="Heading2"/>
    <w:uiPriority w:val="9"/>
    <w:rsid w:val="00B12627"/>
    <w:rPr>
      <w:rFonts w:ascii="Calibri" w:eastAsia="SimSun" w:hAnsi="Calibri" w:cs="Angsana New"/>
      <w:b/>
      <w:bCs/>
      <w:iCs/>
      <w:color w:val="463A70"/>
      <w:w w:val="105"/>
      <w:kern w:val="40"/>
      <w:sz w:val="40"/>
      <w:szCs w:val="48"/>
    </w:rPr>
  </w:style>
  <w:style w:type="character" w:customStyle="1" w:styleId="Heading3Char">
    <w:name w:val="Heading 3 Char"/>
    <w:aliases w:val="Content Heading 2 Char"/>
    <w:basedOn w:val="DefaultParagraphFont"/>
    <w:link w:val="Heading3"/>
    <w:uiPriority w:val="9"/>
    <w:rsid w:val="00116E26"/>
    <w:rPr>
      <w:rFonts w:ascii="Calibri" w:eastAsia="SimSun" w:hAnsi="Calibri" w:cs="Angsana New"/>
      <w:b/>
      <w:bCs/>
      <w:color w:val="404040"/>
      <w:w w:val="105"/>
      <w:kern w:val="40"/>
      <w:sz w:val="32"/>
      <w:szCs w:val="32"/>
    </w:rPr>
  </w:style>
  <w:style w:type="character" w:customStyle="1" w:styleId="Heading4Char">
    <w:name w:val="Heading 4 Char"/>
    <w:aliases w:val="Content Heading 3 Sub-heading Char"/>
    <w:basedOn w:val="DefaultParagraphFont"/>
    <w:link w:val="Heading4"/>
    <w:uiPriority w:val="9"/>
    <w:rsid w:val="00B12627"/>
    <w:rPr>
      <w:rFonts w:ascii="Calibri" w:eastAsia="SimSun" w:hAnsi="Calibri" w:cs="Angsana New"/>
      <w:b/>
      <w:bCs/>
      <w:color w:val="595959" w:themeColor="text1" w:themeTint="A6"/>
      <w:w w:val="105"/>
      <w:kern w:val="40"/>
      <w:sz w:val="26"/>
      <w:szCs w:val="26"/>
    </w:rPr>
  </w:style>
  <w:style w:type="paragraph" w:styleId="Subtitle">
    <w:name w:val="Subtitle"/>
    <w:basedOn w:val="Title"/>
    <w:next w:val="Normal"/>
    <w:link w:val="SubtitleChar"/>
    <w:uiPriority w:val="11"/>
    <w:rsid w:val="007D070A"/>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D070A"/>
    <w:rPr>
      <w:rFonts w:ascii="Calibri" w:eastAsia="SimSun" w:hAnsi="Calibri" w:cs="Angsana New"/>
      <w:b/>
      <w:bCs/>
      <w:noProof/>
      <w:w w:val="105"/>
      <w:kern w:val="28"/>
      <w:sz w:val="28"/>
      <w:szCs w:val="28"/>
    </w:rPr>
  </w:style>
  <w:style w:type="paragraph" w:customStyle="1" w:styleId="Listbullet1">
    <w:name w:val="List bullet 1"/>
    <w:basedOn w:val="ListBullet2"/>
    <w:autoRedefine/>
    <w:qFormat/>
    <w:rsid w:val="00AF0947"/>
    <w:pPr>
      <w:numPr>
        <w:numId w:val="1"/>
      </w:numPr>
    </w:pPr>
  </w:style>
  <w:style w:type="paragraph" w:styleId="ListBullet2">
    <w:name w:val="List Bullet 2"/>
    <w:basedOn w:val="ListBullet"/>
    <w:autoRedefine/>
    <w:uiPriority w:val="99"/>
    <w:unhideWhenUsed/>
    <w:qFormat/>
    <w:rsid w:val="00FE4ADB"/>
    <w:pPr>
      <w:numPr>
        <w:numId w:val="13"/>
      </w:numPr>
      <w:contextualSpacing w:val="0"/>
    </w:pPr>
  </w:style>
  <w:style w:type="paragraph" w:styleId="ListBullet">
    <w:name w:val="List Bullet"/>
    <w:aliases w:val="List Bullet 1"/>
    <w:basedOn w:val="Normal"/>
    <w:uiPriority w:val="99"/>
    <w:unhideWhenUsed/>
    <w:rsid w:val="007D070A"/>
    <w:pPr>
      <w:contextualSpacing/>
    </w:pPr>
  </w:style>
  <w:style w:type="paragraph" w:styleId="Title">
    <w:name w:val="Title"/>
    <w:basedOn w:val="Normal"/>
    <w:next w:val="Normal"/>
    <w:link w:val="TitleChar"/>
    <w:uiPriority w:val="10"/>
    <w:rsid w:val="007D07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070A"/>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5556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668"/>
    <w:rPr>
      <w:rFonts w:ascii="Tahoma" w:eastAsia="Calibri" w:hAnsi="Tahoma" w:cs="Tahoma"/>
      <w:w w:val="105"/>
      <w:kern w:val="40"/>
      <w:sz w:val="16"/>
      <w:szCs w:val="16"/>
    </w:rPr>
  </w:style>
  <w:style w:type="paragraph" w:customStyle="1" w:styleId="BasicParagraph">
    <w:name w:val="[Basic Paragraph]"/>
    <w:basedOn w:val="Normal"/>
    <w:uiPriority w:val="99"/>
    <w:rsid w:val="00361D34"/>
    <w:pPr>
      <w:autoSpaceDE w:val="0"/>
      <w:autoSpaceDN w:val="0"/>
      <w:adjustRightInd w:val="0"/>
      <w:spacing w:after="0" w:line="288" w:lineRule="auto"/>
      <w:textAlignment w:val="center"/>
    </w:pPr>
    <w:rPr>
      <w:rFonts w:ascii="Times New Roman" w:eastAsiaTheme="minorHAnsi" w:hAnsi="Times New Roman" w:cs="Times New Roman"/>
      <w:color w:val="000000"/>
      <w:w w:val="100"/>
      <w:kern w:val="0"/>
      <w:sz w:val="24"/>
      <w:szCs w:val="24"/>
      <w:lang w:val="en-GB"/>
    </w:rPr>
  </w:style>
  <w:style w:type="table" w:styleId="TableGrid">
    <w:name w:val="Table Grid"/>
    <w:basedOn w:val="TableNormal"/>
    <w:uiPriority w:val="59"/>
    <w:rsid w:val="00A0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01C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1C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A01CB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A01C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494ED2"/>
    <w:pPr>
      <w:numPr>
        <w:numId w:val="2"/>
      </w:numPr>
    </w:pPr>
  </w:style>
  <w:style w:type="paragraph" w:styleId="ListBullet3">
    <w:name w:val="List Bullet 3"/>
    <w:basedOn w:val="Normal"/>
    <w:uiPriority w:val="99"/>
    <w:unhideWhenUsed/>
    <w:qFormat/>
    <w:rsid w:val="00C166C3"/>
    <w:pPr>
      <w:numPr>
        <w:numId w:val="14"/>
      </w:numPr>
    </w:pPr>
  </w:style>
  <w:style w:type="paragraph" w:styleId="ListBullet4">
    <w:name w:val="List Bullet 4"/>
    <w:basedOn w:val="Normal"/>
    <w:uiPriority w:val="99"/>
    <w:unhideWhenUsed/>
    <w:qFormat/>
    <w:rsid w:val="00C166C3"/>
    <w:pPr>
      <w:numPr>
        <w:numId w:val="15"/>
      </w:numPr>
    </w:pPr>
  </w:style>
  <w:style w:type="character" w:customStyle="1" w:styleId="Heading5Char">
    <w:name w:val="Heading 5 Char"/>
    <w:aliases w:val="Content heading 4 Minor heading Char"/>
    <w:basedOn w:val="DefaultParagraphFont"/>
    <w:link w:val="Heading5"/>
    <w:uiPriority w:val="9"/>
    <w:rsid w:val="00FD4A3C"/>
    <w:rPr>
      <w:rFonts w:eastAsiaTheme="majorEastAsia" w:cstheme="majorBidi"/>
      <w:color w:val="243F60" w:themeColor="accent1" w:themeShade="7F"/>
      <w:w w:val="105"/>
      <w:kern w:val="40"/>
    </w:rPr>
  </w:style>
  <w:style w:type="character" w:customStyle="1" w:styleId="Heading6Char">
    <w:name w:val="Heading 6 Char"/>
    <w:basedOn w:val="DefaultParagraphFont"/>
    <w:link w:val="Heading6"/>
    <w:uiPriority w:val="9"/>
    <w:semiHidden/>
    <w:rsid w:val="00B12627"/>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B12627"/>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B12627"/>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B12627"/>
    <w:rPr>
      <w:rFonts w:asciiTheme="majorHAnsi" w:eastAsiaTheme="majorEastAsia" w:hAnsiTheme="majorHAnsi" w:cstheme="majorBidi"/>
      <w:i/>
      <w:iCs/>
      <w:color w:val="404040" w:themeColor="text1" w:themeTint="BF"/>
      <w:w w:val="105"/>
      <w:kern w:val="40"/>
      <w:sz w:val="20"/>
      <w:szCs w:val="20"/>
    </w:rPr>
  </w:style>
  <w:style w:type="paragraph" w:styleId="Quote">
    <w:name w:val="Quote"/>
    <w:basedOn w:val="Listbullet1"/>
    <w:next w:val="Normal"/>
    <w:link w:val="QuoteChar"/>
    <w:uiPriority w:val="29"/>
    <w:rsid w:val="00B12627"/>
    <w:pPr>
      <w:numPr>
        <w:numId w:val="0"/>
      </w:numPr>
      <w:ind w:left="864"/>
    </w:pPr>
    <w:rPr>
      <w:i/>
    </w:rPr>
  </w:style>
  <w:style w:type="character" w:customStyle="1" w:styleId="QuoteChar">
    <w:name w:val="Quote Char"/>
    <w:basedOn w:val="DefaultParagraphFont"/>
    <w:link w:val="Quote"/>
    <w:uiPriority w:val="29"/>
    <w:rsid w:val="00B12627"/>
    <w:rPr>
      <w:rFonts w:ascii="Calibri" w:eastAsia="Calibri" w:hAnsi="Calibri" w:cs="Calibri"/>
      <w:i/>
      <w:w w:val="105"/>
      <w:kern w:val="40"/>
    </w:rPr>
  </w:style>
  <w:style w:type="paragraph" w:styleId="IntenseQuote">
    <w:name w:val="Intense Quote"/>
    <w:basedOn w:val="Normal"/>
    <w:next w:val="Normal"/>
    <w:link w:val="IntenseQuoteChar"/>
    <w:uiPriority w:val="30"/>
    <w:rsid w:val="00DA592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DA5924"/>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C166C3"/>
    <w:pPr>
      <w:keepNext/>
      <w:spacing w:before="120" w:after="0"/>
    </w:pPr>
    <w:rPr>
      <w:b/>
      <w:bCs/>
      <w:color w:val="463A70"/>
      <w:sz w:val="18"/>
      <w:szCs w:val="18"/>
    </w:rPr>
  </w:style>
  <w:style w:type="character" w:styleId="Strong">
    <w:name w:val="Strong"/>
    <w:aliases w:val="Table column-row heading"/>
    <w:uiPriority w:val="22"/>
    <w:qFormat/>
    <w:rsid w:val="00D61220"/>
    <w:rPr>
      <w:b/>
      <w:color w:val="000000" w:themeColor="text1"/>
      <w:sz w:val="20"/>
    </w:rPr>
  </w:style>
  <w:style w:type="paragraph" w:customStyle="1" w:styleId="Tablebody">
    <w:name w:val="Table body"/>
    <w:basedOn w:val="Normal"/>
    <w:qFormat/>
    <w:rsid w:val="00D61220"/>
    <w:pPr>
      <w:spacing w:after="0"/>
    </w:pPr>
    <w:rPr>
      <w:bCs/>
      <w:color w:val="000000" w:themeColor="text1"/>
      <w:sz w:val="20"/>
    </w:rPr>
  </w:style>
  <w:style w:type="paragraph" w:customStyle="1" w:styleId="Tablebodybullet1">
    <w:name w:val="Table body bullet 1"/>
    <w:basedOn w:val="Tablebody"/>
    <w:qFormat/>
    <w:rsid w:val="00A742F1"/>
    <w:pPr>
      <w:numPr>
        <w:numId w:val="8"/>
      </w:numPr>
    </w:pPr>
    <w:rPr>
      <w:bCs w:val="0"/>
    </w:rPr>
  </w:style>
  <w:style w:type="paragraph" w:customStyle="1" w:styleId="Tablebodybullet2">
    <w:name w:val="Table body bullet 2"/>
    <w:basedOn w:val="Tablebodybullet1"/>
    <w:qFormat/>
    <w:rsid w:val="00A742F1"/>
    <w:pPr>
      <w:numPr>
        <w:numId w:val="9"/>
      </w:numPr>
    </w:pPr>
  </w:style>
  <w:style w:type="paragraph" w:customStyle="1" w:styleId="Tablebodybullet3">
    <w:name w:val="Table body bullet 3"/>
    <w:basedOn w:val="Tablebodybullet2"/>
    <w:qFormat/>
    <w:rsid w:val="00A742F1"/>
    <w:pPr>
      <w:numPr>
        <w:ilvl w:val="1"/>
      </w:numPr>
    </w:pPr>
  </w:style>
  <w:style w:type="paragraph" w:styleId="FootnoteText">
    <w:name w:val="footnote text"/>
    <w:basedOn w:val="Normal"/>
    <w:link w:val="FootnoteTextChar"/>
    <w:uiPriority w:val="99"/>
    <w:semiHidden/>
    <w:unhideWhenUsed/>
    <w:rsid w:val="00116E26"/>
    <w:pPr>
      <w:spacing w:after="0"/>
    </w:pPr>
    <w:rPr>
      <w:sz w:val="20"/>
      <w:szCs w:val="20"/>
    </w:rPr>
  </w:style>
  <w:style w:type="character" w:customStyle="1" w:styleId="FootnoteTextChar">
    <w:name w:val="Footnote Text Char"/>
    <w:basedOn w:val="DefaultParagraphFont"/>
    <w:link w:val="FootnoteText"/>
    <w:uiPriority w:val="99"/>
    <w:semiHidden/>
    <w:rsid w:val="00116E26"/>
    <w:rPr>
      <w:rFonts w:ascii="Calibri" w:eastAsia="Calibri" w:hAnsi="Calibri" w:cs="Calibri"/>
      <w:w w:val="105"/>
      <w:kern w:val="40"/>
      <w:sz w:val="20"/>
      <w:szCs w:val="20"/>
    </w:rPr>
  </w:style>
  <w:style w:type="character" w:styleId="FootnoteReference">
    <w:name w:val="footnote reference"/>
    <w:basedOn w:val="DefaultParagraphFont"/>
    <w:uiPriority w:val="99"/>
    <w:semiHidden/>
    <w:unhideWhenUsed/>
    <w:rsid w:val="00116E26"/>
    <w:rPr>
      <w:vertAlign w:val="superscript"/>
    </w:rPr>
  </w:style>
  <w:style w:type="paragraph" w:customStyle="1" w:styleId="Footnote">
    <w:name w:val="Footnote"/>
    <w:basedOn w:val="FootnoteText"/>
    <w:qFormat/>
    <w:rsid w:val="005B028C"/>
    <w:rPr>
      <w:w w:val="100"/>
      <w:kern w:val="0"/>
    </w:rPr>
  </w:style>
  <w:style w:type="paragraph" w:customStyle="1" w:styleId="Basictext">
    <w:name w:val="Basic text"/>
    <w:basedOn w:val="Tablebody"/>
    <w:rsid w:val="00EE0CF7"/>
    <w:rPr>
      <w:vertAlign w:val="superscript"/>
    </w:rPr>
  </w:style>
  <w:style w:type="character" w:styleId="Hyperlink">
    <w:name w:val="Hyperlink"/>
    <w:basedOn w:val="DefaultParagraphFont"/>
    <w:uiPriority w:val="99"/>
    <w:unhideWhenUsed/>
    <w:qFormat/>
    <w:rsid w:val="00EE0CF7"/>
    <w:rPr>
      <w:color w:val="0000FF" w:themeColor="hyperlink"/>
      <w:u w:val="single"/>
    </w:rPr>
  </w:style>
  <w:style w:type="paragraph" w:customStyle="1" w:styleId="requirementcrossreference">
    <w:name w:val="requirement cross reference"/>
    <w:basedOn w:val="Listbullet1"/>
    <w:qFormat/>
    <w:rsid w:val="00FB5CFE"/>
    <w:rPr>
      <w:b/>
    </w:rPr>
  </w:style>
  <w:style w:type="paragraph" w:customStyle="1" w:styleId="Figuretext">
    <w:name w:val="Figure text"/>
    <w:basedOn w:val="Normal"/>
    <w:qFormat/>
    <w:rsid w:val="00E127AD"/>
    <w:pPr>
      <w:spacing w:after="0"/>
      <w:jc w:val="center"/>
    </w:pPr>
    <w:rPr>
      <w:bCs/>
      <w:color w:val="5F497A" w:themeColor="accent4" w:themeShade="BF"/>
      <w:sz w:val="20"/>
      <w:szCs w:val="20"/>
    </w:rPr>
  </w:style>
  <w:style w:type="paragraph" w:customStyle="1" w:styleId="Casestudytitle">
    <w:name w:val="Case study title"/>
    <w:basedOn w:val="Figuretext"/>
    <w:rsid w:val="00E127AD"/>
    <w:pPr>
      <w:keepNext/>
      <w:jc w:val="left"/>
    </w:pPr>
    <w:rPr>
      <w:b/>
    </w:rPr>
  </w:style>
  <w:style w:type="paragraph" w:customStyle="1" w:styleId="Casestudytext">
    <w:name w:val="Case study text"/>
    <w:basedOn w:val="Figuretext"/>
    <w:rsid w:val="00E127AD"/>
    <w:pPr>
      <w:pBdr>
        <w:top w:val="single" w:sz="12" w:space="1" w:color="463A70"/>
        <w:left w:val="single" w:sz="12" w:space="4" w:color="463A70"/>
        <w:bottom w:val="single" w:sz="12" w:space="1" w:color="463A70"/>
        <w:right w:val="single" w:sz="12" w:space="4" w:color="463A70"/>
      </w:pBdr>
      <w:spacing w:after="240"/>
      <w:jc w:val="left"/>
    </w:pPr>
  </w:style>
  <w:style w:type="paragraph" w:styleId="EndnoteText">
    <w:name w:val="endnote text"/>
    <w:basedOn w:val="Normal"/>
    <w:link w:val="EndnoteTextChar"/>
    <w:uiPriority w:val="99"/>
    <w:semiHidden/>
    <w:unhideWhenUsed/>
    <w:rsid w:val="00032AA3"/>
    <w:pPr>
      <w:spacing w:after="0"/>
    </w:pPr>
    <w:rPr>
      <w:sz w:val="20"/>
      <w:szCs w:val="20"/>
    </w:rPr>
  </w:style>
  <w:style w:type="character" w:customStyle="1" w:styleId="EndnoteTextChar">
    <w:name w:val="Endnote Text Char"/>
    <w:basedOn w:val="DefaultParagraphFont"/>
    <w:link w:val="EndnoteText"/>
    <w:uiPriority w:val="99"/>
    <w:semiHidden/>
    <w:rsid w:val="00032AA3"/>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032AA3"/>
    <w:rPr>
      <w:vertAlign w:val="superscript"/>
    </w:rPr>
  </w:style>
  <w:style w:type="paragraph" w:customStyle="1" w:styleId="Tablenotes">
    <w:name w:val="Table notes"/>
    <w:basedOn w:val="EndnoteText"/>
    <w:rsid w:val="00032AA3"/>
    <w:rPr>
      <w:color w:val="463A70"/>
    </w:rPr>
  </w:style>
  <w:style w:type="paragraph" w:customStyle="1" w:styleId="Annexheading">
    <w:name w:val="Annex heading"/>
    <w:basedOn w:val="Heading2"/>
    <w:rsid w:val="006C4952"/>
    <w:pPr>
      <w:numPr>
        <w:numId w:val="0"/>
      </w:numPr>
      <w:ind w:left="432" w:hanging="432"/>
    </w:pPr>
  </w:style>
  <w:style w:type="paragraph" w:customStyle="1" w:styleId="Annextext">
    <w:name w:val="Annex text"/>
    <w:basedOn w:val="Listbullet1"/>
    <w:rsid w:val="006C4952"/>
    <w:pPr>
      <w:numPr>
        <w:numId w:val="0"/>
      </w:numPr>
    </w:pPr>
  </w:style>
  <w:style w:type="paragraph" w:customStyle="1" w:styleId="intensequotenumbered">
    <w:name w:val="intense quote numbered"/>
    <w:basedOn w:val="IntenseQuote"/>
    <w:rsid w:val="00AF0947"/>
    <w:pPr>
      <w:numPr>
        <w:numId w:val="12"/>
      </w:numPr>
    </w:pPr>
  </w:style>
  <w:style w:type="character" w:styleId="CommentReference">
    <w:name w:val="annotation reference"/>
    <w:basedOn w:val="DefaultParagraphFont"/>
    <w:uiPriority w:val="99"/>
    <w:semiHidden/>
    <w:unhideWhenUsed/>
    <w:rsid w:val="006E18FD"/>
    <w:rPr>
      <w:sz w:val="16"/>
      <w:szCs w:val="16"/>
    </w:rPr>
  </w:style>
  <w:style w:type="paragraph" w:styleId="CommentText">
    <w:name w:val="annotation text"/>
    <w:basedOn w:val="Normal"/>
    <w:link w:val="CommentTextChar"/>
    <w:uiPriority w:val="99"/>
    <w:semiHidden/>
    <w:unhideWhenUsed/>
    <w:rsid w:val="006E18FD"/>
    <w:pPr>
      <w:tabs>
        <w:tab w:val="left" w:pos="567"/>
      </w:tabs>
      <w:autoSpaceDE w:val="0"/>
      <w:autoSpaceDN w:val="0"/>
      <w:adjustRightInd w:val="0"/>
      <w:spacing w:before="240" w:after="0"/>
    </w:pPr>
    <w:rPr>
      <w:rFonts w:cs="Times New Roman"/>
      <w:w w:val="100"/>
      <w:kern w:val="0"/>
      <w:sz w:val="20"/>
      <w:szCs w:val="20"/>
    </w:rPr>
  </w:style>
  <w:style w:type="character" w:customStyle="1" w:styleId="CommentTextChar">
    <w:name w:val="Comment Text Char"/>
    <w:basedOn w:val="DefaultParagraphFont"/>
    <w:link w:val="CommentText"/>
    <w:uiPriority w:val="99"/>
    <w:semiHidden/>
    <w:rsid w:val="006E18FD"/>
    <w:rPr>
      <w:rFonts w:ascii="Calibri" w:eastAsia="Calibri" w:hAnsi="Calibri" w:cs="Times New Roman"/>
      <w:sz w:val="20"/>
      <w:szCs w:val="20"/>
    </w:rPr>
  </w:style>
  <w:style w:type="paragraph" w:customStyle="1" w:styleId="Tabletext">
    <w:name w:val="Table text"/>
    <w:basedOn w:val="Normal"/>
    <w:link w:val="TabletextChar"/>
    <w:qFormat/>
    <w:rsid w:val="006E18FD"/>
    <w:pPr>
      <w:spacing w:after="0"/>
    </w:pPr>
    <w:rPr>
      <w:rFonts w:asciiTheme="minorHAnsi" w:eastAsia="Times" w:hAnsiTheme="minorHAnsi" w:cs="Times New Roman"/>
      <w:w w:val="100"/>
      <w:kern w:val="32"/>
      <w:sz w:val="18"/>
      <w:szCs w:val="20"/>
      <w:lang w:eastAsia="en-AU" w:bidi="en-US"/>
    </w:rPr>
  </w:style>
  <w:style w:type="character" w:customStyle="1" w:styleId="TabletextChar">
    <w:name w:val="Table text Char"/>
    <w:link w:val="Tabletext"/>
    <w:rsid w:val="006E18FD"/>
    <w:rPr>
      <w:rFonts w:eastAsia="Times" w:cs="Times New Roman"/>
      <w:kern w:val="32"/>
      <w:sz w:val="18"/>
      <w:szCs w:val="20"/>
      <w:lang w:eastAsia="en-AU" w:bidi="en-US"/>
    </w:rPr>
  </w:style>
  <w:style w:type="paragraph" w:styleId="CommentSubject">
    <w:name w:val="annotation subject"/>
    <w:basedOn w:val="CommentText"/>
    <w:next w:val="CommentText"/>
    <w:link w:val="CommentSubjectChar"/>
    <w:uiPriority w:val="99"/>
    <w:semiHidden/>
    <w:unhideWhenUsed/>
    <w:rsid w:val="00060A9E"/>
    <w:pPr>
      <w:tabs>
        <w:tab w:val="clear" w:pos="567"/>
      </w:tabs>
      <w:autoSpaceDE/>
      <w:autoSpaceDN/>
      <w:adjustRightInd/>
      <w:spacing w:before="0" w:after="120"/>
    </w:pPr>
    <w:rPr>
      <w:rFonts w:cs="Calibri"/>
      <w:b/>
      <w:bCs/>
      <w:w w:val="105"/>
      <w:kern w:val="40"/>
    </w:rPr>
  </w:style>
  <w:style w:type="character" w:customStyle="1" w:styleId="CommentSubjectChar">
    <w:name w:val="Comment Subject Char"/>
    <w:basedOn w:val="CommentTextChar"/>
    <w:link w:val="CommentSubject"/>
    <w:uiPriority w:val="99"/>
    <w:semiHidden/>
    <w:rsid w:val="00060A9E"/>
    <w:rPr>
      <w:rFonts w:ascii="Calibri" w:eastAsia="Calibri" w:hAnsi="Calibri" w:cs="Calibri"/>
      <w:b/>
      <w:bCs/>
      <w:w w:val="105"/>
      <w:kern w:val="40"/>
      <w:sz w:val="20"/>
      <w:szCs w:val="20"/>
    </w:rPr>
  </w:style>
  <w:style w:type="paragraph" w:styleId="Revision">
    <w:name w:val="Revision"/>
    <w:hidden/>
    <w:uiPriority w:val="99"/>
    <w:semiHidden/>
    <w:rsid w:val="00060A9E"/>
    <w:pPr>
      <w:spacing w:after="0" w:line="240" w:lineRule="auto"/>
    </w:pPr>
    <w:rPr>
      <w:rFonts w:ascii="Calibri" w:eastAsia="Calibri" w:hAnsi="Calibri" w:cs="Calibri"/>
      <w:w w:val="105"/>
      <w:kern w:val="40"/>
    </w:rPr>
  </w:style>
  <w:style w:type="character" w:styleId="FollowedHyperlink">
    <w:name w:val="FollowedHyperlink"/>
    <w:basedOn w:val="DefaultParagraphFont"/>
    <w:uiPriority w:val="99"/>
    <w:semiHidden/>
    <w:unhideWhenUsed/>
    <w:rsid w:val="009152E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egislation.gov.au/Latest/C2016C01133" TargetMode="External"/><Relationship Id="rId13" Type="http://schemas.openxmlformats.org/officeDocument/2006/relationships/hyperlink" Target="https://www.legislation.gov.au/Latest/C2016C01133" TargetMode="Externa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hyperlink" Target="https://www.legislation.gov.au/Series/C2004A04868" TargetMode="External"/><Relationship Id="rId12" Type="http://schemas.openxmlformats.org/officeDocument/2006/relationships/hyperlink" Target="https://www.protectivesecurity.gov.au/personnel/ongoing-assessment-of-personnel/Pages/default.aspx" TargetMode="Externa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slation.gov.au/Series/C2004A04868" TargetMode="External"/><Relationship Id="rId20" Type="http://schemas.openxmlformats.org/officeDocument/2006/relationships/footer" Target="footer2.xml"/><Relationship Id="rId29" Type="http://schemas.openxmlformats.org/officeDocument/2006/relationships/hyperlink" Target="https://www.protectivesecurity.gov.au/personnel/eligibility-and-suitability-of-personnel/Pages/default.asp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rotectivesecurity.gov.au/personnel/eligibility-and-suitability-of-personnel/Pages/default.aspx" TargetMode="External"/><Relationship Id="rId24" Type="http://schemas.openxmlformats.org/officeDocument/2006/relationships/hyperlink" Target="https://www.protectivesecurity.gov.au/personnel/eligibility-and-suitability-of-personnel/Pages/default.aspx" TargetMode="External"/><Relationship Id="rId32" Type="http://schemas.openxmlformats.org/officeDocument/2006/relationships/hyperlink" Target="https://www.protectivesecurity.gov.au/governance/security-governance-for-contracted-service-providers/Pages/default.aspx" TargetMode="External"/><Relationship Id="rId5" Type="http://schemas.openxmlformats.org/officeDocument/2006/relationships/footnotes" Target="footnotes.xml"/><Relationship Id="rId15" Type="http://schemas.openxmlformats.org/officeDocument/2006/relationships/hyperlink" Target="https://www.legislation.gov.au/Series/C1914A00012" TargetMode="External"/><Relationship Id="rId23" Type="http://schemas.openxmlformats.org/officeDocument/2006/relationships/hyperlink" Target="https://www.protectivesecurity.gov.au/personnel/eligibility-and-suitability-of-personnel/Pages/default.aspx" TargetMode="External"/><Relationship Id="rId28" Type="http://schemas.openxmlformats.org/officeDocument/2006/relationships/hyperlink" Target="https://www.protectivesecurity.gov.au/personnel/eligibility-and-suitability-of-personnel/Pages/default.aspx" TargetMode="External"/><Relationship Id="rId10" Type="http://schemas.openxmlformats.org/officeDocument/2006/relationships/hyperlink" Target="https://www.protectivesecurity.gov.au/governance/reporting-on-security/Pages/default.aspx" TargetMode="External"/><Relationship Id="rId19" Type="http://schemas.openxmlformats.org/officeDocument/2006/relationships/footer" Target="footer1.xml"/><Relationship Id="rId31" Type="http://schemas.openxmlformats.org/officeDocument/2006/relationships/hyperlink" Target="https://www.protectivesecurity.gov.au/personnel/eligibility-and-suitability-of-personnel/Pages/default.aspx" TargetMode="External"/><Relationship Id="rId4" Type="http://schemas.openxmlformats.org/officeDocument/2006/relationships/webSettings" Target="webSettings.xml"/><Relationship Id="rId9" Type="http://schemas.openxmlformats.org/officeDocument/2006/relationships/hyperlink" Target="https://www.protectivesecurity.gov.au/governance/management-structures-and-responsibilities/Pages/default.aspx" TargetMode="External"/><Relationship Id="rId14" Type="http://schemas.openxmlformats.org/officeDocument/2006/relationships/hyperlink" Target="https://www.govteams.gov.au/" TargetMode="External"/><Relationship Id="rId22" Type="http://schemas.openxmlformats.org/officeDocument/2006/relationships/footer" Target="footer3.xml"/><Relationship Id="rId27" Type="http://schemas.openxmlformats.org/officeDocument/2006/relationships/hyperlink" Target="https://www.oaic.gov.au/individuals/privacy-fact-sheets/general/privacy-fact-sheet-41-commonwealth-spent-convictions-scheme" TargetMode="External"/><Relationship Id="rId30" Type="http://schemas.openxmlformats.org/officeDocument/2006/relationships/hyperlink" Target="https://www.protectivesecurity.gov.au/personnel/ongoing-assessment-of-personnel/Pages/default.aspx" TargetMode="External"/></Relationships>
</file>

<file path=word/_rels/endnotes.xml.rels><?xml version="1.0" encoding="UTF-8" standalone="yes"?>
<Relationships xmlns="http://schemas.openxmlformats.org/package/2006/relationships"><Relationship Id="rId2" Type="http://schemas.openxmlformats.org/officeDocument/2006/relationships/hyperlink" Target="https://www.protectivesecurity.gov.au/personnel/ongoing-assessment-of-personnel/Pages/default.aspx" TargetMode="External"/><Relationship Id="rId1" Type="http://schemas.openxmlformats.org/officeDocument/2006/relationships/hyperlink" Target="https://www.protectivesecurity.gov.au/personnel/eligibility-and-suitability-of-personnel/Pages/default.aspx"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25400">
          <a:solidFill>
            <a:srgbClr val="8064A2"/>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3753</Words>
  <Characters>21397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PERSEC - 14 - Separating personnel</dc:title>
  <dc:creator/>
  <cp:lastModifiedBy/>
  <cp:revision>1</cp:revision>
  <dcterms:created xsi:type="dcterms:W3CDTF">2020-09-14T01:29:00Z</dcterms:created>
  <dcterms:modified xsi:type="dcterms:W3CDTF">2020-09-14T01:30:00Z</dcterms:modified>
</cp:coreProperties>
</file>