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8D8C6" w14:textId="77777777" w:rsidR="00564D32" w:rsidRDefault="00BF004D" w:rsidP="00511472">
      <w:pPr>
        <w:pStyle w:val="Heading5"/>
        <w:sectPr w:rsidR="00564D32" w:rsidSect="00564D32">
          <w:footerReference w:type="default" r:id="rId7"/>
          <w:pgSz w:w="12240" w:h="15840"/>
          <w:pgMar w:top="535" w:right="964" w:bottom="964" w:left="964" w:header="142" w:footer="163" w:gutter="0"/>
          <w:cols w:space="708"/>
          <w:docGrid w:linePitch="360"/>
        </w:sectPr>
      </w:pPr>
      <w:r w:rsidRPr="00025431">
        <w:rPr>
          <w:noProof/>
          <w:lang w:val="en-GB" w:eastAsia="en-GB"/>
        </w:rPr>
        <w:drawing>
          <wp:inline distT="0" distB="0" distL="0" distR="0" wp14:anchorId="6018D8CB" wp14:editId="6018D8CC">
            <wp:extent cx="7011561" cy="1360500"/>
            <wp:effectExtent l="0" t="0" r="0" b="0"/>
            <wp:docPr id="5" name="Picture 5" descr="Australian Government | Attorney-General's Departmen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011561" cy="1360500"/>
                    </a:xfrm>
                    <a:prstGeom prst="rect">
                      <a:avLst/>
                    </a:prstGeom>
                  </pic:spPr>
                </pic:pic>
              </a:graphicData>
            </a:graphic>
          </wp:inline>
        </w:drawing>
      </w:r>
    </w:p>
    <w:p w14:paraId="6018D8C7" w14:textId="77777777" w:rsidR="00BF004D" w:rsidRPr="00025431" w:rsidRDefault="00BF004D" w:rsidP="00564D32"/>
    <w:p w14:paraId="6018D8C8" w14:textId="035F1A18" w:rsidR="006150CB" w:rsidRPr="00025431" w:rsidRDefault="006150CB" w:rsidP="006F4DA3">
      <w:pPr>
        <w:spacing w:before="240"/>
        <w:jc w:val="right"/>
      </w:pPr>
    </w:p>
    <w:p w14:paraId="6018D8C9" w14:textId="2F788A32" w:rsidR="001208A8" w:rsidRPr="00025431" w:rsidRDefault="00FA5EC2" w:rsidP="001208A8">
      <w:pPr>
        <w:pStyle w:val="Heading1"/>
        <w:spacing w:before="4000"/>
        <w:jc w:val="center"/>
      </w:pPr>
      <w:bookmarkStart w:id="0" w:name="_Toc59540633"/>
      <w:r>
        <w:t>Protective Security Policy Frame</w:t>
      </w:r>
      <w:bookmarkStart w:id="1" w:name="_GoBack"/>
      <w:bookmarkEnd w:id="1"/>
      <w:r>
        <w:t>work</w:t>
      </w:r>
      <w:bookmarkEnd w:id="0"/>
    </w:p>
    <w:p w14:paraId="6018D8CA" w14:textId="4C54617F" w:rsidR="00FA5EC2" w:rsidRDefault="00FA5EC2" w:rsidP="001208A8">
      <w:pPr>
        <w:pStyle w:val="Heading2"/>
        <w:spacing w:before="0"/>
        <w:jc w:val="center"/>
      </w:pPr>
      <w:bookmarkStart w:id="2" w:name="_Toc59540634"/>
      <w:r>
        <w:t>2018-19 Assessment Report</w:t>
      </w:r>
      <w:bookmarkEnd w:id="2"/>
    </w:p>
    <w:p w14:paraId="5C2D2664" w14:textId="77777777" w:rsidR="00FA5EC2" w:rsidRDefault="00FA5EC2">
      <w:pPr>
        <w:spacing w:after="0" w:line="240" w:lineRule="auto"/>
        <w:rPr>
          <w:rFonts w:eastAsia="SimSun" w:cs="Angsana New"/>
          <w:b/>
          <w:bCs/>
          <w:iCs/>
          <w:color w:val="4D738A"/>
          <w:sz w:val="40"/>
          <w:szCs w:val="48"/>
        </w:rPr>
      </w:pPr>
      <w:r>
        <w:br w:type="page"/>
      </w:r>
    </w:p>
    <w:sdt>
      <w:sdtPr>
        <w:rPr>
          <w:rFonts w:ascii="Calibri" w:eastAsia="Calibri" w:hAnsi="Calibri" w:cs="Calibri"/>
          <w:color w:val="auto"/>
          <w:w w:val="105"/>
          <w:kern w:val="40"/>
          <w:sz w:val="22"/>
          <w:szCs w:val="22"/>
          <w:lang w:val="en-AU"/>
        </w:rPr>
        <w:id w:val="-70975491"/>
        <w:docPartObj>
          <w:docPartGallery w:val="Table of Contents"/>
          <w:docPartUnique/>
        </w:docPartObj>
      </w:sdtPr>
      <w:sdtEndPr>
        <w:rPr>
          <w:b/>
          <w:bCs/>
          <w:noProof/>
        </w:rPr>
      </w:sdtEndPr>
      <w:sdtContent>
        <w:p w14:paraId="732B1F75" w14:textId="77777777" w:rsidR="00FA5EC2" w:rsidRPr="00FA5EC2" w:rsidRDefault="00FA5EC2" w:rsidP="00FA5EC2">
          <w:pPr>
            <w:pStyle w:val="TOCHeading"/>
            <w:rPr>
              <w:rFonts w:ascii="Calibri" w:eastAsia="SimSun" w:hAnsi="Calibri" w:cs="Angsana New"/>
              <w:b/>
              <w:bCs/>
              <w:iCs/>
              <w:color w:val="4D738A"/>
              <w:w w:val="105"/>
              <w:kern w:val="40"/>
              <w:sz w:val="40"/>
              <w:szCs w:val="48"/>
              <w:lang w:val="en-AU"/>
            </w:rPr>
          </w:pPr>
          <w:r w:rsidRPr="00FA5EC2">
            <w:rPr>
              <w:rFonts w:ascii="Calibri" w:eastAsia="SimSun" w:hAnsi="Calibri" w:cs="Angsana New"/>
              <w:b/>
              <w:bCs/>
              <w:iCs/>
              <w:color w:val="4D738A"/>
              <w:w w:val="105"/>
              <w:kern w:val="40"/>
              <w:sz w:val="40"/>
              <w:szCs w:val="48"/>
              <w:lang w:val="en-AU"/>
            </w:rPr>
            <w:t>Contents</w:t>
          </w:r>
        </w:p>
        <w:p w14:paraId="4B5A5F49" w14:textId="77777777" w:rsidR="004D706C" w:rsidRDefault="00FA5EC2">
          <w:pPr>
            <w:pStyle w:val="TOC1"/>
            <w:tabs>
              <w:tab w:val="right" w:leader="dot" w:pos="10302"/>
            </w:tabs>
            <w:rPr>
              <w:rFonts w:asciiTheme="minorHAnsi" w:eastAsiaTheme="minorEastAsia" w:hAnsiTheme="minorHAnsi" w:cstheme="minorBidi"/>
              <w:noProof/>
              <w:kern w:val="0"/>
              <w:lang w:val="en-GB" w:eastAsia="en-GB"/>
            </w:rPr>
          </w:pPr>
          <w:r>
            <w:rPr>
              <w:b/>
              <w:bCs/>
              <w:noProof/>
            </w:rPr>
            <w:fldChar w:fldCharType="begin"/>
          </w:r>
          <w:r>
            <w:rPr>
              <w:b/>
              <w:bCs/>
              <w:noProof/>
            </w:rPr>
            <w:instrText xml:space="preserve"> TOC \o "1-3" \h \z \u </w:instrText>
          </w:r>
          <w:r>
            <w:rPr>
              <w:b/>
              <w:bCs/>
              <w:noProof/>
            </w:rPr>
            <w:fldChar w:fldCharType="separate"/>
          </w:r>
          <w:hyperlink w:anchor="_Toc59540633" w:history="1">
            <w:r w:rsidR="004D706C" w:rsidRPr="00FB1439">
              <w:rPr>
                <w:rStyle w:val="Hyperlink"/>
                <w:noProof/>
              </w:rPr>
              <w:t>Protective Security Policy Framework</w:t>
            </w:r>
            <w:r w:rsidR="004D706C">
              <w:rPr>
                <w:noProof/>
                <w:webHidden/>
              </w:rPr>
              <w:tab/>
            </w:r>
            <w:r w:rsidR="004D706C">
              <w:rPr>
                <w:noProof/>
                <w:webHidden/>
              </w:rPr>
              <w:fldChar w:fldCharType="begin"/>
            </w:r>
            <w:r w:rsidR="004D706C">
              <w:rPr>
                <w:noProof/>
                <w:webHidden/>
              </w:rPr>
              <w:instrText xml:space="preserve"> PAGEREF _Toc59540633 \h </w:instrText>
            </w:r>
            <w:r w:rsidR="004D706C">
              <w:rPr>
                <w:noProof/>
                <w:webHidden/>
              </w:rPr>
            </w:r>
            <w:r w:rsidR="004D706C">
              <w:rPr>
                <w:noProof/>
                <w:webHidden/>
              </w:rPr>
              <w:fldChar w:fldCharType="separate"/>
            </w:r>
            <w:r w:rsidR="004D706C">
              <w:rPr>
                <w:noProof/>
                <w:webHidden/>
              </w:rPr>
              <w:t>1</w:t>
            </w:r>
            <w:r w:rsidR="004D706C">
              <w:rPr>
                <w:noProof/>
                <w:webHidden/>
              </w:rPr>
              <w:fldChar w:fldCharType="end"/>
            </w:r>
          </w:hyperlink>
        </w:p>
        <w:p w14:paraId="65064E8E" w14:textId="77777777" w:rsidR="004D706C" w:rsidRDefault="00956EB0">
          <w:pPr>
            <w:pStyle w:val="TOC2"/>
            <w:tabs>
              <w:tab w:val="right" w:leader="dot" w:pos="10302"/>
            </w:tabs>
            <w:rPr>
              <w:rFonts w:asciiTheme="minorHAnsi" w:eastAsiaTheme="minorEastAsia" w:hAnsiTheme="minorHAnsi" w:cstheme="minorBidi"/>
              <w:noProof/>
              <w:kern w:val="0"/>
              <w:lang w:val="en-GB" w:eastAsia="en-GB"/>
            </w:rPr>
          </w:pPr>
          <w:hyperlink w:anchor="_Toc59540634" w:history="1">
            <w:r w:rsidR="004D706C" w:rsidRPr="00FB1439">
              <w:rPr>
                <w:rStyle w:val="Hyperlink"/>
                <w:noProof/>
              </w:rPr>
              <w:t>2018-19 Assessment Report</w:t>
            </w:r>
            <w:r w:rsidR="004D706C">
              <w:rPr>
                <w:noProof/>
                <w:webHidden/>
              </w:rPr>
              <w:tab/>
            </w:r>
            <w:r w:rsidR="004D706C">
              <w:rPr>
                <w:noProof/>
                <w:webHidden/>
              </w:rPr>
              <w:fldChar w:fldCharType="begin"/>
            </w:r>
            <w:r w:rsidR="004D706C">
              <w:rPr>
                <w:noProof/>
                <w:webHidden/>
              </w:rPr>
              <w:instrText xml:space="preserve"> PAGEREF _Toc59540634 \h </w:instrText>
            </w:r>
            <w:r w:rsidR="004D706C">
              <w:rPr>
                <w:noProof/>
                <w:webHidden/>
              </w:rPr>
            </w:r>
            <w:r w:rsidR="004D706C">
              <w:rPr>
                <w:noProof/>
                <w:webHidden/>
              </w:rPr>
              <w:fldChar w:fldCharType="separate"/>
            </w:r>
            <w:r w:rsidR="004D706C">
              <w:rPr>
                <w:noProof/>
                <w:webHidden/>
              </w:rPr>
              <w:t>1</w:t>
            </w:r>
            <w:r w:rsidR="004D706C">
              <w:rPr>
                <w:noProof/>
                <w:webHidden/>
              </w:rPr>
              <w:fldChar w:fldCharType="end"/>
            </w:r>
          </w:hyperlink>
        </w:p>
        <w:p w14:paraId="3E009206" w14:textId="77777777" w:rsidR="004D706C" w:rsidRDefault="00956EB0">
          <w:pPr>
            <w:pStyle w:val="TOC2"/>
            <w:tabs>
              <w:tab w:val="right" w:leader="dot" w:pos="10302"/>
            </w:tabs>
            <w:rPr>
              <w:rFonts w:asciiTheme="minorHAnsi" w:eastAsiaTheme="minorEastAsia" w:hAnsiTheme="minorHAnsi" w:cstheme="minorBidi"/>
              <w:noProof/>
              <w:kern w:val="0"/>
              <w:lang w:val="en-GB" w:eastAsia="en-GB"/>
            </w:rPr>
          </w:pPr>
          <w:hyperlink w:anchor="_Toc59540635" w:history="1">
            <w:r w:rsidR="004D706C" w:rsidRPr="00FB1439">
              <w:rPr>
                <w:rStyle w:val="Hyperlink"/>
                <w:noProof/>
              </w:rPr>
              <w:t>Introduction</w:t>
            </w:r>
            <w:r w:rsidR="004D706C">
              <w:rPr>
                <w:noProof/>
                <w:webHidden/>
              </w:rPr>
              <w:tab/>
            </w:r>
            <w:r w:rsidR="004D706C">
              <w:rPr>
                <w:noProof/>
                <w:webHidden/>
              </w:rPr>
              <w:fldChar w:fldCharType="begin"/>
            </w:r>
            <w:r w:rsidR="004D706C">
              <w:rPr>
                <w:noProof/>
                <w:webHidden/>
              </w:rPr>
              <w:instrText xml:space="preserve"> PAGEREF _Toc59540635 \h </w:instrText>
            </w:r>
            <w:r w:rsidR="004D706C">
              <w:rPr>
                <w:noProof/>
                <w:webHidden/>
              </w:rPr>
            </w:r>
            <w:r w:rsidR="004D706C">
              <w:rPr>
                <w:noProof/>
                <w:webHidden/>
              </w:rPr>
              <w:fldChar w:fldCharType="separate"/>
            </w:r>
            <w:r w:rsidR="004D706C">
              <w:rPr>
                <w:noProof/>
                <w:webHidden/>
              </w:rPr>
              <w:t>3</w:t>
            </w:r>
            <w:r w:rsidR="004D706C">
              <w:rPr>
                <w:noProof/>
                <w:webHidden/>
              </w:rPr>
              <w:fldChar w:fldCharType="end"/>
            </w:r>
          </w:hyperlink>
        </w:p>
        <w:p w14:paraId="36EED45C" w14:textId="77777777" w:rsidR="004D706C" w:rsidRDefault="00956EB0">
          <w:pPr>
            <w:pStyle w:val="TOC3"/>
            <w:tabs>
              <w:tab w:val="right" w:leader="dot" w:pos="10302"/>
            </w:tabs>
            <w:rPr>
              <w:rFonts w:asciiTheme="minorHAnsi" w:eastAsiaTheme="minorEastAsia" w:hAnsiTheme="minorHAnsi" w:cstheme="minorBidi"/>
              <w:noProof/>
              <w:kern w:val="0"/>
              <w:lang w:val="en-GB" w:eastAsia="en-GB"/>
            </w:rPr>
          </w:pPr>
          <w:hyperlink w:anchor="_Toc59540636" w:history="1">
            <w:r w:rsidR="004D706C" w:rsidRPr="00FB1439">
              <w:rPr>
                <w:rStyle w:val="Hyperlink"/>
                <w:noProof/>
              </w:rPr>
              <w:t>Revised framework</w:t>
            </w:r>
            <w:r w:rsidR="004D706C">
              <w:rPr>
                <w:noProof/>
                <w:webHidden/>
              </w:rPr>
              <w:tab/>
            </w:r>
            <w:r w:rsidR="004D706C">
              <w:rPr>
                <w:noProof/>
                <w:webHidden/>
              </w:rPr>
              <w:fldChar w:fldCharType="begin"/>
            </w:r>
            <w:r w:rsidR="004D706C">
              <w:rPr>
                <w:noProof/>
                <w:webHidden/>
              </w:rPr>
              <w:instrText xml:space="preserve"> PAGEREF _Toc59540636 \h </w:instrText>
            </w:r>
            <w:r w:rsidR="004D706C">
              <w:rPr>
                <w:noProof/>
                <w:webHidden/>
              </w:rPr>
            </w:r>
            <w:r w:rsidR="004D706C">
              <w:rPr>
                <w:noProof/>
                <w:webHidden/>
              </w:rPr>
              <w:fldChar w:fldCharType="separate"/>
            </w:r>
            <w:r w:rsidR="004D706C">
              <w:rPr>
                <w:noProof/>
                <w:webHidden/>
              </w:rPr>
              <w:t>3</w:t>
            </w:r>
            <w:r w:rsidR="004D706C">
              <w:rPr>
                <w:noProof/>
                <w:webHidden/>
              </w:rPr>
              <w:fldChar w:fldCharType="end"/>
            </w:r>
          </w:hyperlink>
        </w:p>
        <w:p w14:paraId="0355A1A5" w14:textId="77777777" w:rsidR="004D706C" w:rsidRDefault="00956EB0">
          <w:pPr>
            <w:pStyle w:val="TOC3"/>
            <w:tabs>
              <w:tab w:val="right" w:leader="dot" w:pos="10302"/>
            </w:tabs>
            <w:rPr>
              <w:rFonts w:asciiTheme="minorHAnsi" w:eastAsiaTheme="minorEastAsia" w:hAnsiTheme="minorHAnsi" w:cstheme="minorBidi"/>
              <w:noProof/>
              <w:kern w:val="0"/>
              <w:lang w:val="en-GB" w:eastAsia="en-GB"/>
            </w:rPr>
          </w:pPr>
          <w:hyperlink w:anchor="_Toc59540637" w:history="1">
            <w:r w:rsidR="004D706C" w:rsidRPr="00FB1439">
              <w:rPr>
                <w:rStyle w:val="Hyperlink"/>
                <w:noProof/>
              </w:rPr>
              <w:t>Evolving maturity model</w:t>
            </w:r>
            <w:r w:rsidR="004D706C">
              <w:rPr>
                <w:noProof/>
                <w:webHidden/>
              </w:rPr>
              <w:tab/>
            </w:r>
            <w:r w:rsidR="004D706C">
              <w:rPr>
                <w:noProof/>
                <w:webHidden/>
              </w:rPr>
              <w:fldChar w:fldCharType="begin"/>
            </w:r>
            <w:r w:rsidR="004D706C">
              <w:rPr>
                <w:noProof/>
                <w:webHidden/>
              </w:rPr>
              <w:instrText xml:space="preserve"> PAGEREF _Toc59540637 \h </w:instrText>
            </w:r>
            <w:r w:rsidR="004D706C">
              <w:rPr>
                <w:noProof/>
                <w:webHidden/>
              </w:rPr>
            </w:r>
            <w:r w:rsidR="004D706C">
              <w:rPr>
                <w:noProof/>
                <w:webHidden/>
              </w:rPr>
              <w:fldChar w:fldCharType="separate"/>
            </w:r>
            <w:r w:rsidR="004D706C">
              <w:rPr>
                <w:noProof/>
                <w:webHidden/>
              </w:rPr>
              <w:t>3</w:t>
            </w:r>
            <w:r w:rsidR="004D706C">
              <w:rPr>
                <w:noProof/>
                <w:webHidden/>
              </w:rPr>
              <w:fldChar w:fldCharType="end"/>
            </w:r>
          </w:hyperlink>
        </w:p>
        <w:p w14:paraId="0726F0B7" w14:textId="77777777" w:rsidR="004D706C" w:rsidRDefault="00956EB0">
          <w:pPr>
            <w:pStyle w:val="TOC3"/>
            <w:tabs>
              <w:tab w:val="right" w:leader="dot" w:pos="10302"/>
            </w:tabs>
            <w:rPr>
              <w:rFonts w:asciiTheme="minorHAnsi" w:eastAsiaTheme="minorEastAsia" w:hAnsiTheme="minorHAnsi" w:cstheme="minorBidi"/>
              <w:noProof/>
              <w:kern w:val="0"/>
              <w:lang w:val="en-GB" w:eastAsia="en-GB"/>
            </w:rPr>
          </w:pPr>
          <w:hyperlink w:anchor="_Toc59540638" w:history="1">
            <w:r w:rsidR="004D706C" w:rsidRPr="00FB1439">
              <w:rPr>
                <w:rStyle w:val="Hyperlink"/>
                <w:noProof/>
              </w:rPr>
              <w:t>Assessing continuous improvement</w:t>
            </w:r>
            <w:r w:rsidR="004D706C">
              <w:rPr>
                <w:noProof/>
                <w:webHidden/>
              </w:rPr>
              <w:tab/>
            </w:r>
            <w:r w:rsidR="004D706C">
              <w:rPr>
                <w:noProof/>
                <w:webHidden/>
              </w:rPr>
              <w:fldChar w:fldCharType="begin"/>
            </w:r>
            <w:r w:rsidR="004D706C">
              <w:rPr>
                <w:noProof/>
                <w:webHidden/>
              </w:rPr>
              <w:instrText xml:space="preserve"> PAGEREF _Toc59540638 \h </w:instrText>
            </w:r>
            <w:r w:rsidR="004D706C">
              <w:rPr>
                <w:noProof/>
                <w:webHidden/>
              </w:rPr>
            </w:r>
            <w:r w:rsidR="004D706C">
              <w:rPr>
                <w:noProof/>
                <w:webHidden/>
              </w:rPr>
              <w:fldChar w:fldCharType="separate"/>
            </w:r>
            <w:r w:rsidR="004D706C">
              <w:rPr>
                <w:noProof/>
                <w:webHidden/>
              </w:rPr>
              <w:t>4</w:t>
            </w:r>
            <w:r w:rsidR="004D706C">
              <w:rPr>
                <w:noProof/>
                <w:webHidden/>
              </w:rPr>
              <w:fldChar w:fldCharType="end"/>
            </w:r>
          </w:hyperlink>
        </w:p>
        <w:p w14:paraId="7BED51AD" w14:textId="77777777" w:rsidR="004D706C" w:rsidRDefault="00956EB0">
          <w:pPr>
            <w:pStyle w:val="TOC2"/>
            <w:tabs>
              <w:tab w:val="right" w:leader="dot" w:pos="10302"/>
            </w:tabs>
            <w:rPr>
              <w:rFonts w:asciiTheme="minorHAnsi" w:eastAsiaTheme="minorEastAsia" w:hAnsiTheme="minorHAnsi" w:cstheme="minorBidi"/>
              <w:noProof/>
              <w:kern w:val="0"/>
              <w:lang w:val="en-GB" w:eastAsia="en-GB"/>
            </w:rPr>
          </w:pPr>
          <w:hyperlink w:anchor="_Toc59540639" w:history="1">
            <w:r w:rsidR="004D706C" w:rsidRPr="00FB1439">
              <w:rPr>
                <w:rStyle w:val="Hyperlink"/>
                <w:noProof/>
              </w:rPr>
              <w:t>Key observations</w:t>
            </w:r>
            <w:r w:rsidR="004D706C">
              <w:rPr>
                <w:noProof/>
                <w:webHidden/>
              </w:rPr>
              <w:tab/>
            </w:r>
            <w:r w:rsidR="004D706C">
              <w:rPr>
                <w:noProof/>
                <w:webHidden/>
              </w:rPr>
              <w:fldChar w:fldCharType="begin"/>
            </w:r>
            <w:r w:rsidR="004D706C">
              <w:rPr>
                <w:noProof/>
                <w:webHidden/>
              </w:rPr>
              <w:instrText xml:space="preserve"> PAGEREF _Toc59540639 \h </w:instrText>
            </w:r>
            <w:r w:rsidR="004D706C">
              <w:rPr>
                <w:noProof/>
                <w:webHidden/>
              </w:rPr>
            </w:r>
            <w:r w:rsidR="004D706C">
              <w:rPr>
                <w:noProof/>
                <w:webHidden/>
              </w:rPr>
              <w:fldChar w:fldCharType="separate"/>
            </w:r>
            <w:r w:rsidR="004D706C">
              <w:rPr>
                <w:noProof/>
                <w:webHidden/>
              </w:rPr>
              <w:t>5</w:t>
            </w:r>
            <w:r w:rsidR="004D706C">
              <w:rPr>
                <w:noProof/>
                <w:webHidden/>
              </w:rPr>
              <w:fldChar w:fldCharType="end"/>
            </w:r>
          </w:hyperlink>
        </w:p>
        <w:p w14:paraId="5A6358B3" w14:textId="77777777" w:rsidR="004D706C" w:rsidRDefault="00956EB0">
          <w:pPr>
            <w:pStyle w:val="TOC3"/>
            <w:tabs>
              <w:tab w:val="right" w:leader="dot" w:pos="10302"/>
            </w:tabs>
            <w:rPr>
              <w:rFonts w:asciiTheme="minorHAnsi" w:eastAsiaTheme="minorEastAsia" w:hAnsiTheme="minorHAnsi" w:cstheme="minorBidi"/>
              <w:noProof/>
              <w:kern w:val="0"/>
              <w:lang w:val="en-GB" w:eastAsia="en-GB"/>
            </w:rPr>
          </w:pPr>
          <w:hyperlink w:anchor="_Toc59540640" w:history="1">
            <w:r w:rsidR="004D706C" w:rsidRPr="00FB1439">
              <w:rPr>
                <w:rStyle w:val="Hyperlink"/>
                <w:noProof/>
              </w:rPr>
              <w:t>Overall security assessment results</w:t>
            </w:r>
            <w:r w:rsidR="004D706C">
              <w:rPr>
                <w:noProof/>
                <w:webHidden/>
              </w:rPr>
              <w:tab/>
            </w:r>
            <w:r w:rsidR="004D706C">
              <w:rPr>
                <w:noProof/>
                <w:webHidden/>
              </w:rPr>
              <w:fldChar w:fldCharType="begin"/>
            </w:r>
            <w:r w:rsidR="004D706C">
              <w:rPr>
                <w:noProof/>
                <w:webHidden/>
              </w:rPr>
              <w:instrText xml:space="preserve"> PAGEREF _Toc59540640 \h </w:instrText>
            </w:r>
            <w:r w:rsidR="004D706C">
              <w:rPr>
                <w:noProof/>
                <w:webHidden/>
              </w:rPr>
            </w:r>
            <w:r w:rsidR="004D706C">
              <w:rPr>
                <w:noProof/>
                <w:webHidden/>
              </w:rPr>
              <w:fldChar w:fldCharType="separate"/>
            </w:r>
            <w:r w:rsidR="004D706C">
              <w:rPr>
                <w:noProof/>
                <w:webHidden/>
              </w:rPr>
              <w:t>6</w:t>
            </w:r>
            <w:r w:rsidR="004D706C">
              <w:rPr>
                <w:noProof/>
                <w:webHidden/>
              </w:rPr>
              <w:fldChar w:fldCharType="end"/>
            </w:r>
          </w:hyperlink>
        </w:p>
        <w:p w14:paraId="304EB8CC" w14:textId="77777777" w:rsidR="004D706C" w:rsidRDefault="00956EB0">
          <w:pPr>
            <w:pStyle w:val="TOC3"/>
            <w:tabs>
              <w:tab w:val="right" w:leader="dot" w:pos="10302"/>
            </w:tabs>
            <w:rPr>
              <w:rFonts w:asciiTheme="minorHAnsi" w:eastAsiaTheme="minorEastAsia" w:hAnsiTheme="minorHAnsi" w:cstheme="minorBidi"/>
              <w:noProof/>
              <w:kern w:val="0"/>
              <w:lang w:val="en-GB" w:eastAsia="en-GB"/>
            </w:rPr>
          </w:pPr>
          <w:hyperlink w:anchor="_Toc59540641" w:history="1">
            <w:r w:rsidR="004D706C" w:rsidRPr="00FB1439">
              <w:rPr>
                <w:rStyle w:val="Hyperlink"/>
                <w:noProof/>
              </w:rPr>
              <w:t>Security Governance</w:t>
            </w:r>
            <w:r w:rsidR="004D706C">
              <w:rPr>
                <w:noProof/>
                <w:webHidden/>
              </w:rPr>
              <w:tab/>
            </w:r>
            <w:r w:rsidR="004D706C">
              <w:rPr>
                <w:noProof/>
                <w:webHidden/>
              </w:rPr>
              <w:fldChar w:fldCharType="begin"/>
            </w:r>
            <w:r w:rsidR="004D706C">
              <w:rPr>
                <w:noProof/>
                <w:webHidden/>
              </w:rPr>
              <w:instrText xml:space="preserve"> PAGEREF _Toc59540641 \h </w:instrText>
            </w:r>
            <w:r w:rsidR="004D706C">
              <w:rPr>
                <w:noProof/>
                <w:webHidden/>
              </w:rPr>
            </w:r>
            <w:r w:rsidR="004D706C">
              <w:rPr>
                <w:noProof/>
                <w:webHidden/>
              </w:rPr>
              <w:fldChar w:fldCharType="separate"/>
            </w:r>
            <w:r w:rsidR="004D706C">
              <w:rPr>
                <w:noProof/>
                <w:webHidden/>
              </w:rPr>
              <w:t>7</w:t>
            </w:r>
            <w:r w:rsidR="004D706C">
              <w:rPr>
                <w:noProof/>
                <w:webHidden/>
              </w:rPr>
              <w:fldChar w:fldCharType="end"/>
            </w:r>
          </w:hyperlink>
        </w:p>
        <w:p w14:paraId="571447EB" w14:textId="77777777" w:rsidR="004D706C" w:rsidRDefault="00956EB0">
          <w:pPr>
            <w:pStyle w:val="TOC3"/>
            <w:tabs>
              <w:tab w:val="right" w:leader="dot" w:pos="10302"/>
            </w:tabs>
            <w:rPr>
              <w:rFonts w:asciiTheme="minorHAnsi" w:eastAsiaTheme="minorEastAsia" w:hAnsiTheme="minorHAnsi" w:cstheme="minorBidi"/>
              <w:noProof/>
              <w:kern w:val="0"/>
              <w:lang w:val="en-GB" w:eastAsia="en-GB"/>
            </w:rPr>
          </w:pPr>
          <w:hyperlink w:anchor="_Toc59540642" w:history="1">
            <w:r w:rsidR="004D706C" w:rsidRPr="00FB1439">
              <w:rPr>
                <w:rStyle w:val="Hyperlink"/>
                <w:noProof/>
              </w:rPr>
              <w:t>Information security</w:t>
            </w:r>
            <w:r w:rsidR="004D706C">
              <w:rPr>
                <w:noProof/>
                <w:webHidden/>
              </w:rPr>
              <w:tab/>
            </w:r>
            <w:r w:rsidR="004D706C">
              <w:rPr>
                <w:noProof/>
                <w:webHidden/>
              </w:rPr>
              <w:fldChar w:fldCharType="begin"/>
            </w:r>
            <w:r w:rsidR="004D706C">
              <w:rPr>
                <w:noProof/>
                <w:webHidden/>
              </w:rPr>
              <w:instrText xml:space="preserve"> PAGEREF _Toc59540642 \h </w:instrText>
            </w:r>
            <w:r w:rsidR="004D706C">
              <w:rPr>
                <w:noProof/>
                <w:webHidden/>
              </w:rPr>
            </w:r>
            <w:r w:rsidR="004D706C">
              <w:rPr>
                <w:noProof/>
                <w:webHidden/>
              </w:rPr>
              <w:fldChar w:fldCharType="separate"/>
            </w:r>
            <w:r w:rsidR="004D706C">
              <w:rPr>
                <w:noProof/>
                <w:webHidden/>
              </w:rPr>
              <w:t>8</w:t>
            </w:r>
            <w:r w:rsidR="004D706C">
              <w:rPr>
                <w:noProof/>
                <w:webHidden/>
              </w:rPr>
              <w:fldChar w:fldCharType="end"/>
            </w:r>
          </w:hyperlink>
        </w:p>
        <w:p w14:paraId="4017EC18" w14:textId="77777777" w:rsidR="004D706C" w:rsidRDefault="00956EB0">
          <w:pPr>
            <w:pStyle w:val="TOC3"/>
            <w:tabs>
              <w:tab w:val="right" w:leader="dot" w:pos="10302"/>
            </w:tabs>
            <w:rPr>
              <w:rFonts w:asciiTheme="minorHAnsi" w:eastAsiaTheme="minorEastAsia" w:hAnsiTheme="minorHAnsi" w:cstheme="minorBidi"/>
              <w:noProof/>
              <w:kern w:val="0"/>
              <w:lang w:val="en-GB" w:eastAsia="en-GB"/>
            </w:rPr>
          </w:pPr>
          <w:hyperlink w:anchor="_Toc59540643" w:history="1">
            <w:r w:rsidR="004D706C" w:rsidRPr="00FB1439">
              <w:rPr>
                <w:rStyle w:val="Hyperlink"/>
                <w:noProof/>
              </w:rPr>
              <w:t>Personnel security</w:t>
            </w:r>
            <w:r w:rsidR="004D706C">
              <w:rPr>
                <w:noProof/>
                <w:webHidden/>
              </w:rPr>
              <w:tab/>
            </w:r>
            <w:r w:rsidR="004D706C">
              <w:rPr>
                <w:noProof/>
                <w:webHidden/>
              </w:rPr>
              <w:fldChar w:fldCharType="begin"/>
            </w:r>
            <w:r w:rsidR="004D706C">
              <w:rPr>
                <w:noProof/>
                <w:webHidden/>
              </w:rPr>
              <w:instrText xml:space="preserve"> PAGEREF _Toc59540643 \h </w:instrText>
            </w:r>
            <w:r w:rsidR="004D706C">
              <w:rPr>
                <w:noProof/>
                <w:webHidden/>
              </w:rPr>
            </w:r>
            <w:r w:rsidR="004D706C">
              <w:rPr>
                <w:noProof/>
                <w:webHidden/>
              </w:rPr>
              <w:fldChar w:fldCharType="separate"/>
            </w:r>
            <w:r w:rsidR="004D706C">
              <w:rPr>
                <w:noProof/>
                <w:webHidden/>
              </w:rPr>
              <w:t>9</w:t>
            </w:r>
            <w:r w:rsidR="004D706C">
              <w:rPr>
                <w:noProof/>
                <w:webHidden/>
              </w:rPr>
              <w:fldChar w:fldCharType="end"/>
            </w:r>
          </w:hyperlink>
        </w:p>
        <w:p w14:paraId="70C939DF" w14:textId="77777777" w:rsidR="004D706C" w:rsidRDefault="00956EB0">
          <w:pPr>
            <w:pStyle w:val="TOC3"/>
            <w:tabs>
              <w:tab w:val="right" w:leader="dot" w:pos="10302"/>
            </w:tabs>
            <w:rPr>
              <w:rFonts w:asciiTheme="minorHAnsi" w:eastAsiaTheme="minorEastAsia" w:hAnsiTheme="minorHAnsi" w:cstheme="minorBidi"/>
              <w:noProof/>
              <w:kern w:val="0"/>
              <w:lang w:val="en-GB" w:eastAsia="en-GB"/>
            </w:rPr>
          </w:pPr>
          <w:hyperlink w:anchor="_Toc59540644" w:history="1">
            <w:r w:rsidR="004D706C" w:rsidRPr="00FB1439">
              <w:rPr>
                <w:rStyle w:val="Hyperlink"/>
                <w:noProof/>
              </w:rPr>
              <w:t>Physical security</w:t>
            </w:r>
            <w:r w:rsidR="004D706C">
              <w:rPr>
                <w:noProof/>
                <w:webHidden/>
              </w:rPr>
              <w:tab/>
            </w:r>
            <w:r w:rsidR="004D706C">
              <w:rPr>
                <w:noProof/>
                <w:webHidden/>
              </w:rPr>
              <w:fldChar w:fldCharType="begin"/>
            </w:r>
            <w:r w:rsidR="004D706C">
              <w:rPr>
                <w:noProof/>
                <w:webHidden/>
              </w:rPr>
              <w:instrText xml:space="preserve"> PAGEREF _Toc59540644 \h </w:instrText>
            </w:r>
            <w:r w:rsidR="004D706C">
              <w:rPr>
                <w:noProof/>
                <w:webHidden/>
              </w:rPr>
            </w:r>
            <w:r w:rsidR="004D706C">
              <w:rPr>
                <w:noProof/>
                <w:webHidden/>
              </w:rPr>
              <w:fldChar w:fldCharType="separate"/>
            </w:r>
            <w:r w:rsidR="004D706C">
              <w:rPr>
                <w:noProof/>
                <w:webHidden/>
              </w:rPr>
              <w:t>10</w:t>
            </w:r>
            <w:r w:rsidR="004D706C">
              <w:rPr>
                <w:noProof/>
                <w:webHidden/>
              </w:rPr>
              <w:fldChar w:fldCharType="end"/>
            </w:r>
          </w:hyperlink>
        </w:p>
        <w:p w14:paraId="72BE0217" w14:textId="77777777" w:rsidR="004D706C" w:rsidRDefault="00956EB0">
          <w:pPr>
            <w:pStyle w:val="TOC3"/>
            <w:tabs>
              <w:tab w:val="right" w:leader="dot" w:pos="10302"/>
            </w:tabs>
            <w:rPr>
              <w:rFonts w:asciiTheme="minorHAnsi" w:eastAsiaTheme="minorEastAsia" w:hAnsiTheme="minorHAnsi" w:cstheme="minorBidi"/>
              <w:noProof/>
              <w:kern w:val="0"/>
              <w:lang w:val="en-GB" w:eastAsia="en-GB"/>
            </w:rPr>
          </w:pPr>
          <w:hyperlink w:anchor="_Toc59540645" w:history="1">
            <w:r w:rsidR="004D706C" w:rsidRPr="00FB1439">
              <w:rPr>
                <w:rStyle w:val="Hyperlink"/>
                <w:noProof/>
              </w:rPr>
              <w:t>Entities posing a heightened security risk</w:t>
            </w:r>
            <w:r w:rsidR="004D706C">
              <w:rPr>
                <w:noProof/>
                <w:webHidden/>
              </w:rPr>
              <w:tab/>
            </w:r>
            <w:r w:rsidR="004D706C">
              <w:rPr>
                <w:noProof/>
                <w:webHidden/>
              </w:rPr>
              <w:fldChar w:fldCharType="begin"/>
            </w:r>
            <w:r w:rsidR="004D706C">
              <w:rPr>
                <w:noProof/>
                <w:webHidden/>
              </w:rPr>
              <w:instrText xml:space="preserve"> PAGEREF _Toc59540645 \h </w:instrText>
            </w:r>
            <w:r w:rsidR="004D706C">
              <w:rPr>
                <w:noProof/>
                <w:webHidden/>
              </w:rPr>
            </w:r>
            <w:r w:rsidR="004D706C">
              <w:rPr>
                <w:noProof/>
                <w:webHidden/>
              </w:rPr>
              <w:fldChar w:fldCharType="separate"/>
            </w:r>
            <w:r w:rsidR="004D706C">
              <w:rPr>
                <w:noProof/>
                <w:webHidden/>
              </w:rPr>
              <w:t>11</w:t>
            </w:r>
            <w:r w:rsidR="004D706C">
              <w:rPr>
                <w:noProof/>
                <w:webHidden/>
              </w:rPr>
              <w:fldChar w:fldCharType="end"/>
            </w:r>
          </w:hyperlink>
        </w:p>
        <w:p w14:paraId="7E6323B6" w14:textId="77777777" w:rsidR="004D706C" w:rsidRDefault="00956EB0">
          <w:pPr>
            <w:pStyle w:val="TOC2"/>
            <w:tabs>
              <w:tab w:val="right" w:leader="dot" w:pos="10302"/>
            </w:tabs>
            <w:rPr>
              <w:rFonts w:asciiTheme="minorHAnsi" w:eastAsiaTheme="minorEastAsia" w:hAnsiTheme="minorHAnsi" w:cstheme="minorBidi"/>
              <w:noProof/>
              <w:kern w:val="0"/>
              <w:lang w:val="en-GB" w:eastAsia="en-GB"/>
            </w:rPr>
          </w:pPr>
          <w:hyperlink w:anchor="_Toc59540646" w:history="1">
            <w:r w:rsidR="004D706C" w:rsidRPr="00FB1439">
              <w:rPr>
                <w:rStyle w:val="Hyperlink"/>
                <w:noProof/>
              </w:rPr>
              <w:t>Conclusion</w:t>
            </w:r>
            <w:r w:rsidR="004D706C">
              <w:rPr>
                <w:noProof/>
                <w:webHidden/>
              </w:rPr>
              <w:tab/>
            </w:r>
            <w:r w:rsidR="004D706C">
              <w:rPr>
                <w:noProof/>
                <w:webHidden/>
              </w:rPr>
              <w:fldChar w:fldCharType="begin"/>
            </w:r>
            <w:r w:rsidR="004D706C">
              <w:rPr>
                <w:noProof/>
                <w:webHidden/>
              </w:rPr>
              <w:instrText xml:space="preserve"> PAGEREF _Toc59540646 \h </w:instrText>
            </w:r>
            <w:r w:rsidR="004D706C">
              <w:rPr>
                <w:noProof/>
                <w:webHidden/>
              </w:rPr>
            </w:r>
            <w:r w:rsidR="004D706C">
              <w:rPr>
                <w:noProof/>
                <w:webHidden/>
              </w:rPr>
              <w:fldChar w:fldCharType="separate"/>
            </w:r>
            <w:r w:rsidR="004D706C">
              <w:rPr>
                <w:noProof/>
                <w:webHidden/>
              </w:rPr>
              <w:t>11</w:t>
            </w:r>
            <w:r w:rsidR="004D706C">
              <w:rPr>
                <w:noProof/>
                <w:webHidden/>
              </w:rPr>
              <w:fldChar w:fldCharType="end"/>
            </w:r>
          </w:hyperlink>
        </w:p>
        <w:p w14:paraId="3C5E0AF5" w14:textId="77777777" w:rsidR="004D706C" w:rsidRDefault="00956EB0">
          <w:pPr>
            <w:pStyle w:val="TOC2"/>
            <w:tabs>
              <w:tab w:val="right" w:leader="dot" w:pos="10302"/>
            </w:tabs>
            <w:rPr>
              <w:rFonts w:asciiTheme="minorHAnsi" w:eastAsiaTheme="minorEastAsia" w:hAnsiTheme="minorHAnsi" w:cstheme="minorBidi"/>
              <w:noProof/>
              <w:kern w:val="0"/>
              <w:lang w:val="en-GB" w:eastAsia="en-GB"/>
            </w:rPr>
          </w:pPr>
          <w:hyperlink w:anchor="_Toc59540647" w:history="1">
            <w:r w:rsidR="004D706C" w:rsidRPr="00FB1439">
              <w:rPr>
                <w:rStyle w:val="Hyperlink"/>
                <w:noProof/>
              </w:rPr>
              <w:t>Annex A: Structure of the reformed Protective Security Policy Framework from 1 October 2018</w:t>
            </w:r>
            <w:r w:rsidR="004D706C">
              <w:rPr>
                <w:noProof/>
                <w:webHidden/>
              </w:rPr>
              <w:tab/>
            </w:r>
            <w:r w:rsidR="004D706C">
              <w:rPr>
                <w:noProof/>
                <w:webHidden/>
              </w:rPr>
              <w:fldChar w:fldCharType="begin"/>
            </w:r>
            <w:r w:rsidR="004D706C">
              <w:rPr>
                <w:noProof/>
                <w:webHidden/>
              </w:rPr>
              <w:instrText xml:space="preserve"> PAGEREF _Toc59540647 \h </w:instrText>
            </w:r>
            <w:r w:rsidR="004D706C">
              <w:rPr>
                <w:noProof/>
                <w:webHidden/>
              </w:rPr>
            </w:r>
            <w:r w:rsidR="004D706C">
              <w:rPr>
                <w:noProof/>
                <w:webHidden/>
              </w:rPr>
              <w:fldChar w:fldCharType="separate"/>
            </w:r>
            <w:r w:rsidR="004D706C">
              <w:rPr>
                <w:noProof/>
                <w:webHidden/>
              </w:rPr>
              <w:t>12</w:t>
            </w:r>
            <w:r w:rsidR="004D706C">
              <w:rPr>
                <w:noProof/>
                <w:webHidden/>
              </w:rPr>
              <w:fldChar w:fldCharType="end"/>
            </w:r>
          </w:hyperlink>
        </w:p>
        <w:p w14:paraId="7ED72CFF" w14:textId="77777777" w:rsidR="004D706C" w:rsidRDefault="00956EB0">
          <w:pPr>
            <w:pStyle w:val="TOC2"/>
            <w:tabs>
              <w:tab w:val="right" w:leader="dot" w:pos="10302"/>
            </w:tabs>
            <w:rPr>
              <w:rFonts w:asciiTheme="minorHAnsi" w:eastAsiaTheme="minorEastAsia" w:hAnsiTheme="minorHAnsi" w:cstheme="minorBidi"/>
              <w:noProof/>
              <w:kern w:val="0"/>
              <w:lang w:val="en-GB" w:eastAsia="en-GB"/>
            </w:rPr>
          </w:pPr>
          <w:hyperlink w:anchor="_Toc59540648" w:history="1">
            <w:r w:rsidR="004D706C" w:rsidRPr="00FB1439">
              <w:rPr>
                <w:rStyle w:val="Hyperlink"/>
                <w:noProof/>
              </w:rPr>
              <w:t>PSPF – Security outcomes and PSPF policies</w:t>
            </w:r>
            <w:r w:rsidR="004D706C">
              <w:rPr>
                <w:noProof/>
                <w:webHidden/>
              </w:rPr>
              <w:tab/>
            </w:r>
            <w:r w:rsidR="004D706C">
              <w:rPr>
                <w:noProof/>
                <w:webHidden/>
              </w:rPr>
              <w:fldChar w:fldCharType="begin"/>
            </w:r>
            <w:r w:rsidR="004D706C">
              <w:rPr>
                <w:noProof/>
                <w:webHidden/>
              </w:rPr>
              <w:instrText xml:space="preserve"> PAGEREF _Toc59540648 \h </w:instrText>
            </w:r>
            <w:r w:rsidR="004D706C">
              <w:rPr>
                <w:noProof/>
                <w:webHidden/>
              </w:rPr>
            </w:r>
            <w:r w:rsidR="004D706C">
              <w:rPr>
                <w:noProof/>
                <w:webHidden/>
              </w:rPr>
              <w:fldChar w:fldCharType="separate"/>
            </w:r>
            <w:r w:rsidR="004D706C">
              <w:rPr>
                <w:noProof/>
                <w:webHidden/>
              </w:rPr>
              <w:t>13</w:t>
            </w:r>
            <w:r w:rsidR="004D706C">
              <w:rPr>
                <w:noProof/>
                <w:webHidden/>
              </w:rPr>
              <w:fldChar w:fldCharType="end"/>
            </w:r>
          </w:hyperlink>
        </w:p>
        <w:p w14:paraId="0AD68FFF" w14:textId="77777777" w:rsidR="00FA5EC2" w:rsidRDefault="00FA5EC2" w:rsidP="00FA5EC2">
          <w:pPr>
            <w:rPr>
              <w:b/>
              <w:bCs/>
              <w:noProof/>
            </w:rPr>
          </w:pPr>
          <w:r>
            <w:rPr>
              <w:b/>
              <w:bCs/>
              <w:noProof/>
            </w:rPr>
            <w:fldChar w:fldCharType="end"/>
          </w:r>
        </w:p>
      </w:sdtContent>
    </w:sdt>
    <w:p w14:paraId="2B6D9249" w14:textId="157731D2" w:rsidR="00FA5EC2" w:rsidRPr="00FA5EC2" w:rsidRDefault="00FA5EC2" w:rsidP="00FA5EC2">
      <w:pPr>
        <w:pStyle w:val="Heading2"/>
      </w:pPr>
      <w:r>
        <w:rPr>
          <w:b w:val="0"/>
        </w:rPr>
        <w:br w:type="page"/>
      </w:r>
      <w:bookmarkStart w:id="3" w:name="_Toc53435617"/>
      <w:bookmarkStart w:id="4" w:name="_Toc57712008"/>
      <w:bookmarkStart w:id="5" w:name="_Toc59540635"/>
      <w:r w:rsidRPr="00FA5EC2">
        <w:lastRenderedPageBreak/>
        <w:t>Introduction</w:t>
      </w:r>
      <w:bookmarkEnd w:id="3"/>
      <w:bookmarkEnd w:id="4"/>
      <w:bookmarkEnd w:id="5"/>
    </w:p>
    <w:p w14:paraId="2591CE5E" w14:textId="77777777" w:rsidR="00FA5EC2" w:rsidRDefault="00FA5EC2" w:rsidP="00FA5EC2">
      <w:r>
        <w:t>The Protective Security Policy Framework (PSPF) assists Australian Government entities to protect their people, information and assets, both here and overseas.</w:t>
      </w:r>
    </w:p>
    <w:p w14:paraId="65A6A970" w14:textId="77777777" w:rsidR="00FA5EC2" w:rsidRDefault="00FA5EC2" w:rsidP="00FA5EC2">
      <w:r>
        <w:t xml:space="preserve">Achieving a robust, positive security culture across entities is fundamental to ensuring reliable and efficient delivery of government business. Managing protective security risks proportionately and effectively enables entities to build trust and confidence between the different levels of government, the Australian public, and our international partners. </w:t>
      </w:r>
    </w:p>
    <w:p w14:paraId="45BF1DDB" w14:textId="77777777" w:rsidR="00FA5EC2" w:rsidRDefault="00FA5EC2" w:rsidP="00FA5EC2">
      <w:r>
        <w:t xml:space="preserve">Security is everyone’s business, and these annual assessment reports are one way Australian Government entities can better develop a comprehensive understanding of emerging security risks, and work to continuously improve their security practices. </w:t>
      </w:r>
    </w:p>
    <w:p w14:paraId="4FE9312D" w14:textId="77777777" w:rsidR="00FA5EC2" w:rsidRPr="00FA5EC2" w:rsidRDefault="00FA5EC2" w:rsidP="00FA5EC2">
      <w:pPr>
        <w:pStyle w:val="Heading3"/>
      </w:pPr>
      <w:bookmarkStart w:id="6" w:name="_Toc53435618"/>
      <w:bookmarkStart w:id="7" w:name="_Toc57712009"/>
      <w:bookmarkStart w:id="8" w:name="_Toc59540636"/>
      <w:r w:rsidRPr="00FA5EC2">
        <w:t>Revised framework</w:t>
      </w:r>
      <w:bookmarkEnd w:id="6"/>
      <w:bookmarkEnd w:id="7"/>
      <w:bookmarkEnd w:id="8"/>
    </w:p>
    <w:p w14:paraId="4010644A" w14:textId="77777777" w:rsidR="00FA5EC2" w:rsidRDefault="00FA5EC2" w:rsidP="00FA5EC2">
      <w:bookmarkStart w:id="9" w:name="_Toc53435619"/>
      <w:r w:rsidRPr="00D76363">
        <w:t>On 1 October 2018</w:t>
      </w:r>
      <w:r>
        <w:t>, the A</w:t>
      </w:r>
      <w:r w:rsidRPr="00010D7F">
        <w:t xml:space="preserve">ttorney-General </w:t>
      </w:r>
      <w:r>
        <w:t xml:space="preserve">issued the revised Protective Security Policy Framework (PSPF). </w:t>
      </w:r>
    </w:p>
    <w:p w14:paraId="4FE435A9" w14:textId="77777777" w:rsidR="00FA5EC2" w:rsidRDefault="00FA5EC2" w:rsidP="00FA5EC2">
      <w:r>
        <w:t xml:space="preserve">The reforms address findings from the </w:t>
      </w:r>
      <w:r w:rsidRPr="004D0F0D">
        <w:rPr>
          <w:i/>
        </w:rPr>
        <w:t>2015 Independent Review of Whole-of-Government Internal Regulation</w:t>
      </w:r>
      <w:r>
        <w:rPr>
          <w:i/>
        </w:rPr>
        <w:t>,</w:t>
      </w:r>
      <w:r>
        <w:t xml:space="preserve"> and ensure the PSPF keeps pace with international best practice by:</w:t>
      </w:r>
    </w:p>
    <w:p w14:paraId="00EB78E1" w14:textId="77777777" w:rsidR="00FA5EC2" w:rsidRDefault="00FA5EC2" w:rsidP="00FA5EC2">
      <w:pPr>
        <w:pStyle w:val="ListParagraph"/>
        <w:numPr>
          <w:ilvl w:val="0"/>
          <w:numId w:val="9"/>
        </w:numPr>
      </w:pPr>
      <w:r>
        <w:t>building and maintaining a strong security culture that effectively engages with risk</w:t>
      </w:r>
    </w:p>
    <w:p w14:paraId="6488F31A" w14:textId="77777777" w:rsidR="00FA5EC2" w:rsidRDefault="00FA5EC2" w:rsidP="00FA5EC2">
      <w:pPr>
        <w:pStyle w:val="ListParagraph"/>
        <w:numPr>
          <w:ilvl w:val="0"/>
          <w:numId w:val="9"/>
        </w:numPr>
      </w:pPr>
      <w:r>
        <w:t>addressing the malicious insider threat through improved personnel security, and</w:t>
      </w:r>
    </w:p>
    <w:p w14:paraId="74E32275" w14:textId="77777777" w:rsidR="00FA5EC2" w:rsidRDefault="00FA5EC2" w:rsidP="00FA5EC2">
      <w:pPr>
        <w:pStyle w:val="ListParagraph"/>
        <w:numPr>
          <w:ilvl w:val="0"/>
          <w:numId w:val="9"/>
        </w:numPr>
      </w:pPr>
      <w:proofErr w:type="gramStart"/>
      <w:r>
        <w:t>increasing</w:t>
      </w:r>
      <w:proofErr w:type="gramEnd"/>
      <w:r>
        <w:t xml:space="preserve"> the cyber security of government networks and information.</w:t>
      </w:r>
    </w:p>
    <w:p w14:paraId="48ADCB07" w14:textId="77777777" w:rsidR="00FA5EC2" w:rsidRDefault="00FA5EC2" w:rsidP="00FA5EC2">
      <w:r>
        <w:t>The revised PSPF implements</w:t>
      </w:r>
      <w:r w:rsidRPr="00D76363">
        <w:t xml:space="preserve"> reforms </w:t>
      </w:r>
      <w:r>
        <w:t>that seek to improve clarity, reduce unnecessary ‘red tape’ and foster</w:t>
      </w:r>
      <w:r w:rsidRPr="00D76363">
        <w:t xml:space="preserve"> a strengthened security culture across government</w:t>
      </w:r>
      <w:r>
        <w:t xml:space="preserve">. </w:t>
      </w:r>
    </w:p>
    <w:p w14:paraId="4E52B45E" w14:textId="77777777" w:rsidR="00FA5EC2" w:rsidRDefault="00FA5EC2" w:rsidP="00FA5EC2">
      <w:r>
        <w:t xml:space="preserve">The PSPF applies to </w:t>
      </w:r>
      <w:r w:rsidRPr="00A413A6">
        <w:t xml:space="preserve">non-corporate Commonwealth entities (NCCE) </w:t>
      </w:r>
      <w:r>
        <w:t>and must be applied</w:t>
      </w:r>
      <w:r w:rsidRPr="00A413A6">
        <w:t xml:space="preserve"> as it relates to their </w:t>
      </w:r>
      <w:r>
        <w:t xml:space="preserve">respective </w:t>
      </w:r>
      <w:r w:rsidRPr="00A413A6">
        <w:t xml:space="preserve">risk </w:t>
      </w:r>
      <w:r>
        <w:t xml:space="preserve">profile. It represents better practice for corporate Commonwealth entities (CCE) and wholly-owned Commonwealth companies (CC). Further information about the PSPF, including an overview of the security principles, is available at </w:t>
      </w:r>
      <w:r w:rsidRPr="00A46A9F">
        <w:rPr>
          <w:b/>
        </w:rPr>
        <w:t>Annex A</w:t>
      </w:r>
      <w:r>
        <w:t xml:space="preserve">. </w:t>
      </w:r>
    </w:p>
    <w:p w14:paraId="55DE5868" w14:textId="77777777" w:rsidR="00FA5EC2" w:rsidRPr="00FA5EC2" w:rsidRDefault="00FA5EC2" w:rsidP="00FA5EC2">
      <w:pPr>
        <w:pStyle w:val="Heading3"/>
      </w:pPr>
      <w:bookmarkStart w:id="10" w:name="_Toc53656810"/>
      <w:bookmarkStart w:id="11" w:name="_Toc57712010"/>
      <w:bookmarkStart w:id="12" w:name="_Toc59540637"/>
      <w:bookmarkEnd w:id="9"/>
      <w:r w:rsidRPr="00FA5EC2">
        <w:t>Evolving maturity model</w:t>
      </w:r>
      <w:bookmarkEnd w:id="10"/>
      <w:bookmarkEnd w:id="11"/>
      <w:bookmarkEnd w:id="12"/>
    </w:p>
    <w:p w14:paraId="4DF27AF4" w14:textId="77777777" w:rsidR="00FA5EC2" w:rsidRPr="00C943BE" w:rsidRDefault="00FA5EC2" w:rsidP="00FA5EC2">
      <w:r w:rsidRPr="00C943BE">
        <w:t xml:space="preserve">The PSPF is a living document and is </w:t>
      </w:r>
      <w:r>
        <w:t xml:space="preserve">regularly </w:t>
      </w:r>
      <w:r w:rsidRPr="00C943BE">
        <w:t xml:space="preserve">updated to reflect new and emerging issues, developments in protective security best practice and changes to Government policy. It recognises that entities operate within a complex and dynamic threat environment. Terrorism, espionage, foreign interference, malicious insiders, and cyber intrusion are examples of threats that impact on </w:t>
      </w:r>
      <w:r>
        <w:t xml:space="preserve">the 4 </w:t>
      </w:r>
      <w:r w:rsidRPr="00C943BE">
        <w:t>protective security outcomes</w:t>
      </w:r>
      <w:r>
        <w:t xml:space="preserve"> of security governance, information security, personnel security and physical security</w:t>
      </w:r>
      <w:r w:rsidRPr="00C943BE">
        <w:t xml:space="preserve">. The PSPF requires entities to continuously update their security posture to reflect their changing risk profile. </w:t>
      </w:r>
    </w:p>
    <w:p w14:paraId="6A63AF11" w14:textId="77777777" w:rsidR="00FA5EC2" w:rsidRDefault="00FA5EC2" w:rsidP="00FA5EC2">
      <w:r w:rsidRPr="00C943BE">
        <w:t>This annual assessment report is the first using the new four-scale maturity model and replaces the former binary compliance-based model. The new maturity model adopts international best practice and is designed to encourage entities to better engage with their unique security risk</w:t>
      </w:r>
      <w:r>
        <w:t xml:space="preserve"> profile</w:t>
      </w:r>
      <w:r w:rsidRPr="00C943BE">
        <w:t xml:space="preserve">, as well as develop tailored plans and strategies for continuous self-improvement. The maturity model recognises that entities’ security posture does not remain static over time. </w:t>
      </w:r>
    </w:p>
    <w:p w14:paraId="0D400382" w14:textId="77777777" w:rsidR="00FA5EC2" w:rsidRPr="00C943BE" w:rsidRDefault="00FA5EC2" w:rsidP="00FA5EC2">
      <w:r w:rsidRPr="00C943BE">
        <w:t xml:space="preserve">As a result of the different reporting methodology, it is not possible to make a direct comparison between the results in this, and previous reports. However, the results are able to be broadly compared to understand both enduring vulnerabilities, and efforts to reach a more mature and resilient security posture. </w:t>
      </w:r>
    </w:p>
    <w:p w14:paraId="6BD34E04" w14:textId="77777777" w:rsidR="00FA5EC2" w:rsidRPr="00C943BE" w:rsidRDefault="00FA5EC2" w:rsidP="00FA5EC2">
      <w:r w:rsidRPr="00C943BE">
        <w:lastRenderedPageBreak/>
        <w:t xml:space="preserve">While the new model allows for year-on-year comparison moving forward, it is not intended to provide a baseline comparison. Results should be considered in the context of the </w:t>
      </w:r>
      <w:r>
        <w:t xml:space="preserve">threat environment </w:t>
      </w:r>
      <w:r w:rsidRPr="00C943BE">
        <w:t xml:space="preserve">at the time of the report. It is expected that entities may fluctuate across the maturity scale as they identify, detect and respond to new and emerging threats. </w:t>
      </w:r>
    </w:p>
    <w:p w14:paraId="2464EDB6" w14:textId="77777777" w:rsidR="00FA5EC2" w:rsidRPr="00C943BE" w:rsidRDefault="00FA5EC2" w:rsidP="00FA5EC2">
      <w:r w:rsidRPr="00C943BE">
        <w:t>This report should be considered alongside other threat-specific assessments, for example the Commonwealth Cyber Security Posture report, to understand the full scale of work being undertaken by entities to improve security across government.</w:t>
      </w:r>
    </w:p>
    <w:p w14:paraId="4F001524" w14:textId="77777777" w:rsidR="00FA5EC2" w:rsidRPr="00686461" w:rsidRDefault="00FA5EC2" w:rsidP="00FA5EC2">
      <w:pPr>
        <w:pStyle w:val="Heading3"/>
      </w:pPr>
      <w:bookmarkStart w:id="13" w:name="_Toc59540638"/>
      <w:r w:rsidRPr="00686461">
        <w:t>Assessing continuous improvement</w:t>
      </w:r>
      <w:bookmarkEnd w:id="13"/>
      <w:r w:rsidRPr="00686461">
        <w:t xml:space="preserve"> </w:t>
      </w:r>
    </w:p>
    <w:p w14:paraId="5137DE7E" w14:textId="77777777" w:rsidR="00FA5EC2" w:rsidRDefault="00FA5EC2" w:rsidP="00FA5EC2">
      <w:r>
        <w:t>Under the new four-scale maturity model, e</w:t>
      </w:r>
      <w:r w:rsidRPr="00D76363">
        <w:t xml:space="preserve">ntities </w:t>
      </w:r>
      <w:r>
        <w:t xml:space="preserve">are required </w:t>
      </w:r>
      <w:r w:rsidRPr="00D76363">
        <w:t>to make an assessment</w:t>
      </w:r>
      <w:r>
        <w:t xml:space="preserve"> of their security maturity against each of the 16 core policies</w:t>
      </w:r>
      <w:r>
        <w:rPr>
          <w:rStyle w:val="FootnoteReference"/>
        </w:rPr>
        <w:footnoteReference w:id="1"/>
      </w:r>
      <w:r>
        <w:t xml:space="preserve"> set out in the PSPF. The new model includes 4 maturity levels, which are set out at </w:t>
      </w:r>
      <w:r>
        <w:rPr>
          <w:b/>
        </w:rPr>
        <w:t>Diagram</w:t>
      </w:r>
      <w:r w:rsidRPr="004756F2">
        <w:rPr>
          <w:b/>
        </w:rPr>
        <w:t xml:space="preserve"> 1</w:t>
      </w:r>
      <w:r>
        <w:t xml:space="preserve">. </w:t>
      </w:r>
    </w:p>
    <w:p w14:paraId="675F6E80" w14:textId="77777777" w:rsidR="00FA5EC2" w:rsidRDefault="00FA5EC2" w:rsidP="00FA5EC2">
      <w:r>
        <w:t xml:space="preserve">The scaled assessment model recognises that individual entities’ threats, vulnerabilities and risks differ. This enables entities to better understand their unique risk profile, better identify the level of maturity of their security capability, and tailor strategies for improvement.  </w:t>
      </w:r>
    </w:p>
    <w:p w14:paraId="531EFF76" w14:textId="4B162D78" w:rsidR="00FA5EC2" w:rsidRDefault="00FA5EC2" w:rsidP="00FA5EC2">
      <w:pPr>
        <w:autoSpaceDE w:val="0"/>
        <w:autoSpaceDN w:val="0"/>
        <w:spacing w:after="0"/>
        <w:rPr>
          <w:rFonts w:eastAsia="Times New Roman"/>
          <w:kern w:val="0"/>
          <w:lang w:val="en-GB"/>
        </w:rPr>
      </w:pPr>
      <w:r>
        <w:rPr>
          <w:b/>
        </w:rPr>
        <w:t xml:space="preserve">Diagram 1. </w:t>
      </w:r>
      <w:r w:rsidRPr="00442C1E">
        <w:rPr>
          <w:b/>
        </w:rPr>
        <w:t>PSPF maturity assessment model</w:t>
      </w:r>
    </w:p>
    <w:p w14:paraId="673B3F56" w14:textId="68FAE15D" w:rsidR="00FA5EC2" w:rsidRDefault="00BA57AE" w:rsidP="00FA5EC2">
      <w:r>
        <w:rPr>
          <w:noProof/>
          <w:lang w:val="en-GB" w:eastAsia="en-GB"/>
        </w:rPr>
        <w:drawing>
          <wp:inline distT="0" distB="0" distL="0" distR="0" wp14:anchorId="1305E9DE" wp14:editId="59CA4BB2">
            <wp:extent cx="6328410" cy="2773680"/>
            <wp:effectExtent l="0" t="0" r="0" b="0"/>
            <wp:docPr id="2" name="Picture 2" descr="Diagram describes the four levels of the PSPF maturity assessment model. &#10;Ad Hoc (medium blue) - Partial or basic PSPF implementation. Protective security responsibilies not well understood across the entity.&#10;Developing (purple) - Substantial implementation of the PSPF. Protective security requirements not fully implemented into business practices.&#10;Managing (dark blue) - Complete and effective PSPF implementation. Protective security requirements integrated into business practises.&#10;Embedded - (light blue) - Comprehensive and effective PSPF implementation. Protective security requirements proactively integrated into business practises and exceeding security outcomes. Excelling at implementing better-practise guidance. " title="Diagram 1. PSPF maturity assessment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8410" cy="2773680"/>
                    </a:xfrm>
                    <a:prstGeom prst="rect">
                      <a:avLst/>
                    </a:prstGeom>
                    <a:noFill/>
                  </pic:spPr>
                </pic:pic>
              </a:graphicData>
            </a:graphic>
          </wp:inline>
        </w:drawing>
      </w:r>
    </w:p>
    <w:p w14:paraId="66F9AE8A" w14:textId="77777777" w:rsidR="00FA5EC2" w:rsidRDefault="00FA5EC2" w:rsidP="00FA5EC2">
      <w:pPr>
        <w:pStyle w:val="CommentText"/>
        <w:rPr>
          <w:sz w:val="22"/>
          <w:szCs w:val="22"/>
        </w:rPr>
      </w:pPr>
      <w:bookmarkStart w:id="14" w:name="_Toc53435620"/>
      <w:r>
        <w:rPr>
          <w:sz w:val="22"/>
          <w:szCs w:val="22"/>
        </w:rPr>
        <w:t xml:space="preserve">An entity’s overall maturity level is calculated by averaging their assessed maturity level for each of the 16 PSPF policies. This approach provides a holistic picture of the entity’s overall security posture. Recording ‘ad hoc’ or ‘developing’ maturity in any policy reduces the likelihood of achieving a ‘managing’ maturity level overall. </w:t>
      </w:r>
    </w:p>
    <w:p w14:paraId="13A9DE58" w14:textId="77777777" w:rsidR="00FA5EC2" w:rsidRPr="00750DED" w:rsidRDefault="00FA5EC2" w:rsidP="00FA5EC2">
      <w:pPr>
        <w:rPr>
          <w:rFonts w:eastAsiaTheme="minorHAnsi"/>
          <w:kern w:val="0"/>
          <w:lang w:val="en-GB"/>
        </w:rPr>
      </w:pPr>
      <w:r w:rsidRPr="00C1750E">
        <w:t>The ‘embedded’ level is above what entities are expected to implement and striving for this maturity level will depend on the individual entity. Not all entities are expected to aim for the ‘embedded’ maturity level. This recognises that it requires the highest degree of implementation and entities need to make an individual judgment about whether striving for this maturity level is required based on their risk environment and available resources. It is expected that the majority of entities will fluctuate between ‘developing’ and ‘managing’ maturity depending on their risk profile, threat environment, and available resources.</w:t>
      </w:r>
    </w:p>
    <w:p w14:paraId="76C39342" w14:textId="77777777" w:rsidR="00FA5EC2" w:rsidRDefault="00FA5EC2" w:rsidP="00FA5EC2">
      <w:pPr>
        <w:pStyle w:val="CommentText"/>
        <w:rPr>
          <w:sz w:val="22"/>
          <w:szCs w:val="22"/>
        </w:rPr>
      </w:pPr>
    </w:p>
    <w:p w14:paraId="47F53B25" w14:textId="2EEBFBC6" w:rsidR="00FA5EC2" w:rsidRPr="00FA5EC2" w:rsidRDefault="00FA5EC2" w:rsidP="00FA5EC2">
      <w:pPr>
        <w:pStyle w:val="Heading2"/>
      </w:pPr>
      <w:bookmarkStart w:id="15" w:name="_Toc57712011"/>
      <w:bookmarkStart w:id="16" w:name="_Toc59540639"/>
      <w:bookmarkEnd w:id="14"/>
      <w:r w:rsidRPr="00FA5EC2">
        <w:lastRenderedPageBreak/>
        <w:t>Key observations</w:t>
      </w:r>
      <w:bookmarkEnd w:id="15"/>
      <w:bookmarkEnd w:id="16"/>
    </w:p>
    <w:p w14:paraId="25EAD123" w14:textId="0457662B" w:rsidR="00FA5EC2" w:rsidRDefault="00FA5EC2" w:rsidP="00FA5EC2">
      <w:pPr>
        <w:spacing w:after="0"/>
      </w:pPr>
      <w:r w:rsidRPr="00127D16">
        <w:rPr>
          <w:noProof/>
          <w:lang w:val="en-GB" w:eastAsia="en-GB"/>
        </w:rPr>
        <w:drawing>
          <wp:anchor distT="0" distB="0" distL="114300" distR="114300" simplePos="0" relativeHeight="251669504" behindDoc="0" locked="0" layoutInCell="1" allowOverlap="1" wp14:anchorId="7A421513" wp14:editId="2D36EC7A">
            <wp:simplePos x="0" y="0"/>
            <wp:positionH relativeFrom="margin">
              <wp:posOffset>3569970</wp:posOffset>
            </wp:positionH>
            <wp:positionV relativeFrom="paragraph">
              <wp:posOffset>51435</wp:posOffset>
            </wp:positionV>
            <wp:extent cx="2068830" cy="2095500"/>
            <wp:effectExtent l="0" t="0" r="0" b="0"/>
            <wp:wrapThrough wrapText="bothSides">
              <wp:wrapPolygon edited="0">
                <wp:start x="7558" y="1964"/>
                <wp:lineTo x="5569" y="2356"/>
                <wp:lineTo x="3580" y="4124"/>
                <wp:lineTo x="3580" y="5498"/>
                <wp:lineTo x="796" y="10604"/>
                <wp:lineTo x="796" y="11389"/>
                <wp:lineTo x="5370" y="19244"/>
                <wp:lineTo x="15912" y="19244"/>
                <wp:lineTo x="19890" y="11782"/>
                <wp:lineTo x="20685" y="11782"/>
                <wp:lineTo x="20486" y="10604"/>
                <wp:lineTo x="15514" y="1964"/>
                <wp:lineTo x="7558" y="1964"/>
              </wp:wrapPolygon>
            </wp:wrapThrough>
            <wp:docPr id="18" name="Picture 18"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ongrk\Work Folders\Desktop\Strategy.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68830" cy="2095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65E543" w14:textId="27F73CEA" w:rsidR="00FA5EC2" w:rsidRDefault="00FA5EC2" w:rsidP="00FA5EC2">
      <w:pPr>
        <w:spacing w:after="0"/>
      </w:pPr>
      <w:r w:rsidRPr="00127D16">
        <w:rPr>
          <w:noProof/>
          <w:lang w:val="en-GB" w:eastAsia="en-GB"/>
        </w:rPr>
        <w:drawing>
          <wp:anchor distT="0" distB="0" distL="114300" distR="114300" simplePos="0" relativeHeight="251665408" behindDoc="0" locked="0" layoutInCell="1" allowOverlap="1" wp14:anchorId="061CDC3F" wp14:editId="2F1ADD7D">
            <wp:simplePos x="0" y="0"/>
            <wp:positionH relativeFrom="margin">
              <wp:posOffset>249555</wp:posOffset>
            </wp:positionH>
            <wp:positionV relativeFrom="paragraph">
              <wp:posOffset>-85090</wp:posOffset>
            </wp:positionV>
            <wp:extent cx="1976755" cy="1976755"/>
            <wp:effectExtent l="0" t="0" r="0" b="0"/>
            <wp:wrapThrough wrapText="bothSides">
              <wp:wrapPolygon edited="0">
                <wp:start x="6037" y="1873"/>
                <wp:lineTo x="1457" y="10408"/>
                <wp:lineTo x="1457" y="11657"/>
                <wp:lineTo x="6037" y="19359"/>
                <wp:lineTo x="16445" y="19359"/>
                <wp:lineTo x="21024" y="11657"/>
                <wp:lineTo x="21024" y="10408"/>
                <wp:lineTo x="16445" y="1873"/>
                <wp:lineTo x="6037" y="1873"/>
              </wp:wrapPolygon>
            </wp:wrapThrough>
            <wp:docPr id="11" name="Picture 11"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ongrk\Work Folders\Desktop\Capability Building.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6755" cy="1976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16B8">
        <w:t xml:space="preserve"> </w:t>
      </w:r>
    </w:p>
    <w:p w14:paraId="2C190200" w14:textId="77777777" w:rsidR="00FA5EC2" w:rsidRDefault="00FA5EC2" w:rsidP="00FA5EC2">
      <w:pPr>
        <w:spacing w:after="0"/>
      </w:pPr>
    </w:p>
    <w:p w14:paraId="566E787D" w14:textId="77777777" w:rsidR="00FA5EC2" w:rsidRDefault="00FA5EC2" w:rsidP="00FA5EC2">
      <w:pPr>
        <w:spacing w:after="0"/>
      </w:pPr>
      <w:r>
        <w:t xml:space="preserve"> </w:t>
      </w:r>
      <w:r>
        <w:tab/>
      </w:r>
      <w:r>
        <w:tab/>
      </w:r>
      <w:r>
        <w:tab/>
      </w:r>
    </w:p>
    <w:p w14:paraId="67113FFB" w14:textId="77777777" w:rsidR="00FA5EC2" w:rsidRDefault="00FA5EC2" w:rsidP="00FA5EC2">
      <w:pPr>
        <w:spacing w:after="0"/>
      </w:pPr>
    </w:p>
    <w:p w14:paraId="1BD06198" w14:textId="77777777" w:rsidR="00FA5EC2" w:rsidRDefault="00FA5EC2" w:rsidP="00FA5EC2">
      <w:pPr>
        <w:spacing w:after="160" w:line="259" w:lineRule="auto"/>
      </w:pPr>
      <w:r>
        <w:rPr>
          <w:noProof/>
          <w:lang w:val="en-GB" w:eastAsia="en-GB"/>
        </w:rPr>
        <mc:AlternateContent>
          <mc:Choice Requires="wps">
            <w:drawing>
              <wp:anchor distT="45720" distB="45720" distL="114300" distR="114300" simplePos="0" relativeHeight="251659264" behindDoc="0" locked="0" layoutInCell="1" allowOverlap="1" wp14:anchorId="3C666FD1" wp14:editId="6084F057">
                <wp:simplePos x="0" y="0"/>
                <wp:positionH relativeFrom="margin">
                  <wp:align>left</wp:align>
                </wp:positionH>
                <wp:positionV relativeFrom="paragraph">
                  <wp:posOffset>1024255</wp:posOffset>
                </wp:positionV>
                <wp:extent cx="2491740" cy="1404620"/>
                <wp:effectExtent l="0" t="0" r="0" b="0"/>
                <wp:wrapThrough wrapText="bothSides">
                  <wp:wrapPolygon edited="0">
                    <wp:start x="495" y="0"/>
                    <wp:lineTo x="495" y="20672"/>
                    <wp:lineTo x="20972" y="20672"/>
                    <wp:lineTo x="20972" y="0"/>
                    <wp:lineTo x="495" y="0"/>
                  </wp:wrapPolygon>
                </wp:wrapThrough>
                <wp:docPr id="217" name="Text Box 2" descr="89% of entities reported substantial or higher implement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1740" cy="1404620"/>
                        </a:xfrm>
                        <a:prstGeom prst="rect">
                          <a:avLst/>
                        </a:prstGeom>
                        <a:noFill/>
                        <a:ln w="9525">
                          <a:noFill/>
                          <a:miter lim="800000"/>
                          <a:headEnd/>
                          <a:tailEnd/>
                        </a:ln>
                      </wps:spPr>
                      <wps:txbx>
                        <w:txbxContent>
                          <w:p w14:paraId="7014E5FE" w14:textId="77777777" w:rsidR="00FA5EC2" w:rsidRPr="00F7574D" w:rsidRDefault="00FA5EC2" w:rsidP="00FA5EC2">
                            <w:pPr>
                              <w:jc w:val="center"/>
                              <w:rPr>
                                <w:b/>
                              </w:rPr>
                            </w:pPr>
                            <w:r w:rsidRPr="00F7574D">
                              <w:rPr>
                                <w:b/>
                              </w:rPr>
                              <w:t>89% of entities reported substantial</w:t>
                            </w:r>
                            <w:r>
                              <w:rPr>
                                <w:b/>
                              </w:rPr>
                              <w:t xml:space="preserve"> or higher</w:t>
                            </w:r>
                            <w:r w:rsidRPr="00F7574D">
                              <w:rPr>
                                <w:b/>
                              </w:rPr>
                              <w:t xml:space="preserve"> implementation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666FD1" id="_x0000_t202" coordsize="21600,21600" o:spt="202" path="m,l,21600r21600,l21600,xe">
                <v:stroke joinstyle="miter"/>
                <v:path gradientshapeok="t" o:connecttype="rect"/>
              </v:shapetype>
              <v:shape id="Text Box 2" o:spid="_x0000_s1026" type="#_x0000_t202" alt="89% of entities reported substantial or higher implementation" style="position:absolute;margin-left:0;margin-top:80.65pt;width:196.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" filled="f" stroked="f">
                <v:textbox style="mso-fit-shape-to-text:t">
                  <w:txbxContent>
                    <w:p w14:paraId="7014E5FE" w14:textId="77777777" w:rsidR="00FA5EC2" w:rsidRPr="00F7574D" w:rsidRDefault="00FA5EC2" w:rsidP="00FA5EC2">
                      <w:pPr>
                        <w:jc w:val="center"/>
                        <w:rPr>
                          <w:b/>
                        </w:rPr>
                      </w:pPr>
                      <w:r w:rsidRPr="00F7574D">
                        <w:rPr>
                          <w:b/>
                        </w:rPr>
                        <w:t>89% of entities reported substantial</w:t>
                      </w:r>
                      <w:r>
                        <w:rPr>
                          <w:b/>
                        </w:rPr>
                        <w:t xml:space="preserve"> or higher</w:t>
                      </w:r>
                      <w:r w:rsidRPr="00F7574D">
                        <w:rPr>
                          <w:b/>
                        </w:rPr>
                        <w:t xml:space="preserve"> implementation</w:t>
                      </w:r>
                    </w:p>
                  </w:txbxContent>
                </v:textbox>
                <w10:wrap type="through" anchorx="margin"/>
              </v:shape>
            </w:pict>
          </mc:Fallback>
        </mc:AlternateContent>
      </w:r>
      <w:r w:rsidRPr="00127D16">
        <w:rPr>
          <w:noProof/>
          <w:lang w:val="en-GB" w:eastAsia="en-GB"/>
        </w:rPr>
        <mc:AlternateContent>
          <mc:Choice Requires="wps">
            <w:drawing>
              <wp:anchor distT="45720" distB="45720" distL="114300" distR="114300" simplePos="0" relativeHeight="251671552" behindDoc="0" locked="0" layoutInCell="1" allowOverlap="1" wp14:anchorId="626E7F9C" wp14:editId="456056E8">
                <wp:simplePos x="0" y="0"/>
                <wp:positionH relativeFrom="margin">
                  <wp:posOffset>3218815</wp:posOffset>
                </wp:positionH>
                <wp:positionV relativeFrom="paragraph">
                  <wp:posOffset>3490595</wp:posOffset>
                </wp:positionV>
                <wp:extent cx="2796540" cy="1404620"/>
                <wp:effectExtent l="0" t="0" r="0" b="0"/>
                <wp:wrapThrough wrapText="bothSides">
                  <wp:wrapPolygon edited="0">
                    <wp:start x="441" y="0"/>
                    <wp:lineTo x="441" y="21089"/>
                    <wp:lineTo x="21041" y="21089"/>
                    <wp:lineTo x="21041" y="0"/>
                    <wp:lineTo x="441" y="0"/>
                  </wp:wrapPolygon>
                </wp:wrapThrough>
                <wp:docPr id="21" name="Text Box 2" descr="The Government has introduced a range of initiatives to improve cyber security and increase the overall cyber security capability of entiti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6540" cy="1404620"/>
                        </a:xfrm>
                        <a:prstGeom prst="rect">
                          <a:avLst/>
                        </a:prstGeom>
                        <a:noFill/>
                        <a:ln w="9525">
                          <a:noFill/>
                          <a:miter lim="800000"/>
                          <a:headEnd/>
                          <a:tailEnd/>
                        </a:ln>
                      </wps:spPr>
                      <wps:txbx>
                        <w:txbxContent>
                          <w:p w14:paraId="56265DDD" w14:textId="77777777" w:rsidR="00FA5EC2" w:rsidRPr="00127D16" w:rsidRDefault="00FA5EC2" w:rsidP="00FA5EC2">
                            <w:pPr>
                              <w:jc w:val="center"/>
                              <w:rPr>
                                <w:b/>
                              </w:rPr>
                            </w:pPr>
                            <w:r w:rsidRPr="00563555">
                              <w:rPr>
                                <w:b/>
                              </w:rPr>
                              <w:t>The Government has introduced a range of initiatives to improve cyber security and increase the overall cyber security capability of entities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6E7F9C" id="_x0000_s1027" type="#_x0000_t202" alt="The Government has introduced a range of initiatives to improve cyber security and increase the overall cyber security capability of entities" style="position:absolute;margin-left:253.45pt;margin-top:274.85pt;width:220.2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" filled="f" stroked="f">
                <v:textbox style="mso-fit-shape-to-text:t">
                  <w:txbxContent>
                    <w:p w14:paraId="56265DDD" w14:textId="77777777" w:rsidR="00FA5EC2" w:rsidRPr="00127D16" w:rsidRDefault="00FA5EC2" w:rsidP="00FA5EC2">
                      <w:pPr>
                        <w:jc w:val="center"/>
                        <w:rPr>
                          <w:b/>
                        </w:rPr>
                      </w:pPr>
                      <w:r w:rsidRPr="00563555">
                        <w:rPr>
                          <w:b/>
                        </w:rPr>
                        <w:t>The Government has introduced a range of initiatives to improve cyber security and increase the overall cyber security capability of entities</w:t>
                      </w:r>
                    </w:p>
                  </w:txbxContent>
                </v:textbox>
                <w10:wrap type="through" anchorx="margin"/>
              </v:shape>
            </w:pict>
          </mc:Fallback>
        </mc:AlternateContent>
      </w:r>
      <w:r w:rsidRPr="00127D16">
        <w:rPr>
          <w:noProof/>
          <w:lang w:val="en-GB" w:eastAsia="en-GB"/>
        </w:rPr>
        <mc:AlternateContent>
          <mc:Choice Requires="wps">
            <w:drawing>
              <wp:anchor distT="45720" distB="45720" distL="114300" distR="114300" simplePos="0" relativeHeight="251668480" behindDoc="0" locked="0" layoutInCell="1" allowOverlap="1" wp14:anchorId="7A2A258E" wp14:editId="0613339A">
                <wp:simplePos x="0" y="0"/>
                <wp:positionH relativeFrom="margin">
                  <wp:posOffset>-113665</wp:posOffset>
                </wp:positionH>
                <wp:positionV relativeFrom="paragraph">
                  <wp:posOffset>6031230</wp:posOffset>
                </wp:positionV>
                <wp:extent cx="2796540" cy="1404620"/>
                <wp:effectExtent l="0" t="0" r="0" b="0"/>
                <wp:wrapThrough wrapText="bothSides">
                  <wp:wrapPolygon edited="0">
                    <wp:start x="441" y="0"/>
                    <wp:lineTo x="441" y="20923"/>
                    <wp:lineTo x="21041" y="20923"/>
                    <wp:lineTo x="21041" y="0"/>
                    <wp:lineTo x="441" y="0"/>
                  </wp:wrapPolygon>
                </wp:wrapThrough>
                <wp:docPr id="22" name="Text Box 2" descr="Entities reported progress against implementation of the PSPF reform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6540" cy="1404620"/>
                        </a:xfrm>
                        <a:prstGeom prst="rect">
                          <a:avLst/>
                        </a:prstGeom>
                        <a:noFill/>
                        <a:ln w="9525">
                          <a:noFill/>
                          <a:miter lim="800000"/>
                          <a:headEnd/>
                          <a:tailEnd/>
                        </a:ln>
                      </wps:spPr>
                      <wps:txbx>
                        <w:txbxContent>
                          <w:p w14:paraId="29A71FEB" w14:textId="77777777" w:rsidR="00FA5EC2" w:rsidRPr="00F7574D" w:rsidRDefault="00FA5EC2" w:rsidP="00FA5EC2">
                            <w:pPr>
                              <w:jc w:val="center"/>
                              <w:rPr>
                                <w:b/>
                              </w:rPr>
                            </w:pPr>
                            <w:r w:rsidRPr="00D26768">
                              <w:rPr>
                                <w:b/>
                              </w:rPr>
                              <w:t>Entities reported progress against implementation of the PSPF reforms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2A258E" id="_x0000_s1028" type="#_x0000_t202" alt="Entities reported progress against implementation of the PSPF reforms" style="position:absolute;margin-left:-8.95pt;margin-top:474.9pt;width:220.2pt;height:110.6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" filled="f" stroked="f">
                <v:textbox style="mso-fit-shape-to-text:t">
                  <w:txbxContent>
                    <w:p w14:paraId="29A71FEB" w14:textId="77777777" w:rsidR="00FA5EC2" w:rsidRPr="00F7574D" w:rsidRDefault="00FA5EC2" w:rsidP="00FA5EC2">
                      <w:pPr>
                        <w:jc w:val="center"/>
                        <w:rPr>
                          <w:b/>
                        </w:rPr>
                      </w:pPr>
                      <w:r w:rsidRPr="00D26768">
                        <w:rPr>
                          <w:b/>
                        </w:rPr>
                        <w:t>Entities reported progress against implementation of the PSPF reforms</w:t>
                      </w:r>
                    </w:p>
                  </w:txbxContent>
                </v:textbox>
                <w10:wrap type="through" anchorx="margin"/>
              </v:shape>
            </w:pict>
          </mc:Fallback>
        </mc:AlternateContent>
      </w:r>
      <w:r w:rsidRPr="00127D16">
        <w:rPr>
          <w:noProof/>
          <w:lang w:val="en-GB" w:eastAsia="en-GB"/>
        </w:rPr>
        <w:drawing>
          <wp:anchor distT="0" distB="0" distL="114300" distR="114300" simplePos="0" relativeHeight="251667456" behindDoc="0" locked="0" layoutInCell="1" allowOverlap="1" wp14:anchorId="2DF8ECEE" wp14:editId="295FC894">
            <wp:simplePos x="0" y="0"/>
            <wp:positionH relativeFrom="margin">
              <wp:posOffset>3620770</wp:posOffset>
            </wp:positionH>
            <wp:positionV relativeFrom="paragraph">
              <wp:posOffset>4176395</wp:posOffset>
            </wp:positionV>
            <wp:extent cx="1967230" cy="1967230"/>
            <wp:effectExtent l="0" t="0" r="0" b="0"/>
            <wp:wrapThrough wrapText="bothSides">
              <wp:wrapPolygon edited="0">
                <wp:start x="8576" y="3138"/>
                <wp:lineTo x="5438" y="3556"/>
                <wp:lineTo x="3138" y="5020"/>
                <wp:lineTo x="3138" y="6903"/>
                <wp:lineTo x="1255" y="10249"/>
                <wp:lineTo x="628" y="11713"/>
                <wp:lineTo x="628" y="12968"/>
                <wp:lineTo x="5020" y="20708"/>
                <wp:lineTo x="15478" y="20708"/>
                <wp:lineTo x="19243" y="13596"/>
                <wp:lineTo x="20080" y="13178"/>
                <wp:lineTo x="20080" y="11713"/>
                <wp:lineTo x="15269" y="3138"/>
                <wp:lineTo x="8576" y="3138"/>
              </wp:wrapPolygon>
            </wp:wrapThrough>
            <wp:docPr id="13" name="Picture 13"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ongrk\Work Folders\Desktop\Enabl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67230" cy="19672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45720" distB="45720" distL="114300" distR="114300" simplePos="0" relativeHeight="251662336" behindDoc="0" locked="0" layoutInCell="1" allowOverlap="1" wp14:anchorId="20DB48B5" wp14:editId="11600008">
                <wp:simplePos x="0" y="0"/>
                <wp:positionH relativeFrom="margin">
                  <wp:posOffset>3218180</wp:posOffset>
                </wp:positionH>
                <wp:positionV relativeFrom="paragraph">
                  <wp:posOffset>6087745</wp:posOffset>
                </wp:positionV>
                <wp:extent cx="2796540" cy="1404620"/>
                <wp:effectExtent l="0" t="0" r="0" b="0"/>
                <wp:wrapThrough wrapText="bothSides">
                  <wp:wrapPolygon edited="0">
                    <wp:start x="441" y="0"/>
                    <wp:lineTo x="441" y="20923"/>
                    <wp:lineTo x="21041" y="20923"/>
                    <wp:lineTo x="21041" y="0"/>
                    <wp:lineTo x="441" y="0"/>
                  </wp:wrapPolygon>
                </wp:wrapThrough>
                <wp:docPr id="17" name="Text Box 2" descr="Entities with the lowest levels of maturity have been referred to relevant entities to support uplift effort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6540" cy="1404620"/>
                        </a:xfrm>
                        <a:prstGeom prst="rect">
                          <a:avLst/>
                        </a:prstGeom>
                        <a:noFill/>
                        <a:ln w="9525">
                          <a:noFill/>
                          <a:miter lim="800000"/>
                          <a:headEnd/>
                          <a:tailEnd/>
                        </a:ln>
                      </wps:spPr>
                      <wps:txbx>
                        <w:txbxContent>
                          <w:p w14:paraId="4FD8EA97" w14:textId="77777777" w:rsidR="00FA5EC2" w:rsidRPr="0028204C" w:rsidRDefault="00FA5EC2" w:rsidP="00FA5EC2">
                            <w:pPr>
                              <w:jc w:val="center"/>
                              <w:rPr>
                                <w:b/>
                              </w:rPr>
                            </w:pPr>
                            <w:r w:rsidRPr="00563555">
                              <w:rPr>
                                <w:b/>
                              </w:rPr>
                              <w:t>Entities with the lowest levels of maturity have been referred to relevant entities to support uplift efforts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DB48B5" id="_x0000_s1029" type="#_x0000_t202" alt="Entities with the lowest levels of maturity have been referred to relevant entities to support uplift efforts" style="position:absolute;margin-left:253.4pt;margin-top:479.35pt;width:220.2pt;height:110.6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" filled="f" stroked="f">
                <v:textbox style="mso-fit-shape-to-text:t">
                  <w:txbxContent>
                    <w:p w14:paraId="4FD8EA97" w14:textId="77777777" w:rsidR="00FA5EC2" w:rsidRPr="0028204C" w:rsidRDefault="00FA5EC2" w:rsidP="00FA5EC2">
                      <w:pPr>
                        <w:jc w:val="center"/>
                        <w:rPr>
                          <w:b/>
                        </w:rPr>
                      </w:pPr>
                      <w:r w:rsidRPr="00563555">
                        <w:rPr>
                          <w:b/>
                        </w:rPr>
                        <w:t>Entities with the lowest levels of maturity have been referred to relevant entities to support uplift efforts</w:t>
                      </w:r>
                    </w:p>
                  </w:txbxContent>
                </v:textbox>
                <w10:wrap type="through" anchorx="margin"/>
              </v:shape>
            </w:pict>
          </mc:Fallback>
        </mc:AlternateContent>
      </w:r>
      <w:r w:rsidRPr="00127D16">
        <w:rPr>
          <w:noProof/>
          <w:lang w:val="en-GB" w:eastAsia="en-GB"/>
        </w:rPr>
        <w:drawing>
          <wp:anchor distT="0" distB="0" distL="114300" distR="114300" simplePos="0" relativeHeight="251666432" behindDoc="0" locked="0" layoutInCell="1" allowOverlap="1" wp14:anchorId="4F0400A0" wp14:editId="5A9E9AD9">
            <wp:simplePos x="0" y="0"/>
            <wp:positionH relativeFrom="page">
              <wp:posOffset>867410</wp:posOffset>
            </wp:positionH>
            <wp:positionV relativeFrom="paragraph">
              <wp:posOffset>4176395</wp:posOffset>
            </wp:positionV>
            <wp:extent cx="1965325" cy="1967230"/>
            <wp:effectExtent l="0" t="0" r="0" b="0"/>
            <wp:wrapThrough wrapText="bothSides">
              <wp:wrapPolygon edited="0">
                <wp:start x="4606" y="2301"/>
                <wp:lineTo x="0" y="10668"/>
                <wp:lineTo x="0" y="11086"/>
                <wp:lineTo x="4606" y="19662"/>
                <wp:lineTo x="15075" y="19662"/>
                <wp:lineTo x="18843" y="12968"/>
                <wp:lineTo x="19681" y="10877"/>
                <wp:lineTo x="19053" y="9413"/>
                <wp:lineTo x="16959" y="6066"/>
                <wp:lineTo x="15075" y="2301"/>
                <wp:lineTo x="4606" y="2301"/>
              </wp:wrapPolygon>
            </wp:wrapThrough>
            <wp:docPr id="19" name="Picture 19"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ongrk\Work Folders\Desktop\Discover What Were Doing.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65325" cy="19672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27D16">
        <w:rPr>
          <w:noProof/>
          <w:lang w:val="en-GB" w:eastAsia="en-GB"/>
        </w:rPr>
        <w:drawing>
          <wp:anchor distT="0" distB="0" distL="114300" distR="114300" simplePos="0" relativeHeight="251670528" behindDoc="0" locked="0" layoutInCell="1" allowOverlap="1" wp14:anchorId="6C7BA2BD" wp14:editId="550E870C">
            <wp:simplePos x="0" y="0"/>
            <wp:positionH relativeFrom="page">
              <wp:posOffset>4311650</wp:posOffset>
            </wp:positionH>
            <wp:positionV relativeFrom="paragraph">
              <wp:posOffset>1814195</wp:posOffset>
            </wp:positionV>
            <wp:extent cx="1809750" cy="1797050"/>
            <wp:effectExtent l="0" t="0" r="0" b="0"/>
            <wp:wrapThrough wrapText="bothSides">
              <wp:wrapPolygon edited="0">
                <wp:start x="4775" y="687"/>
                <wp:lineTo x="682" y="8472"/>
                <wp:lineTo x="0" y="10075"/>
                <wp:lineTo x="0" y="10991"/>
                <wp:lineTo x="227" y="12136"/>
                <wp:lineTo x="4775" y="20379"/>
                <wp:lineTo x="16371" y="20379"/>
                <wp:lineTo x="20918" y="12136"/>
                <wp:lineTo x="21373" y="10762"/>
                <wp:lineTo x="21373" y="10075"/>
                <wp:lineTo x="20691" y="8472"/>
                <wp:lineTo x="16371" y="687"/>
                <wp:lineTo x="4775" y="687"/>
              </wp:wrapPolygon>
            </wp:wrapThrough>
            <wp:docPr id="20" name="Picture 20"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ongrk\Work Folders\Desktop\Connect With The Community.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1797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45720" distB="45720" distL="114300" distR="114300" simplePos="0" relativeHeight="251660288" behindDoc="0" locked="0" layoutInCell="1" allowOverlap="1" wp14:anchorId="68BBFD7D" wp14:editId="4EE223B5">
                <wp:simplePos x="0" y="0"/>
                <wp:positionH relativeFrom="column">
                  <wp:posOffset>303530</wp:posOffset>
                </wp:positionH>
                <wp:positionV relativeFrom="paragraph">
                  <wp:posOffset>3546475</wp:posOffset>
                </wp:positionV>
                <wp:extent cx="1943100" cy="1404620"/>
                <wp:effectExtent l="0" t="0" r="0" b="0"/>
                <wp:wrapThrough wrapText="bothSides">
                  <wp:wrapPolygon edited="0">
                    <wp:start x="635" y="0"/>
                    <wp:lineTo x="635" y="20672"/>
                    <wp:lineTo x="20753" y="20672"/>
                    <wp:lineTo x="20753" y="0"/>
                    <wp:lineTo x="635" y="0"/>
                  </wp:wrapPolygon>
                </wp:wrapThrough>
                <wp:docPr id="12" name="Text Box 2" descr="Cyber remains the most significant threat to entiti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1404620"/>
                        </a:xfrm>
                        <a:prstGeom prst="rect">
                          <a:avLst/>
                        </a:prstGeom>
                        <a:noFill/>
                        <a:ln w="9525">
                          <a:noFill/>
                          <a:miter lim="800000"/>
                          <a:headEnd/>
                          <a:tailEnd/>
                        </a:ln>
                      </wps:spPr>
                      <wps:txbx>
                        <w:txbxContent>
                          <w:p w14:paraId="26AE908C" w14:textId="77777777" w:rsidR="00FA5EC2" w:rsidRPr="00F7574D" w:rsidRDefault="00FA5EC2" w:rsidP="00FA5EC2">
                            <w:pPr>
                              <w:jc w:val="center"/>
                              <w:rPr>
                                <w:b/>
                              </w:rPr>
                            </w:pPr>
                            <w:r w:rsidRPr="00563555">
                              <w:rPr>
                                <w:b/>
                              </w:rPr>
                              <w:t>Cyber remains the most significant threat to entities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BBFD7D" id="_x0000_s1030" type="#_x0000_t202" alt="Cyber remains the most significant threat to entities" style="position:absolute;margin-left:23.9pt;margin-top:279.25pt;width:153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" filled="f" stroked="f">
                <v:textbox style="mso-fit-shape-to-text:t">
                  <w:txbxContent>
                    <w:p w14:paraId="26AE908C" w14:textId="77777777" w:rsidR="00FA5EC2" w:rsidRPr="00F7574D" w:rsidRDefault="00FA5EC2" w:rsidP="00FA5EC2">
                      <w:pPr>
                        <w:jc w:val="center"/>
                        <w:rPr>
                          <w:b/>
                        </w:rPr>
                      </w:pPr>
                      <w:r w:rsidRPr="00563555">
                        <w:rPr>
                          <w:b/>
                        </w:rPr>
                        <w:t>Cyber remains the most significant threat to entities</w:t>
                      </w:r>
                    </w:p>
                  </w:txbxContent>
                </v:textbox>
                <w10:wrap type="through"/>
              </v:shape>
            </w:pict>
          </mc:Fallback>
        </mc:AlternateContent>
      </w:r>
      <w:r>
        <w:rPr>
          <w:noProof/>
          <w:lang w:val="en-GB" w:eastAsia="en-GB"/>
        </w:rPr>
        <mc:AlternateContent>
          <mc:Choice Requires="wps">
            <w:drawing>
              <wp:anchor distT="45720" distB="45720" distL="114300" distR="114300" simplePos="0" relativeHeight="251661312" behindDoc="0" locked="0" layoutInCell="1" allowOverlap="1" wp14:anchorId="6ED0C641" wp14:editId="6BA6DEFD">
                <wp:simplePos x="0" y="0"/>
                <wp:positionH relativeFrom="margin">
                  <wp:posOffset>3218815</wp:posOffset>
                </wp:positionH>
                <wp:positionV relativeFrom="paragraph">
                  <wp:posOffset>1017270</wp:posOffset>
                </wp:positionV>
                <wp:extent cx="2796540" cy="1404620"/>
                <wp:effectExtent l="0" t="0" r="0" b="0"/>
                <wp:wrapThrough wrapText="bothSides">
                  <wp:wrapPolygon edited="0">
                    <wp:start x="441" y="0"/>
                    <wp:lineTo x="441" y="20923"/>
                    <wp:lineTo x="21041" y="20923"/>
                    <wp:lineTo x="21041" y="0"/>
                    <wp:lineTo x="441" y="0"/>
                  </wp:wrapPolygon>
                </wp:wrapThrough>
                <wp:docPr id="16" name="Text Box 2" descr="The majority of entities have plans and timeframes in place for continuous improvemen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6540" cy="1404620"/>
                        </a:xfrm>
                        <a:prstGeom prst="rect">
                          <a:avLst/>
                        </a:prstGeom>
                        <a:noFill/>
                        <a:ln w="9525">
                          <a:noFill/>
                          <a:miter lim="800000"/>
                          <a:headEnd/>
                          <a:tailEnd/>
                        </a:ln>
                      </wps:spPr>
                      <wps:txbx>
                        <w:txbxContent>
                          <w:p w14:paraId="265DB159" w14:textId="77777777" w:rsidR="00FA5EC2" w:rsidRPr="00F7574D" w:rsidRDefault="00FA5EC2" w:rsidP="00FA5EC2">
                            <w:pPr>
                              <w:jc w:val="center"/>
                              <w:rPr>
                                <w:b/>
                              </w:rPr>
                            </w:pPr>
                            <w:r>
                              <w:rPr>
                                <w:b/>
                              </w:rPr>
                              <w:t xml:space="preserve">The majority of entities </w:t>
                            </w:r>
                            <w:r w:rsidRPr="00CC2DE0">
                              <w:rPr>
                                <w:b/>
                              </w:rPr>
                              <w:t xml:space="preserve">have plans and timeframes in place </w:t>
                            </w:r>
                            <w:r>
                              <w:rPr>
                                <w:b/>
                              </w:rPr>
                              <w:t>for continuous improvement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D0C641" id="_x0000_s1031" type="#_x0000_t202" alt="The majority of entities have plans and timeframes in place for continuous improvement" style="position:absolute;margin-left:253.45pt;margin-top:80.1pt;width:220.2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" filled="f" stroked="f">
                <v:textbox style="mso-fit-shape-to-text:t">
                  <w:txbxContent>
                    <w:p w14:paraId="265DB159" w14:textId="77777777" w:rsidR="00FA5EC2" w:rsidRPr="00F7574D" w:rsidRDefault="00FA5EC2" w:rsidP="00FA5EC2">
                      <w:pPr>
                        <w:jc w:val="center"/>
                        <w:rPr>
                          <w:b/>
                        </w:rPr>
                      </w:pPr>
                      <w:r>
                        <w:rPr>
                          <w:b/>
                        </w:rPr>
                        <w:t xml:space="preserve">The majority of entities </w:t>
                      </w:r>
                      <w:r w:rsidRPr="00CC2DE0">
                        <w:rPr>
                          <w:b/>
                        </w:rPr>
                        <w:t xml:space="preserve">have plans and timeframes in place </w:t>
                      </w:r>
                      <w:r>
                        <w:rPr>
                          <w:b/>
                        </w:rPr>
                        <w:t>for continuous improvement</w:t>
                      </w:r>
                    </w:p>
                  </w:txbxContent>
                </v:textbox>
                <w10:wrap type="through" anchorx="margin"/>
              </v:shape>
            </w:pict>
          </mc:Fallback>
        </mc:AlternateContent>
      </w:r>
      <w:r w:rsidRPr="001316B8">
        <w:rPr>
          <w:noProof/>
          <w:lang w:val="en-GB" w:eastAsia="en-GB"/>
        </w:rPr>
        <w:drawing>
          <wp:anchor distT="0" distB="0" distL="114300" distR="114300" simplePos="0" relativeHeight="251664384" behindDoc="0" locked="0" layoutInCell="1" allowOverlap="1" wp14:anchorId="2F62B070" wp14:editId="34AFBDBB">
            <wp:simplePos x="0" y="0"/>
            <wp:positionH relativeFrom="margin">
              <wp:posOffset>175260</wp:posOffset>
            </wp:positionH>
            <wp:positionV relativeFrom="paragraph">
              <wp:posOffset>1649730</wp:posOffset>
            </wp:positionV>
            <wp:extent cx="2125980" cy="2125980"/>
            <wp:effectExtent l="0" t="0" r="0" b="0"/>
            <wp:wrapThrough wrapText="bothSides">
              <wp:wrapPolygon edited="0">
                <wp:start x="6000" y="1935"/>
                <wp:lineTo x="1355" y="10645"/>
                <wp:lineTo x="3290" y="14710"/>
                <wp:lineTo x="6000" y="19355"/>
                <wp:lineTo x="16452" y="19355"/>
                <wp:lineTo x="20710" y="11613"/>
                <wp:lineTo x="21097" y="10645"/>
                <wp:lineTo x="16452" y="1935"/>
                <wp:lineTo x="6000" y="1935"/>
              </wp:wrapPolygon>
            </wp:wrapThrough>
            <wp:docPr id="3" name="Picture 3"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ngrk\Work Folders\Desktop\20#456795DOC Cyber Threa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25980" cy="2125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27D16">
        <w:t xml:space="preserve">  </w:t>
      </w:r>
      <w:r>
        <w:br w:type="page"/>
      </w:r>
    </w:p>
    <w:p w14:paraId="243CBCCB" w14:textId="77777777" w:rsidR="00FA5EC2" w:rsidRPr="00FA5EC2" w:rsidRDefault="00FA5EC2" w:rsidP="00FA5EC2">
      <w:pPr>
        <w:pStyle w:val="Heading3"/>
      </w:pPr>
      <w:bookmarkStart w:id="17" w:name="_Toc57712012"/>
      <w:bookmarkStart w:id="18" w:name="_Toc59540640"/>
      <w:r w:rsidRPr="00FA5EC2">
        <w:lastRenderedPageBreak/>
        <w:t>Overall security assessment results</w:t>
      </w:r>
      <w:bookmarkEnd w:id="17"/>
      <w:bookmarkEnd w:id="18"/>
    </w:p>
    <w:p w14:paraId="6FA15232" w14:textId="77777777" w:rsidR="00FA5EC2" w:rsidRDefault="00FA5EC2" w:rsidP="00FA5EC2">
      <w:pPr>
        <w:spacing w:after="0"/>
      </w:pPr>
      <w:r w:rsidRPr="00D26768">
        <w:t xml:space="preserve">In the 2018-19 reporting period, all 98 NCCEs submitted their annual assessment report. There is substantial implementation overall of the PSPF policies, with 89% of entities reporting a ‘developing’ or higher level of maturity. </w:t>
      </w:r>
      <w:r w:rsidRPr="00D26768">
        <w:rPr>
          <w:color w:val="000000"/>
        </w:rPr>
        <w:t>While some entities require additional supports, these results</w:t>
      </w:r>
      <w:r w:rsidRPr="00D26768">
        <w:t xml:space="preserve"> demonstrate that </w:t>
      </w:r>
      <w:r w:rsidRPr="00D26768">
        <w:rPr>
          <w:color w:val="000000"/>
        </w:rPr>
        <w:t>entities are working to continually improve their security posture, and demonstrate a sound understanding of the threat environment in which they operate</w:t>
      </w:r>
      <w:r w:rsidRPr="00C1750E">
        <w:rPr>
          <w:color w:val="000000"/>
        </w:rPr>
        <w:t>.</w:t>
      </w:r>
      <w:r>
        <w:rPr>
          <w:color w:val="000000"/>
        </w:rPr>
        <w:t xml:space="preserve"> </w:t>
      </w:r>
    </w:p>
    <w:p w14:paraId="1ADB2FDE" w14:textId="77777777" w:rsidR="00FA5EC2" w:rsidRDefault="00FA5EC2" w:rsidP="00FA5EC2">
      <w:pPr>
        <w:spacing w:after="0"/>
      </w:pPr>
    </w:p>
    <w:p w14:paraId="65C81A1C" w14:textId="77777777" w:rsidR="00FA5EC2" w:rsidRDefault="00FA5EC2" w:rsidP="00FA5EC2">
      <w:pPr>
        <w:spacing w:after="0"/>
      </w:pPr>
      <w:r>
        <w:t>Figure 1</w:t>
      </w:r>
      <w:r w:rsidRPr="00437084">
        <w:t xml:space="preserve"> provides a </w:t>
      </w:r>
      <w:r>
        <w:t>snapshot of the distribution of the consolidated overall maturity levels reported by all</w:t>
      </w:r>
      <w:r w:rsidRPr="00437084">
        <w:t xml:space="preserve"> NCCE</w:t>
      </w:r>
      <w:r>
        <w:t xml:space="preserve">s. These percentages are not average figures. </w:t>
      </w:r>
    </w:p>
    <w:p w14:paraId="489E826E" w14:textId="77777777" w:rsidR="00FA5EC2" w:rsidRDefault="00FA5EC2" w:rsidP="00FA5EC2">
      <w:pPr>
        <w:spacing w:after="0"/>
      </w:pPr>
    </w:p>
    <w:p w14:paraId="03FEA323" w14:textId="0C6F48CA" w:rsidR="00FA5EC2" w:rsidRDefault="00FA5EC2" w:rsidP="00FA5EC2">
      <w:pPr>
        <w:spacing w:after="0"/>
      </w:pPr>
      <w:r w:rsidRPr="009401FB">
        <w:rPr>
          <w:b/>
        </w:rPr>
        <w:t>Figure 1. Overall PSPF security matur</w:t>
      </w:r>
      <w:r>
        <w:rPr>
          <w:b/>
        </w:rPr>
        <w:t xml:space="preserve">ation </w:t>
      </w:r>
      <w:r w:rsidRPr="009401FB">
        <w:rPr>
          <w:b/>
        </w:rPr>
        <w:t xml:space="preserve"> </w:t>
      </w:r>
    </w:p>
    <w:p w14:paraId="56C7859F" w14:textId="1E74C7CB" w:rsidR="00FA5EC2" w:rsidRDefault="000714F4" w:rsidP="00FA5EC2">
      <w:pPr>
        <w:spacing w:after="0"/>
      </w:pPr>
      <w:bookmarkStart w:id="19" w:name="_Toc53435624"/>
      <w:r>
        <w:rPr>
          <w:noProof/>
          <w:lang w:val="en-GB" w:eastAsia="en-GB"/>
        </w:rPr>
        <w:drawing>
          <wp:inline distT="0" distB="0" distL="0" distR="0" wp14:anchorId="15AB3CD7" wp14:editId="44619DF4">
            <wp:extent cx="6486525" cy="2292350"/>
            <wp:effectExtent l="0" t="0" r="9525" b="0"/>
            <wp:docPr id="1" name="Picture 1" descr="Column graph with four columns representing Ad Hoc, Developing, Managing and Embedded. The graph maps results from 0% to 100%&#10;the Ad Hoc column sits at 11%&#10;The Developing column sits at 83%&#10;The Managing column sits at 5% &#10;The Embedded column sits at 1%" title="Figure 1. Overall PSPF Security matu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86525" cy="2292350"/>
                    </a:xfrm>
                    <a:prstGeom prst="rect">
                      <a:avLst/>
                    </a:prstGeom>
                    <a:noFill/>
                  </pic:spPr>
                </pic:pic>
              </a:graphicData>
            </a:graphic>
          </wp:inline>
        </w:drawing>
      </w:r>
      <w:r w:rsidR="00FA5EC2">
        <w:br/>
        <w:t xml:space="preserve">Figure 2 details the maturity of the 4 security outcomes, calculated by </w:t>
      </w:r>
      <w:r w:rsidR="00FA5EC2" w:rsidRPr="008B24F1">
        <w:t>consolidat</w:t>
      </w:r>
      <w:r w:rsidR="00FA5EC2">
        <w:t xml:space="preserve">ing the </w:t>
      </w:r>
      <w:r w:rsidR="00FA5EC2" w:rsidRPr="008B24F1">
        <w:t>maturity level</w:t>
      </w:r>
      <w:r w:rsidR="00FA5EC2">
        <w:t>s</w:t>
      </w:r>
      <w:r w:rsidR="00FA5EC2" w:rsidRPr="008B24F1">
        <w:t xml:space="preserve"> reported by each NCCE</w:t>
      </w:r>
      <w:r w:rsidR="00FA5EC2">
        <w:t xml:space="preserve"> for th</w:t>
      </w:r>
      <w:r w:rsidR="00FA5EC2" w:rsidRPr="008B24F1">
        <w:t>e 4 outcome maturity levels</w:t>
      </w:r>
      <w:r w:rsidR="00FA5EC2">
        <w:t xml:space="preserve">. </w:t>
      </w:r>
      <w:r w:rsidR="00FA5EC2" w:rsidRPr="0021626B">
        <w:t>T</w:t>
      </w:r>
      <w:r w:rsidR="00FA5EC2" w:rsidRPr="00A94F6D">
        <w:t>he</w:t>
      </w:r>
      <w:r w:rsidR="00FA5EC2">
        <w:t xml:space="preserve">se percentages are not averaged figures, instead demonstrating the percentage </w:t>
      </w:r>
      <w:r w:rsidR="00FA5EC2" w:rsidRPr="0021626B">
        <w:t>distribution</w:t>
      </w:r>
      <w:r w:rsidR="00FA5EC2">
        <w:t xml:space="preserve"> of the consolidated maturity levels</w:t>
      </w:r>
      <w:r w:rsidR="00FA5EC2" w:rsidRPr="0021626B">
        <w:t xml:space="preserve"> </w:t>
      </w:r>
      <w:r w:rsidR="00FA5EC2">
        <w:t>of the individual performances of the 98 NCCEs against the security outcomes</w:t>
      </w:r>
      <w:r w:rsidR="00FA5EC2" w:rsidRPr="0021626B">
        <w:t xml:space="preserve">. </w:t>
      </w:r>
    </w:p>
    <w:p w14:paraId="3F5E06EB" w14:textId="77777777" w:rsidR="00FA5EC2" w:rsidRDefault="00FA5EC2" w:rsidP="00FA5EC2">
      <w:pPr>
        <w:spacing w:after="0"/>
      </w:pPr>
    </w:p>
    <w:p w14:paraId="153C3D44" w14:textId="6238536F" w:rsidR="00FA5EC2" w:rsidRDefault="00FA5EC2" w:rsidP="00FA5EC2">
      <w:pPr>
        <w:rPr>
          <w:noProof/>
          <w:lang w:eastAsia="en-AU"/>
        </w:rPr>
      </w:pPr>
      <w:r>
        <w:rPr>
          <w:b/>
        </w:rPr>
        <w:t>Figure 2</w:t>
      </w:r>
      <w:r w:rsidRPr="009401FB">
        <w:rPr>
          <w:b/>
        </w:rPr>
        <w:t xml:space="preserve">. Overall </w:t>
      </w:r>
      <w:r>
        <w:rPr>
          <w:b/>
        </w:rPr>
        <w:t>maturity of 4 security outcomes</w:t>
      </w:r>
    </w:p>
    <w:p w14:paraId="217C06A4" w14:textId="1031FB33" w:rsidR="000714F4" w:rsidRDefault="000714F4" w:rsidP="00FA5EC2">
      <w:r>
        <w:rPr>
          <w:noProof/>
          <w:lang w:val="en-GB" w:eastAsia="en-GB"/>
        </w:rPr>
        <w:drawing>
          <wp:inline distT="0" distB="0" distL="0" distR="0" wp14:anchorId="0F420123" wp14:editId="3A3B02ED">
            <wp:extent cx="6535420" cy="2603500"/>
            <wp:effectExtent l="0" t="0" r="0" b="6350"/>
            <wp:docPr id="8" name="Picture 8" descr="Column graph with four columns representing Governance, Information, Personnel and Physical. The graph maps results from 0% to 100%. Four colours in the columns represent Ad Hoc (medium blue), Developing (dark blue), Managing (purple) and Embedded (light blue)&#10;" title="Figure 2. Overall maturity of 4 security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35420" cy="2603500"/>
                    </a:xfrm>
                    <a:prstGeom prst="rect">
                      <a:avLst/>
                    </a:prstGeom>
                    <a:noFill/>
                  </pic:spPr>
                </pic:pic>
              </a:graphicData>
            </a:graphic>
          </wp:inline>
        </w:drawing>
      </w:r>
    </w:p>
    <w:p w14:paraId="43070FA7" w14:textId="77777777" w:rsidR="00FA5EC2" w:rsidRDefault="00FA5EC2" w:rsidP="00FA5EC2">
      <w:r w:rsidRPr="000B0224">
        <w:t xml:space="preserve">The security governance outcome had the lowest level of maturity across all entities – 16% reported at the </w:t>
      </w:r>
      <w:r>
        <w:t>‘</w:t>
      </w:r>
      <w:r w:rsidRPr="000B0224">
        <w:t>ad hoc</w:t>
      </w:r>
      <w:r>
        <w:t>’</w:t>
      </w:r>
      <w:r w:rsidRPr="000B0224">
        <w:t xml:space="preserve"> level. This outcome requires entities to manage security risks and support a positive security culture </w:t>
      </w:r>
      <w:r w:rsidRPr="000B0224">
        <w:lastRenderedPageBreak/>
        <w:t xml:space="preserve">by ensuring clear lines of accountability, sound planning, investigation and response, assurance and review processes, and proportionate reporting. This result is not unexpected and can be attributed, in part, to the reforms to the PSPF which were introduced in October 2018. Implementation of some of the new requirements was not required until the 2019-20 reporting period. The majority of entities that reported as </w:t>
      </w:r>
      <w:r>
        <w:t>‘</w:t>
      </w:r>
      <w:r w:rsidRPr="000B0224">
        <w:t>ad hoc</w:t>
      </w:r>
      <w:r>
        <w:t>’</w:t>
      </w:r>
      <w:r w:rsidRPr="000B0224">
        <w:t xml:space="preserve"> have plans and timeframes in place to improve their maturity in the 2019-20 reporting period. </w:t>
      </w:r>
    </w:p>
    <w:p w14:paraId="00F04B1F" w14:textId="77777777" w:rsidR="00FA5EC2" w:rsidRPr="000B0224" w:rsidRDefault="00FA5EC2" w:rsidP="00FA5EC2">
      <w:r w:rsidRPr="000B0224">
        <w:t xml:space="preserve">Entities that reported </w:t>
      </w:r>
      <w:r>
        <w:t>as ‘</w:t>
      </w:r>
      <w:r w:rsidRPr="000B0224">
        <w:t>ad hoc</w:t>
      </w:r>
      <w:r>
        <w:t>’</w:t>
      </w:r>
      <w:r w:rsidRPr="000B0224">
        <w:t xml:space="preserve"> for the security governance outcome were more likely to have also reported </w:t>
      </w:r>
      <w:r>
        <w:t>as ‘</w:t>
      </w:r>
      <w:r w:rsidRPr="000B0224">
        <w:t>ad hoc</w:t>
      </w:r>
      <w:r>
        <w:t>’</w:t>
      </w:r>
      <w:r w:rsidRPr="000B0224">
        <w:t xml:space="preserve"> for </w:t>
      </w:r>
      <w:r>
        <w:t xml:space="preserve">their </w:t>
      </w:r>
      <w:r w:rsidRPr="000B0224">
        <w:t>overall maturity.</w:t>
      </w:r>
      <w:r>
        <w:t xml:space="preserve"> T</w:t>
      </w:r>
      <w:r w:rsidRPr="000B0224">
        <w:t xml:space="preserve">his </w:t>
      </w:r>
      <w:r>
        <w:t>highlights the importance of</w:t>
      </w:r>
      <w:r w:rsidRPr="000B0224">
        <w:t xml:space="preserve"> proper governance coupled with developmen</w:t>
      </w:r>
      <w:r>
        <w:t>t of a sound security culture as being</w:t>
      </w:r>
      <w:r w:rsidRPr="000B0224">
        <w:t xml:space="preserve"> fundamental to good protective security</w:t>
      </w:r>
      <w:r>
        <w:t>.</w:t>
      </w:r>
    </w:p>
    <w:p w14:paraId="1D7E8263" w14:textId="77777777" w:rsidR="00FA5EC2" w:rsidRPr="00C943BE" w:rsidRDefault="00FA5EC2" w:rsidP="00FA5EC2">
      <w:r w:rsidRPr="000B0224">
        <w:t>Information security remains an ongoing issue for NCCEs</w:t>
      </w:r>
      <w:r>
        <w:t xml:space="preserve"> with </w:t>
      </w:r>
      <w:r w:rsidRPr="000B0224">
        <w:t>13% report</w:t>
      </w:r>
      <w:r>
        <w:t xml:space="preserve">ing </w:t>
      </w:r>
      <w:r w:rsidRPr="000B0224">
        <w:t xml:space="preserve">at the </w:t>
      </w:r>
      <w:r>
        <w:t>‘</w:t>
      </w:r>
      <w:r w:rsidRPr="000B0224">
        <w:t>ad hoc</w:t>
      </w:r>
      <w:r>
        <w:t>’</w:t>
      </w:r>
      <w:r w:rsidRPr="000B0224">
        <w:t xml:space="preserve"> level. Nevertheless, it is encouraging that 87% of entities reported at the </w:t>
      </w:r>
      <w:r>
        <w:t>‘</w:t>
      </w:r>
      <w:r w:rsidRPr="000B0224">
        <w:t>developing</w:t>
      </w:r>
      <w:r>
        <w:t>’</w:t>
      </w:r>
      <w:r w:rsidRPr="000B0224">
        <w:t xml:space="preserve"> or higher level in the first year of using the</w:t>
      </w:r>
      <w:r>
        <w:t xml:space="preserve"> new model. </w:t>
      </w:r>
      <w:r w:rsidRPr="00C943BE">
        <w:t xml:space="preserve">Entities indicated they were most concerned about malicious cyber activities. </w:t>
      </w:r>
      <w:r>
        <w:t>S</w:t>
      </w:r>
      <w:r w:rsidRPr="00C943BE">
        <w:t xml:space="preserve">ome entities may have </w:t>
      </w:r>
      <w:r>
        <w:t>reported a lower level of</w:t>
      </w:r>
      <w:r w:rsidRPr="00C943BE">
        <w:t xml:space="preserve"> maturity due to new or emerging threats, </w:t>
      </w:r>
      <w:r>
        <w:t xml:space="preserve">while </w:t>
      </w:r>
      <w:r w:rsidRPr="00C943BE">
        <w:t xml:space="preserve">others reported </w:t>
      </w:r>
      <w:r>
        <w:t xml:space="preserve">that the </w:t>
      </w:r>
      <w:r w:rsidRPr="00C943BE">
        <w:t xml:space="preserve">practices </w:t>
      </w:r>
      <w:r>
        <w:t xml:space="preserve">they had </w:t>
      </w:r>
      <w:r w:rsidRPr="00C943BE">
        <w:t xml:space="preserve">in place </w:t>
      </w:r>
      <w:r>
        <w:t>enabled them</w:t>
      </w:r>
      <w:r w:rsidRPr="00C943BE">
        <w:t xml:space="preserve"> to adequately respond to their risk </w:t>
      </w:r>
      <w:r>
        <w:t>profile</w:t>
      </w:r>
      <w:r w:rsidRPr="00C943BE">
        <w:t xml:space="preserve">. </w:t>
      </w:r>
    </w:p>
    <w:p w14:paraId="195CC432" w14:textId="77777777" w:rsidR="00FA5EC2" w:rsidRPr="00C943BE" w:rsidRDefault="00FA5EC2" w:rsidP="00FA5EC2">
      <w:r w:rsidRPr="00C943BE">
        <w:t>Entities identified low information security capability</w:t>
      </w:r>
      <w:r>
        <w:t>,</w:t>
      </w:r>
      <w:r w:rsidRPr="00C943BE">
        <w:t xml:space="preserve"> and financial and staffing constraints as barriers to </w:t>
      </w:r>
      <w:r>
        <w:t>full and effective</w:t>
      </w:r>
      <w:r w:rsidRPr="00C943BE">
        <w:t xml:space="preserve"> implementation across the 16 core requirements. Those with </w:t>
      </w:r>
      <w:r>
        <w:t>‘</w:t>
      </w:r>
      <w:r w:rsidRPr="00C943BE">
        <w:t>ad hoc</w:t>
      </w:r>
      <w:r>
        <w:t>’</w:t>
      </w:r>
      <w:r w:rsidRPr="00C943BE">
        <w:t xml:space="preserve"> maturity have been referred to relevant entities, such as the Australian Cyber Security Centre (ACSC), for support to uplift their security capability. </w:t>
      </w:r>
    </w:p>
    <w:p w14:paraId="16DF61EF" w14:textId="77777777" w:rsidR="00FA5EC2" w:rsidRDefault="00FA5EC2" w:rsidP="00FA5EC2">
      <w:r>
        <w:t>T</w:t>
      </w:r>
      <w:r w:rsidRPr="00C943BE">
        <w:t xml:space="preserve">he Attorney-General’s Department’s (AGD) protective security policy Communities of Practice also provide entities with an opportunity to </w:t>
      </w:r>
      <w:r>
        <w:t xml:space="preserve">increase their maturity level by </w:t>
      </w:r>
      <w:r w:rsidRPr="00C943BE">
        <w:t>discuss</w:t>
      </w:r>
      <w:r>
        <w:t>ing</w:t>
      </w:r>
      <w:r w:rsidRPr="00C943BE">
        <w:t xml:space="preserve"> issues, engag</w:t>
      </w:r>
      <w:r>
        <w:t>ing</w:t>
      </w:r>
      <w:r w:rsidRPr="00C943BE">
        <w:t xml:space="preserve"> on common risk concerns, identify</w:t>
      </w:r>
      <w:r>
        <w:t>ing</w:t>
      </w:r>
      <w:r w:rsidRPr="00C943BE">
        <w:t xml:space="preserve"> new and emerging threats, and access</w:t>
      </w:r>
      <w:r>
        <w:t>ing</w:t>
      </w:r>
      <w:r w:rsidRPr="00C943BE">
        <w:t xml:space="preserve"> and shar</w:t>
      </w:r>
      <w:r>
        <w:t>ing</w:t>
      </w:r>
      <w:r w:rsidRPr="00C943BE">
        <w:t xml:space="preserve"> products that may assist to address particular security concerns.</w:t>
      </w:r>
      <w:r>
        <w:t xml:space="preserve"> </w:t>
      </w:r>
    </w:p>
    <w:p w14:paraId="12BCCCA8" w14:textId="77777777" w:rsidR="00FA5EC2" w:rsidRDefault="00FA5EC2" w:rsidP="00FA5EC2">
      <w:r>
        <w:t>Entities operating in environments with higher risk</w:t>
      </w:r>
      <w:r>
        <w:rPr>
          <w:rStyle w:val="FootnoteReference"/>
        </w:rPr>
        <w:footnoteReference w:id="2"/>
      </w:r>
      <w:r>
        <w:t xml:space="preserve"> provided more detailed articulation of their operational risks and mitigations. Entities where there are likely to be significant consequences as a result of security breaches demonstrated a lower threshold for risk in their reporting. These entities were more cautious in their security maturity assessments than counterparts who operate in an environment with fewer threats, contributing to a greater number of overall maturity assessments at the substantial implementation (‘developing’) level compared to the complete implementation (‘managing’) level. </w:t>
      </w:r>
    </w:p>
    <w:p w14:paraId="7003F50D" w14:textId="77777777" w:rsidR="00FA5EC2" w:rsidRPr="00686461" w:rsidRDefault="00FA5EC2" w:rsidP="00FA5EC2">
      <w:pPr>
        <w:pStyle w:val="Heading3"/>
      </w:pPr>
      <w:bookmarkStart w:id="20" w:name="_Toc59540641"/>
      <w:r w:rsidRPr="00686461">
        <w:t>Security Governance</w:t>
      </w:r>
      <w:bookmarkEnd w:id="19"/>
      <w:bookmarkEnd w:id="20"/>
    </w:p>
    <w:p w14:paraId="62DCD5C4" w14:textId="77777777" w:rsidR="00FA5EC2" w:rsidRDefault="00FA5EC2" w:rsidP="00FA5EC2">
      <w:r>
        <w:t>E</w:t>
      </w:r>
      <w:r w:rsidRPr="00AB75DF">
        <w:t xml:space="preserve">ntities </w:t>
      </w:r>
      <w:r>
        <w:t xml:space="preserve">are required </w:t>
      </w:r>
      <w:r w:rsidRPr="00AB75DF">
        <w:t>to have effective arrangements in place which include clear lines of accountability, sound planning, investigation and response, assurance and review processes</w:t>
      </w:r>
      <w:r>
        <w:t>,</w:t>
      </w:r>
      <w:r w:rsidRPr="00AB75DF">
        <w:t xml:space="preserve"> and proportionate reporting for an entity’s protective security arrangements. </w:t>
      </w:r>
    </w:p>
    <w:p w14:paraId="4D01A0EF" w14:textId="77777777" w:rsidR="00FA5EC2" w:rsidRDefault="00FA5EC2" w:rsidP="00FA5EC2">
      <w:r>
        <w:t>Across the security governance outcomes, 84% of entities reported ’developing’ or higher maturity, which equates to substantial implementation.</w:t>
      </w:r>
      <w:r>
        <w:rPr>
          <w:rStyle w:val="FootnoteReference"/>
        </w:rPr>
        <w:footnoteReference w:id="3"/>
      </w:r>
      <w:r>
        <w:t xml:space="preserve"> Figure 3 </w:t>
      </w:r>
      <w:r w:rsidRPr="00AB75DF">
        <w:t>detail</w:t>
      </w:r>
      <w:r>
        <w:t>s</w:t>
      </w:r>
      <w:r w:rsidRPr="00AB75DF">
        <w:t xml:space="preserve"> how entities </w:t>
      </w:r>
      <w:r>
        <w:t xml:space="preserve">reported </w:t>
      </w:r>
      <w:r w:rsidRPr="00AB75DF">
        <w:t xml:space="preserve">in relation to each of the </w:t>
      </w:r>
      <w:r>
        <w:t xml:space="preserve">seven </w:t>
      </w:r>
      <w:r w:rsidRPr="00AB75DF">
        <w:t xml:space="preserve">policies that comprise this outcome. </w:t>
      </w:r>
    </w:p>
    <w:p w14:paraId="73F3A614" w14:textId="77777777" w:rsidR="00FA5EC2" w:rsidRDefault="00FA5EC2" w:rsidP="00FA5EC2">
      <w:pPr>
        <w:autoSpaceDE w:val="0"/>
        <w:autoSpaceDN w:val="0"/>
        <w:spacing w:after="0"/>
        <w:rPr>
          <w:b/>
        </w:rPr>
      </w:pPr>
    </w:p>
    <w:p w14:paraId="5287DDC5" w14:textId="77777777" w:rsidR="00FA5EC2" w:rsidRDefault="00FA5EC2" w:rsidP="00FA5EC2">
      <w:pPr>
        <w:autoSpaceDE w:val="0"/>
        <w:autoSpaceDN w:val="0"/>
        <w:spacing w:after="0"/>
        <w:rPr>
          <w:b/>
        </w:rPr>
      </w:pPr>
      <w:r w:rsidRPr="009401FB">
        <w:rPr>
          <w:b/>
        </w:rPr>
        <w:lastRenderedPageBreak/>
        <w:t xml:space="preserve">Figure </w:t>
      </w:r>
      <w:r>
        <w:rPr>
          <w:b/>
        </w:rPr>
        <w:t>3</w:t>
      </w:r>
      <w:r w:rsidRPr="009401FB">
        <w:rPr>
          <w:b/>
        </w:rPr>
        <w:t xml:space="preserve">. </w:t>
      </w:r>
      <w:r>
        <w:rPr>
          <w:b/>
        </w:rPr>
        <w:t>Maturity for security governance policies</w:t>
      </w:r>
      <w:r w:rsidRPr="009A7DD9">
        <w:rPr>
          <w:rStyle w:val="FootnoteReference"/>
        </w:rPr>
        <w:footnoteReference w:id="4"/>
      </w:r>
    </w:p>
    <w:p w14:paraId="4153AC74" w14:textId="315D1444" w:rsidR="00FA5EC2" w:rsidRDefault="000714F4" w:rsidP="00FA5EC2">
      <w:pPr>
        <w:contextualSpacing/>
        <w:rPr>
          <w:b/>
        </w:rPr>
      </w:pPr>
      <w:r>
        <w:rPr>
          <w:b/>
          <w:noProof/>
          <w:lang w:val="en-GB" w:eastAsia="en-GB"/>
        </w:rPr>
        <w:drawing>
          <wp:inline distT="0" distB="0" distL="0" distR="0" wp14:anchorId="1D756374" wp14:editId="19CCD45D">
            <wp:extent cx="6614795" cy="3889375"/>
            <wp:effectExtent l="0" t="0" r="0" b="0"/>
            <wp:docPr id="14" name="Picture 14" descr="Bar graph with 7 bars representing Policy 1, Policy 2, Policy 3, Policy 4, Policy 5, Policy 6 and Poli cy 7. The bars maps percentage results of Ad Hoc, Developing, Managing, Embedded and Not Applicable. Four colours in the bars represent Ad Hoc (dark blue), Developing (purple), Managing (green) and Embedded (light blue) and Not applicable (grey)" title="Figure 3. Maturity for security governance polic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14795" cy="3889375"/>
                    </a:xfrm>
                    <a:prstGeom prst="rect">
                      <a:avLst/>
                    </a:prstGeom>
                    <a:noFill/>
                  </pic:spPr>
                </pic:pic>
              </a:graphicData>
            </a:graphic>
          </wp:inline>
        </w:drawing>
      </w:r>
    </w:p>
    <w:p w14:paraId="420BA878" w14:textId="77777777" w:rsidR="00FA5EC2" w:rsidRDefault="00FA5EC2" w:rsidP="00FA5EC2">
      <w:bookmarkStart w:id="21" w:name="_Toc53435625"/>
      <w:r w:rsidRPr="00881373">
        <w:t>Entities were still implementing some of the new requirements of the reformed PSPF during this reporting period. Entities indicated they have plans and timeframes in place to achieve implementation, and therefore improve their maturity level, durin</w:t>
      </w:r>
      <w:r>
        <w:t>g the 2019-20 reporting period.</w:t>
      </w:r>
    </w:p>
    <w:p w14:paraId="544AE4A0" w14:textId="77777777" w:rsidR="00FA5EC2" w:rsidRDefault="00FA5EC2" w:rsidP="00FA5EC2">
      <w:r w:rsidRPr="0001208F">
        <w:t xml:space="preserve">Entities </w:t>
      </w:r>
      <w:r>
        <w:t xml:space="preserve">also </w:t>
      </w:r>
      <w:r w:rsidRPr="0001208F">
        <w:t>have access to a range of education and security awareness materials to support implementation of security governance through the protective security policy Communities of Practice delivered by AGD.</w:t>
      </w:r>
      <w:r>
        <w:t xml:space="preserve"> </w:t>
      </w:r>
    </w:p>
    <w:p w14:paraId="5831B094" w14:textId="77777777" w:rsidR="00FA5EC2" w:rsidRPr="00686461" w:rsidRDefault="00FA5EC2" w:rsidP="00FA5EC2">
      <w:pPr>
        <w:pStyle w:val="Heading3"/>
      </w:pPr>
      <w:bookmarkStart w:id="22" w:name="_Toc59540642"/>
      <w:r w:rsidRPr="00686461">
        <w:t>Information security</w:t>
      </w:r>
      <w:bookmarkEnd w:id="21"/>
      <w:bookmarkEnd w:id="22"/>
      <w:r w:rsidRPr="00686461">
        <w:t xml:space="preserve"> </w:t>
      </w:r>
    </w:p>
    <w:p w14:paraId="05501189" w14:textId="77777777" w:rsidR="00FA5EC2" w:rsidRDefault="00FA5EC2" w:rsidP="00FA5EC2">
      <w:r>
        <w:t>Entities are required to maintain</w:t>
      </w:r>
      <w:r w:rsidRPr="00D76363">
        <w:t xml:space="preserve"> the confidentiality, integrity and availability of all official information</w:t>
      </w:r>
      <w:r>
        <w:rPr>
          <w:lang w:val="en"/>
        </w:rPr>
        <w:t xml:space="preserve"> </w:t>
      </w:r>
      <w:r>
        <w:t xml:space="preserve">and </w:t>
      </w:r>
      <w:r w:rsidRPr="00697ED4">
        <w:rPr>
          <w:lang w:val="en"/>
        </w:rPr>
        <w:t>information assets owned by the Australian Government, or those entrusted to the Australian Government by third parties, within Australia.</w:t>
      </w:r>
      <w:r>
        <w:rPr>
          <w:lang w:val="en"/>
        </w:rPr>
        <w:t xml:space="preserve"> Safeguarding from cyber threats and ensuring robust ICT systems are critical and entities must meet the Australian Signals Directorate’s (ASD) </w:t>
      </w:r>
      <w:r>
        <w:t xml:space="preserve">Top 4 strategies to mitigate cyber security risks. </w:t>
      </w:r>
    </w:p>
    <w:p w14:paraId="6BBD5A3B" w14:textId="77777777" w:rsidR="00FA5EC2" w:rsidRDefault="00FA5EC2" w:rsidP="00FA5EC2">
      <w:r>
        <w:t>A maturity level of ’developing’ or higher was reported by 87% of entities, which equates to substantial implementation.</w:t>
      </w:r>
      <w:r>
        <w:rPr>
          <w:rStyle w:val="FootnoteReference"/>
        </w:rPr>
        <w:footnoteReference w:id="5"/>
      </w:r>
      <w:r>
        <w:t xml:space="preserve"> This is a promising result and recognises that m</w:t>
      </w:r>
      <w:r w:rsidRPr="0012445C">
        <w:t>ore entities are taking steps to ap</w:t>
      </w:r>
      <w:r>
        <w:t xml:space="preserve">ply the baseline strategies to </w:t>
      </w:r>
      <w:r w:rsidRPr="0012445C">
        <w:t>increase the</w:t>
      </w:r>
      <w:r>
        <w:t>ir</w:t>
      </w:r>
      <w:r w:rsidRPr="0012445C">
        <w:t xml:space="preserve"> maturity</w:t>
      </w:r>
      <w:r>
        <w:t xml:space="preserve">. </w:t>
      </w:r>
    </w:p>
    <w:p w14:paraId="5A3B82BE" w14:textId="77777777" w:rsidR="00FA5EC2" w:rsidRDefault="00FA5EC2" w:rsidP="00FA5EC2">
      <w:r>
        <w:t xml:space="preserve">Figure 4 </w:t>
      </w:r>
      <w:r w:rsidRPr="00AB75DF">
        <w:t>detail</w:t>
      </w:r>
      <w:r>
        <w:t>s</w:t>
      </w:r>
      <w:r w:rsidRPr="00AB75DF">
        <w:t xml:space="preserve"> how entities </w:t>
      </w:r>
      <w:r>
        <w:t xml:space="preserve">reported </w:t>
      </w:r>
      <w:r w:rsidRPr="00AB75DF">
        <w:t xml:space="preserve">in relation to each of the </w:t>
      </w:r>
      <w:r>
        <w:t xml:space="preserve">four </w:t>
      </w:r>
      <w:r w:rsidRPr="00AB75DF">
        <w:t xml:space="preserve">policies that comprise this outcome. </w:t>
      </w:r>
    </w:p>
    <w:p w14:paraId="17EE685F" w14:textId="77777777" w:rsidR="000714F4" w:rsidRDefault="000714F4" w:rsidP="00FA5EC2">
      <w:pPr>
        <w:autoSpaceDE w:val="0"/>
        <w:autoSpaceDN w:val="0"/>
        <w:spacing w:after="0"/>
        <w:rPr>
          <w:b/>
        </w:rPr>
      </w:pPr>
    </w:p>
    <w:p w14:paraId="3026CF5E" w14:textId="77777777" w:rsidR="000714F4" w:rsidRDefault="000714F4" w:rsidP="00FA5EC2">
      <w:pPr>
        <w:autoSpaceDE w:val="0"/>
        <w:autoSpaceDN w:val="0"/>
        <w:spacing w:after="0"/>
        <w:rPr>
          <w:b/>
        </w:rPr>
      </w:pPr>
    </w:p>
    <w:p w14:paraId="6182C6C8" w14:textId="22DB9130" w:rsidR="00FA5EC2" w:rsidRDefault="00FA5EC2" w:rsidP="00FA5EC2">
      <w:pPr>
        <w:autoSpaceDE w:val="0"/>
        <w:autoSpaceDN w:val="0"/>
        <w:spacing w:after="0"/>
        <w:rPr>
          <w:b/>
        </w:rPr>
      </w:pPr>
      <w:r>
        <w:rPr>
          <w:b/>
        </w:rPr>
        <w:lastRenderedPageBreak/>
        <w:t>Figure 4</w:t>
      </w:r>
      <w:r w:rsidRPr="00442C1E">
        <w:rPr>
          <w:b/>
        </w:rPr>
        <w:t xml:space="preserve">. Maturity </w:t>
      </w:r>
      <w:r>
        <w:rPr>
          <w:b/>
        </w:rPr>
        <w:t>for</w:t>
      </w:r>
      <w:r w:rsidRPr="00442C1E">
        <w:rPr>
          <w:b/>
        </w:rPr>
        <w:t xml:space="preserve"> information security policies</w:t>
      </w:r>
    </w:p>
    <w:p w14:paraId="08133149" w14:textId="765E3A45" w:rsidR="000714F4" w:rsidRDefault="000714F4" w:rsidP="00FA5EC2">
      <w:pPr>
        <w:autoSpaceDE w:val="0"/>
        <w:autoSpaceDN w:val="0"/>
        <w:spacing w:after="0"/>
      </w:pPr>
      <w:r>
        <w:rPr>
          <w:noProof/>
          <w:lang w:val="en-GB" w:eastAsia="en-GB"/>
        </w:rPr>
        <w:drawing>
          <wp:inline distT="0" distB="0" distL="0" distR="0" wp14:anchorId="08F8E2E8" wp14:editId="6ED92170">
            <wp:extent cx="6523355" cy="3017520"/>
            <wp:effectExtent l="0" t="0" r="0" b="0"/>
            <wp:docPr id="23" name="Picture 23" descr="Bar graph with 4 bars representing Policy 8, Policy 9, Policy 10 and Policy 11. The bars maps percentage results of Ad Hoc, Developing, Managing and Embedded. Four colours in the bars represent Ad Hoc (dark blue), Developing (purple), Managing (green) and Embedded (light blue) " title="Figure 4. Maturity for information security polic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23355" cy="3017520"/>
                    </a:xfrm>
                    <a:prstGeom prst="rect">
                      <a:avLst/>
                    </a:prstGeom>
                    <a:noFill/>
                  </pic:spPr>
                </pic:pic>
              </a:graphicData>
            </a:graphic>
          </wp:inline>
        </w:drawing>
      </w:r>
    </w:p>
    <w:p w14:paraId="7110DB04" w14:textId="7939D133" w:rsidR="00FA5EC2" w:rsidRDefault="00FA5EC2" w:rsidP="00FA5EC2">
      <w:pPr>
        <w:rPr>
          <w:lang w:eastAsia="en-GB"/>
        </w:rPr>
      </w:pPr>
      <w:bookmarkStart w:id="23" w:name="_Toc53435626"/>
      <w:r>
        <w:rPr>
          <w:lang w:eastAsia="en-GB"/>
        </w:rPr>
        <w:br/>
        <w:t>The PSPF Assessment Report data is shared with the ACSC. This enables the ACSC to provide technical expertise and deliver entity-specific assistance to improve capability. The PSPF and the Australian Government Information Security Manual are aligned and set clear and consistent cyber security requirements from both the policy and technical perspective.</w:t>
      </w:r>
    </w:p>
    <w:p w14:paraId="2EAF2C07" w14:textId="77777777" w:rsidR="00FA5EC2" w:rsidRDefault="00FA5EC2" w:rsidP="00FA5EC2">
      <w:pPr>
        <w:rPr>
          <w:lang w:eastAsia="en-GB"/>
        </w:rPr>
      </w:pPr>
      <w:r>
        <w:rPr>
          <w:lang w:eastAsia="en-GB"/>
        </w:rPr>
        <w:t xml:space="preserve">The PSPF is also complemented by the ACSC’s </w:t>
      </w:r>
      <w:r>
        <w:rPr>
          <w:i/>
          <w:lang w:eastAsia="en-GB"/>
        </w:rPr>
        <w:t xml:space="preserve">Cyber Uplift Program </w:t>
      </w:r>
      <w:r>
        <w:rPr>
          <w:lang w:eastAsia="en-GB"/>
        </w:rPr>
        <w:t xml:space="preserve">and Home Affairs’ </w:t>
      </w:r>
      <w:r w:rsidRPr="008E02A8">
        <w:rPr>
          <w:i/>
          <w:lang w:eastAsia="en-GB"/>
        </w:rPr>
        <w:t>Cyber Security Strategy</w:t>
      </w:r>
      <w:r>
        <w:rPr>
          <w:lang w:eastAsia="en-GB"/>
        </w:rPr>
        <w:t xml:space="preserve"> </w:t>
      </w:r>
      <w:r w:rsidRPr="008E02A8">
        <w:rPr>
          <w:i/>
          <w:lang w:eastAsia="en-GB"/>
        </w:rPr>
        <w:t xml:space="preserve">2020 </w:t>
      </w:r>
      <w:r>
        <w:rPr>
          <w:lang w:eastAsia="en-GB"/>
        </w:rPr>
        <w:t>which are designed to enhance understanding of cyber security expectations and improve capability. Additionally, the obligation for entities to complete the annual ASD cyber security survey was included in the 2018-19 reporting, with 94</w:t>
      </w:r>
      <w:r w:rsidRPr="00C3360B">
        <w:rPr>
          <w:lang w:eastAsia="en-GB"/>
        </w:rPr>
        <w:t>%</w:t>
      </w:r>
      <w:r>
        <w:rPr>
          <w:lang w:eastAsia="en-GB"/>
        </w:rPr>
        <w:t xml:space="preserve"> of entities acknowledging that they had completed the survey. </w:t>
      </w:r>
    </w:p>
    <w:p w14:paraId="1138E0E3" w14:textId="77777777" w:rsidR="00FA5EC2" w:rsidRPr="00686461" w:rsidRDefault="00FA5EC2" w:rsidP="00FA5EC2">
      <w:pPr>
        <w:pStyle w:val="Heading3"/>
      </w:pPr>
      <w:bookmarkStart w:id="24" w:name="_Toc59540643"/>
      <w:r w:rsidRPr="00686461">
        <w:t>Personnel security</w:t>
      </w:r>
      <w:bookmarkEnd w:id="23"/>
      <w:bookmarkEnd w:id="24"/>
    </w:p>
    <w:p w14:paraId="4E181DDC" w14:textId="77777777" w:rsidR="00FA5EC2" w:rsidRDefault="00FA5EC2" w:rsidP="00FA5EC2">
      <w:r>
        <w:t>Entities are required to ensure</w:t>
      </w:r>
      <w:r w:rsidRPr="00D76363">
        <w:t xml:space="preserve"> </w:t>
      </w:r>
      <w:r>
        <w:t>their</w:t>
      </w:r>
      <w:r w:rsidRPr="00D76363">
        <w:t xml:space="preserve"> employees and contractors meet an appropriate standard of integrity and honesty</w:t>
      </w:r>
      <w:r>
        <w:t>,</w:t>
      </w:r>
      <w:r w:rsidRPr="00D76363">
        <w:t xml:space="preserve"> </w:t>
      </w:r>
      <w:r>
        <w:t xml:space="preserve">and </w:t>
      </w:r>
      <w:r w:rsidRPr="00D76363">
        <w:t>are suitable to access Australian Government resources</w:t>
      </w:r>
      <w:r>
        <w:t xml:space="preserve">. </w:t>
      </w:r>
      <w:r w:rsidRPr="008D39ED">
        <w:t xml:space="preserve">Effective personnel security facilitates the </w:t>
      </w:r>
      <w:r>
        <w:t xml:space="preserve">trusted </w:t>
      </w:r>
      <w:r w:rsidRPr="008D39ED">
        <w:t xml:space="preserve">sharing of Australian Government resources, and </w:t>
      </w:r>
      <w:r>
        <w:t xml:space="preserve">mitigates the insider threat. </w:t>
      </w:r>
    </w:p>
    <w:p w14:paraId="0E3E6002" w14:textId="77777777" w:rsidR="00FA5EC2" w:rsidRDefault="00FA5EC2" w:rsidP="00FA5EC2">
      <w:r>
        <w:t>‘Developing’ or higher maturity was reported by 88% of entities which equates to substantial implementation.</w:t>
      </w:r>
      <w:r>
        <w:rPr>
          <w:rStyle w:val="FootnoteReference"/>
        </w:rPr>
        <w:footnoteReference w:id="6"/>
      </w:r>
      <w:r>
        <w:t xml:space="preserve"> </w:t>
      </w:r>
    </w:p>
    <w:p w14:paraId="09F5F376" w14:textId="77777777" w:rsidR="00FA5EC2" w:rsidRDefault="00FA5EC2" w:rsidP="00FA5EC2">
      <w:pPr>
        <w:rPr>
          <w:b/>
          <w:sz w:val="18"/>
          <w:szCs w:val="18"/>
        </w:rPr>
      </w:pPr>
      <w:r>
        <w:t xml:space="preserve">Figure 5 </w:t>
      </w:r>
      <w:r w:rsidRPr="00AB75DF">
        <w:t>detail</w:t>
      </w:r>
      <w:r>
        <w:t>s</w:t>
      </w:r>
      <w:r w:rsidRPr="00AB75DF">
        <w:t xml:space="preserve"> how entities </w:t>
      </w:r>
      <w:r>
        <w:t xml:space="preserve">reported </w:t>
      </w:r>
      <w:r w:rsidRPr="00AB75DF">
        <w:t xml:space="preserve">in relation to each of the </w:t>
      </w:r>
      <w:r>
        <w:t xml:space="preserve">three </w:t>
      </w:r>
      <w:r w:rsidRPr="00AB75DF">
        <w:t xml:space="preserve">policies that comprise this outcome. </w:t>
      </w:r>
    </w:p>
    <w:p w14:paraId="4F9B5A21" w14:textId="77777777" w:rsidR="00FA5EC2" w:rsidRDefault="00FA5EC2">
      <w:pPr>
        <w:spacing w:after="0" w:line="240" w:lineRule="auto"/>
        <w:rPr>
          <w:b/>
        </w:rPr>
      </w:pPr>
      <w:r>
        <w:rPr>
          <w:b/>
        </w:rPr>
        <w:br w:type="page"/>
      </w:r>
    </w:p>
    <w:p w14:paraId="2DE4479B" w14:textId="3A1B97CD" w:rsidR="00FA5EC2" w:rsidRDefault="00FA5EC2" w:rsidP="00FA5EC2">
      <w:pPr>
        <w:autoSpaceDE w:val="0"/>
        <w:autoSpaceDN w:val="0"/>
        <w:spacing w:after="0"/>
        <w:rPr>
          <w:b/>
        </w:rPr>
      </w:pPr>
      <w:r>
        <w:rPr>
          <w:b/>
        </w:rPr>
        <w:lastRenderedPageBreak/>
        <w:t>Figure 5.</w:t>
      </w:r>
      <w:r w:rsidRPr="00442C1E">
        <w:rPr>
          <w:b/>
        </w:rPr>
        <w:t xml:space="preserve"> Maturity </w:t>
      </w:r>
      <w:r>
        <w:rPr>
          <w:b/>
        </w:rPr>
        <w:t>for</w:t>
      </w:r>
      <w:r w:rsidRPr="00442C1E">
        <w:rPr>
          <w:b/>
        </w:rPr>
        <w:t xml:space="preserve"> personnel security policies</w:t>
      </w:r>
    </w:p>
    <w:p w14:paraId="1FB015A6" w14:textId="7A18F5BB" w:rsidR="00CC5AC6" w:rsidRDefault="00734B3A" w:rsidP="00FA5EC2">
      <w:pPr>
        <w:autoSpaceDE w:val="0"/>
        <w:autoSpaceDN w:val="0"/>
        <w:spacing w:after="0"/>
        <w:rPr>
          <w:b/>
        </w:rPr>
      </w:pPr>
      <w:r>
        <w:rPr>
          <w:noProof/>
          <w:lang w:val="en-GB" w:eastAsia="en-GB"/>
        </w:rPr>
        <w:drawing>
          <wp:inline distT="0" distB="0" distL="0" distR="0" wp14:anchorId="2A9811DA" wp14:editId="51B8D4EF">
            <wp:extent cx="6548120" cy="2636520"/>
            <wp:effectExtent l="0" t="0" r="5080" b="0"/>
            <wp:docPr id="4" name="Picture 4" descr="Bar graph with 3 bars representing Policy 12, Policy 13, and Policy 14. The bars maps percentage results of Ad Hoc, Developing, Managing and Embedded. Four colours in the bars represent Ad Hoc (dark blue), Developing (purple), Managing (green) and Embedded (light blue) " title="Figure 5. Maturity for personnel security polic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548120" cy="2636520"/>
                    </a:xfrm>
                    <a:prstGeom prst="rect">
                      <a:avLst/>
                    </a:prstGeom>
                  </pic:spPr>
                </pic:pic>
              </a:graphicData>
            </a:graphic>
          </wp:inline>
        </w:drawing>
      </w:r>
    </w:p>
    <w:p w14:paraId="573D7AFB" w14:textId="77777777" w:rsidR="00FA5EC2" w:rsidRDefault="00FA5EC2" w:rsidP="00FA5EC2">
      <w:r>
        <w:t xml:space="preserve">Access to classified resources is subject to personnel successfully undergoing a vetting process and holding a valid security clearance. The PSPF provides a waiver process entities can employ, where exceptional business requirements exist, to enable personnel who are not able to obtain a security clearance to still access classified resources. These waivers relate to the Australian citizenship requirement and the checkable background requirement (where a person has lived outside of Australia for longer than 12 months, and that time cannot be validated by an Australian citizen). </w:t>
      </w:r>
    </w:p>
    <w:p w14:paraId="6CA3E019" w14:textId="665E600C" w:rsidR="00FA5EC2" w:rsidRDefault="00FA5EC2" w:rsidP="00FA5EC2">
      <w:r>
        <w:t xml:space="preserve">Waivers are role-specific, non-transferable, </w:t>
      </w:r>
      <w:proofErr w:type="gramStart"/>
      <w:r>
        <w:t>finite</w:t>
      </w:r>
      <w:proofErr w:type="gramEnd"/>
      <w:r>
        <w:t xml:space="preserve"> and subject to an annual review. Given waivers raise their risk profile, entities are required to report on the </w:t>
      </w:r>
      <w:r w:rsidRPr="00401EF1">
        <w:t xml:space="preserve">number of </w:t>
      </w:r>
      <w:r>
        <w:t xml:space="preserve">active </w:t>
      </w:r>
      <w:r w:rsidRPr="00401EF1">
        <w:t>citizenship and checkable background waivers</w:t>
      </w:r>
      <w:r>
        <w:t xml:space="preserve">. In the </w:t>
      </w:r>
      <w:r w:rsidRPr="00401EF1">
        <w:t>2017-18</w:t>
      </w:r>
      <w:r>
        <w:t xml:space="preserve"> reporting period,</w:t>
      </w:r>
      <w:r w:rsidR="005472B8">
        <w:t xml:space="preserve"> 264</w:t>
      </w:r>
      <w:r w:rsidRPr="00401EF1">
        <w:t xml:space="preserve"> active waivers </w:t>
      </w:r>
      <w:r w:rsidR="005472B8">
        <w:t xml:space="preserve">(186 citizenship and 78 checkable background) were reported </w:t>
      </w:r>
      <w:r>
        <w:t xml:space="preserve">as compared to </w:t>
      </w:r>
      <w:r w:rsidR="005472B8">
        <w:t xml:space="preserve">280 </w:t>
      </w:r>
      <w:r w:rsidRPr="00401EF1">
        <w:t xml:space="preserve">active waivers </w:t>
      </w:r>
      <w:r w:rsidR="005472B8">
        <w:t>(215 citizenship and 65 checkable background) in the 2018</w:t>
      </w:r>
      <w:r w:rsidR="005472B8">
        <w:noBreakHyphen/>
      </w:r>
      <w:r>
        <w:t>19 period.</w:t>
      </w:r>
      <w:r w:rsidRPr="00401EF1">
        <w:t xml:space="preserve"> </w:t>
      </w:r>
    </w:p>
    <w:p w14:paraId="65D91504" w14:textId="77777777" w:rsidR="00FA5EC2" w:rsidRPr="00686461" w:rsidRDefault="00FA5EC2" w:rsidP="00FA5EC2">
      <w:pPr>
        <w:pStyle w:val="Heading3"/>
      </w:pPr>
      <w:bookmarkStart w:id="25" w:name="_Toc53435627"/>
      <w:bookmarkStart w:id="26" w:name="_Toc59540644"/>
      <w:r w:rsidRPr="00686461">
        <w:t>Physical security</w:t>
      </w:r>
      <w:bookmarkEnd w:id="25"/>
      <w:bookmarkEnd w:id="26"/>
    </w:p>
    <w:p w14:paraId="5408370F" w14:textId="77777777" w:rsidR="00FA5EC2" w:rsidRDefault="00FA5EC2" w:rsidP="00FA5EC2">
      <w:r>
        <w:t>E</w:t>
      </w:r>
      <w:r w:rsidRPr="007235A6">
        <w:t xml:space="preserve">ntities </w:t>
      </w:r>
      <w:r>
        <w:t xml:space="preserve">are required to </w:t>
      </w:r>
      <w:r w:rsidRPr="007235A6">
        <w:t>provide a safe and secure physical environment for their people, information and assets.</w:t>
      </w:r>
      <w:r>
        <w:t xml:space="preserve"> There is substantial implementation of physical security outcomes with 92% of entities reporting a maturity level of ‘developing’ or higher. </w:t>
      </w:r>
    </w:p>
    <w:p w14:paraId="5A3516E9" w14:textId="77777777" w:rsidR="00FA5EC2" w:rsidRDefault="00FA5EC2" w:rsidP="00FA5EC2">
      <w:r>
        <w:t xml:space="preserve">Figure 6 </w:t>
      </w:r>
      <w:r w:rsidRPr="00AB75DF">
        <w:t>detail</w:t>
      </w:r>
      <w:r>
        <w:t>s</w:t>
      </w:r>
      <w:r w:rsidRPr="00AB75DF">
        <w:t xml:space="preserve"> how entities </w:t>
      </w:r>
      <w:r>
        <w:t xml:space="preserve">reported </w:t>
      </w:r>
      <w:r w:rsidRPr="00AB75DF">
        <w:t xml:space="preserve">in relation to each of the </w:t>
      </w:r>
      <w:r>
        <w:t xml:space="preserve">two </w:t>
      </w:r>
      <w:r w:rsidRPr="00AB75DF">
        <w:t>policies that comprise this outcome.</w:t>
      </w:r>
    </w:p>
    <w:p w14:paraId="41BCC807" w14:textId="77777777" w:rsidR="00FA5EC2" w:rsidRPr="00442C1E" w:rsidRDefault="00FA5EC2" w:rsidP="00FA5EC2">
      <w:pPr>
        <w:rPr>
          <w:b/>
          <w:sz w:val="18"/>
          <w:szCs w:val="18"/>
        </w:rPr>
      </w:pPr>
      <w:r>
        <w:rPr>
          <w:b/>
        </w:rPr>
        <w:t>Figure 6</w:t>
      </w:r>
      <w:r w:rsidRPr="00442C1E">
        <w:rPr>
          <w:b/>
        </w:rPr>
        <w:t xml:space="preserve">. Maturity </w:t>
      </w:r>
      <w:r>
        <w:rPr>
          <w:b/>
        </w:rPr>
        <w:t>for</w:t>
      </w:r>
      <w:r w:rsidRPr="00442C1E">
        <w:rPr>
          <w:b/>
        </w:rPr>
        <w:t xml:space="preserve"> physical security policies</w:t>
      </w:r>
    </w:p>
    <w:p w14:paraId="02529727" w14:textId="5391B61D" w:rsidR="00FA5EC2" w:rsidRDefault="000714F4" w:rsidP="00FA5EC2">
      <w:r>
        <w:rPr>
          <w:noProof/>
          <w:lang w:val="en-GB" w:eastAsia="en-GB"/>
        </w:rPr>
        <w:drawing>
          <wp:inline distT="0" distB="0" distL="0" distR="0" wp14:anchorId="05141C08" wp14:editId="4BBE5AF5">
            <wp:extent cx="6401435" cy="2109470"/>
            <wp:effectExtent l="0" t="0" r="0" b="5080"/>
            <wp:docPr id="25" name="Picture 25" descr="Bar graph with 2 bars representing Policy 15 and Policy 16. The bars maps percentage results of Ad Hoc, Developing, Managing and Embedded. Four colours in the bars represent Ad Hoc (dark blue), Developing (purple), Managing (green) and Embedded (light blue) " title="Figure 6. Maturity for physical security polic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01435" cy="2109470"/>
                    </a:xfrm>
                    <a:prstGeom prst="rect">
                      <a:avLst/>
                    </a:prstGeom>
                    <a:noFill/>
                  </pic:spPr>
                </pic:pic>
              </a:graphicData>
            </a:graphic>
          </wp:inline>
        </w:drawing>
      </w:r>
    </w:p>
    <w:p w14:paraId="357D6825" w14:textId="77777777" w:rsidR="00FA5EC2" w:rsidRDefault="00FA5EC2" w:rsidP="00FA5EC2">
      <w:r>
        <w:lastRenderedPageBreak/>
        <w:t>The results demonstrate that e</w:t>
      </w:r>
      <w:r w:rsidRPr="007235A6">
        <w:t xml:space="preserve">ntities </w:t>
      </w:r>
      <w:r>
        <w:t>are implementing</w:t>
      </w:r>
      <w:r w:rsidRPr="007235A6">
        <w:t xml:space="preserve"> appropriate protections</w:t>
      </w:r>
      <w:r>
        <w:t xml:space="preserve">, however, improvements can be made by considering physical </w:t>
      </w:r>
      <w:r w:rsidRPr="007235A6">
        <w:t>security requirements</w:t>
      </w:r>
      <w:r>
        <w:t xml:space="preserve"> during</w:t>
      </w:r>
      <w:r w:rsidRPr="007235A6">
        <w:t xml:space="preserve"> building construction </w:t>
      </w:r>
      <w:r>
        <w:t xml:space="preserve">or </w:t>
      </w:r>
      <w:r w:rsidRPr="007235A6">
        <w:t>modifications.</w:t>
      </w:r>
      <w:r>
        <w:t xml:space="preserve"> Information is available to support these efforts through the Chief Security Officer Forum delivered by AGD.</w:t>
      </w:r>
    </w:p>
    <w:p w14:paraId="27111708" w14:textId="77777777" w:rsidR="00FA5EC2" w:rsidRPr="00F43002" w:rsidRDefault="00FA5EC2" w:rsidP="00FA5EC2">
      <w:pPr>
        <w:pStyle w:val="Heading3"/>
      </w:pPr>
      <w:bookmarkStart w:id="27" w:name="_Toc59540645"/>
      <w:r w:rsidRPr="00F43002">
        <w:t>Entities posing a heightened security risk</w:t>
      </w:r>
      <w:bookmarkEnd w:id="27"/>
      <w:r w:rsidRPr="00F43002">
        <w:t xml:space="preserve"> </w:t>
      </w:r>
    </w:p>
    <w:p w14:paraId="55AD523D" w14:textId="77777777" w:rsidR="00FA5EC2" w:rsidRPr="00F43002" w:rsidRDefault="00FA5EC2" w:rsidP="00FA5EC2">
      <w:pPr>
        <w:autoSpaceDE w:val="0"/>
        <w:autoSpaceDN w:val="0"/>
        <w:adjustRightInd w:val="0"/>
      </w:pPr>
      <w:r w:rsidRPr="00F43002">
        <w:t>Entities are assessed as posing a heightened security risk if they:</w:t>
      </w:r>
    </w:p>
    <w:p w14:paraId="7538E12C" w14:textId="77777777" w:rsidR="00FA5EC2" w:rsidRPr="00F43002" w:rsidRDefault="00FA5EC2" w:rsidP="00FA5EC2">
      <w:pPr>
        <w:pStyle w:val="ListParagraph"/>
        <w:numPr>
          <w:ilvl w:val="0"/>
          <w:numId w:val="9"/>
        </w:numPr>
      </w:pPr>
      <w:r w:rsidRPr="00F43002">
        <w:t>do not submit an annual assessment report</w:t>
      </w:r>
    </w:p>
    <w:p w14:paraId="22234E38" w14:textId="77777777" w:rsidR="00FA5EC2" w:rsidRPr="00F43002" w:rsidRDefault="00FA5EC2" w:rsidP="00FA5EC2">
      <w:pPr>
        <w:pStyle w:val="ListParagraph"/>
        <w:numPr>
          <w:ilvl w:val="0"/>
          <w:numId w:val="9"/>
        </w:numPr>
      </w:pPr>
      <w:r w:rsidRPr="00F43002">
        <w:t xml:space="preserve">report an overall </w:t>
      </w:r>
      <w:r>
        <w:t>level</w:t>
      </w:r>
      <w:r w:rsidRPr="00F43002">
        <w:t xml:space="preserve"> of </w:t>
      </w:r>
      <w:r>
        <w:t>‘</w:t>
      </w:r>
      <w:r w:rsidRPr="00F43002">
        <w:t>ad hoc</w:t>
      </w:r>
      <w:r>
        <w:t>’</w:t>
      </w:r>
      <w:r w:rsidRPr="00F43002">
        <w:t xml:space="preserve">, and/or </w:t>
      </w:r>
    </w:p>
    <w:p w14:paraId="3F7C9049" w14:textId="77777777" w:rsidR="00FA5EC2" w:rsidRPr="00F43002" w:rsidRDefault="00FA5EC2" w:rsidP="00FA5EC2">
      <w:pPr>
        <w:pStyle w:val="ListParagraph"/>
        <w:numPr>
          <w:ilvl w:val="0"/>
          <w:numId w:val="9"/>
        </w:numPr>
      </w:pPr>
      <w:proofErr w:type="gramStart"/>
      <w:r w:rsidRPr="00F43002">
        <w:t>report</w:t>
      </w:r>
      <w:proofErr w:type="gramEnd"/>
      <w:r w:rsidRPr="00F43002">
        <w:t xml:space="preserve"> a substantial decline in their maturity in successive years by three or more core requirements. </w:t>
      </w:r>
    </w:p>
    <w:p w14:paraId="28B82779" w14:textId="77777777" w:rsidR="00FA5EC2" w:rsidRPr="00F43002" w:rsidRDefault="00FA5EC2" w:rsidP="00FA5EC2">
      <w:r w:rsidRPr="00F43002">
        <w:t xml:space="preserve">All 98 NCCEs submitted their annual assessment report, with 11 entities reporting an overall </w:t>
      </w:r>
      <w:r>
        <w:t>maturity level</w:t>
      </w:r>
      <w:r w:rsidRPr="00F43002">
        <w:t xml:space="preserve"> of </w:t>
      </w:r>
      <w:r>
        <w:t>‘</w:t>
      </w:r>
      <w:r w:rsidRPr="00F43002">
        <w:t>ad hoc</w:t>
      </w:r>
      <w:r>
        <w:t>’</w:t>
      </w:r>
      <w:r w:rsidRPr="00F43002">
        <w:t>. Of these, five assessed their security environment as low-risk and three assessed theirs as medium risk. The remaining three did not provide sufficient information to confirm their risk profile. All 11 entities indicated they have plans in place to improve their security plans and processes, and demonstrated a commitment to strengthening governance processes within 12-18 months.</w:t>
      </w:r>
    </w:p>
    <w:p w14:paraId="3BCF1676" w14:textId="77777777" w:rsidR="00FA5EC2" w:rsidRPr="00984845" w:rsidRDefault="00FA5EC2" w:rsidP="00FA5EC2">
      <w:pPr>
        <w:pStyle w:val="Heading2"/>
      </w:pPr>
      <w:bookmarkStart w:id="28" w:name="_Toc59540646"/>
      <w:r w:rsidRPr="00984845">
        <w:t>Conclusion</w:t>
      </w:r>
      <w:bookmarkEnd w:id="28"/>
    </w:p>
    <w:p w14:paraId="129D8DFA" w14:textId="77777777" w:rsidR="00FA5EC2" w:rsidRDefault="00FA5EC2" w:rsidP="00FA5EC2">
      <w:r>
        <w:t xml:space="preserve">This is the first report using the new maturity model and reflects the importance of entities actively engaging with risk, developing a robust understanding of their threat environment, and committing to improving the security of their information, people and assets in order to maintain high levels of security maturation. </w:t>
      </w:r>
    </w:p>
    <w:p w14:paraId="415C72E2" w14:textId="77777777" w:rsidR="00FA5EC2" w:rsidRDefault="00FA5EC2" w:rsidP="00FA5EC2">
      <w:r>
        <w:t>P</w:t>
      </w:r>
      <w:r w:rsidRPr="00235A66">
        <w:t xml:space="preserve">roper governance coupled with </w:t>
      </w:r>
      <w:r>
        <w:t xml:space="preserve">the </w:t>
      </w:r>
      <w:r w:rsidRPr="00235A66">
        <w:t xml:space="preserve">development of a sound security culture is fundamental to </w:t>
      </w:r>
      <w:r>
        <w:t xml:space="preserve">strong and enduring </w:t>
      </w:r>
      <w:r w:rsidRPr="00235A66">
        <w:t>protective security.</w:t>
      </w:r>
      <w:r>
        <w:t xml:space="preserve"> AGD, in cooperation with other lead security entities such as ASD, will continue to work with e</w:t>
      </w:r>
      <w:r w:rsidRPr="008B2053">
        <w:t xml:space="preserve">ntities to improve their </w:t>
      </w:r>
      <w:r>
        <w:t xml:space="preserve">security posture. </w:t>
      </w:r>
    </w:p>
    <w:p w14:paraId="12B01162" w14:textId="77777777" w:rsidR="00FA5EC2" w:rsidRPr="00DA33CD" w:rsidRDefault="00FA5EC2" w:rsidP="00FA5EC2">
      <w:r>
        <w:t xml:space="preserve">For more information and support, please contact </w:t>
      </w:r>
      <w:hyperlink r:id="rId22" w:history="1">
        <w:r w:rsidRPr="006A28CA">
          <w:rPr>
            <w:rStyle w:val="Hyperlink"/>
          </w:rPr>
          <w:t>PSPF@ag.gov.au</w:t>
        </w:r>
      </w:hyperlink>
      <w:r>
        <w:t xml:space="preserve"> or visit the </w:t>
      </w:r>
      <w:hyperlink r:id="rId23" w:history="1">
        <w:r w:rsidRPr="00BB6D3A">
          <w:rPr>
            <w:rStyle w:val="Hyperlink"/>
          </w:rPr>
          <w:t>Protective Security Policy Framework</w:t>
        </w:r>
      </w:hyperlink>
      <w:r>
        <w:t xml:space="preserve"> website. </w:t>
      </w:r>
    </w:p>
    <w:p w14:paraId="0797A8CF" w14:textId="77777777" w:rsidR="00FA5EC2" w:rsidRDefault="00FA5EC2" w:rsidP="00FA5EC2"/>
    <w:p w14:paraId="6033B642" w14:textId="77777777" w:rsidR="00FA5EC2" w:rsidRDefault="00FA5EC2" w:rsidP="00FA5EC2"/>
    <w:p w14:paraId="3AE3F07F" w14:textId="77777777" w:rsidR="00FA5EC2" w:rsidRDefault="00FA5EC2" w:rsidP="00FA5EC2">
      <w:pPr>
        <w:spacing w:after="160" w:line="259" w:lineRule="auto"/>
      </w:pPr>
      <w:r>
        <w:br w:type="page"/>
      </w:r>
    </w:p>
    <w:p w14:paraId="558E0EE7" w14:textId="77777777" w:rsidR="00FA5EC2" w:rsidRPr="00FA5EC2" w:rsidRDefault="00FA5EC2" w:rsidP="00FA5EC2">
      <w:pPr>
        <w:pStyle w:val="Heading2"/>
      </w:pPr>
      <w:bookmarkStart w:id="29" w:name="_Toc57712013"/>
      <w:bookmarkStart w:id="30" w:name="_Toc59540647"/>
      <w:r w:rsidRPr="00FA5EC2">
        <w:lastRenderedPageBreak/>
        <w:t>Annex A: Structure of the reformed Protective Security Policy Framework from 1 October 2018</w:t>
      </w:r>
      <w:bookmarkEnd w:id="29"/>
      <w:bookmarkEnd w:id="30"/>
      <w:r w:rsidRPr="00FA5EC2">
        <w:t xml:space="preserve"> </w:t>
      </w:r>
    </w:p>
    <w:p w14:paraId="45DE9ACB" w14:textId="77777777" w:rsidR="00FA5EC2" w:rsidRDefault="00FA5EC2" w:rsidP="00FA5EC2">
      <w:r>
        <w:t xml:space="preserve">The revised PSPF comprises: </w:t>
      </w:r>
    </w:p>
    <w:p w14:paraId="07E546A6" w14:textId="77777777" w:rsidR="00FA5EC2" w:rsidRDefault="00FA5EC2" w:rsidP="00FA5EC2">
      <w:pPr>
        <w:pStyle w:val="ListParagraph"/>
        <w:numPr>
          <w:ilvl w:val="0"/>
          <w:numId w:val="7"/>
        </w:numPr>
      </w:pPr>
      <w:r>
        <w:t xml:space="preserve">5 principles </w:t>
      </w:r>
    </w:p>
    <w:p w14:paraId="01D40D2C" w14:textId="77777777" w:rsidR="00FA5EC2" w:rsidRDefault="00FA5EC2" w:rsidP="00FA5EC2">
      <w:pPr>
        <w:pStyle w:val="ListParagraph"/>
        <w:numPr>
          <w:ilvl w:val="0"/>
          <w:numId w:val="7"/>
        </w:numPr>
      </w:pPr>
      <w:r>
        <w:t xml:space="preserve">4 outcomes, and </w:t>
      </w:r>
    </w:p>
    <w:p w14:paraId="3F0A13AC" w14:textId="77777777" w:rsidR="00FA5EC2" w:rsidRDefault="00FA5EC2" w:rsidP="00FA5EC2">
      <w:pPr>
        <w:pStyle w:val="ListParagraph"/>
        <w:numPr>
          <w:ilvl w:val="0"/>
          <w:numId w:val="7"/>
        </w:numPr>
      </w:pPr>
      <w:r>
        <w:t xml:space="preserve">16 core requirements. </w:t>
      </w:r>
    </w:p>
    <w:p w14:paraId="00A17A4B" w14:textId="77777777" w:rsidR="00FA5EC2" w:rsidRDefault="00FA5EC2" w:rsidP="00FA5EC2">
      <w:r>
        <w:t>This structure replaces the former 36 mandatory requirements. Entities’ responsibilities to protect their people, information and assets remain.</w:t>
      </w:r>
    </w:p>
    <w:p w14:paraId="4DDD3A54" w14:textId="77777777" w:rsidR="00FA5EC2" w:rsidRDefault="00FA5EC2" w:rsidP="00FA5EC2">
      <w:r>
        <w:t>Key policy changes include:</w:t>
      </w:r>
    </w:p>
    <w:p w14:paraId="3B13935D" w14:textId="77777777" w:rsidR="00FA5EC2" w:rsidRPr="009024F6" w:rsidRDefault="00FA5EC2" w:rsidP="00904A3F">
      <w:pPr>
        <w:spacing w:after="0"/>
        <w:ind w:left="360"/>
        <w:rPr>
          <w:i/>
        </w:rPr>
      </w:pPr>
      <w:r w:rsidRPr="009024F6">
        <w:rPr>
          <w:i/>
        </w:rPr>
        <w:t>Security governance</w:t>
      </w:r>
    </w:p>
    <w:p w14:paraId="79093CD6" w14:textId="77777777" w:rsidR="00FA5EC2" w:rsidRDefault="00FA5EC2" w:rsidP="00FA5EC2">
      <w:pPr>
        <w:pStyle w:val="ListParagraph"/>
        <w:numPr>
          <w:ilvl w:val="0"/>
          <w:numId w:val="6"/>
        </w:numPr>
      </w:pPr>
      <w:r>
        <w:t xml:space="preserve">Clearer articulation of the role of the accountable authority and the new Chief Security Officer role. </w:t>
      </w:r>
    </w:p>
    <w:p w14:paraId="726FC6B7" w14:textId="77777777" w:rsidR="00FA5EC2" w:rsidRDefault="00FA5EC2" w:rsidP="00FA5EC2">
      <w:pPr>
        <w:pStyle w:val="ListParagraph"/>
        <w:numPr>
          <w:ilvl w:val="0"/>
          <w:numId w:val="6"/>
        </w:numPr>
      </w:pPr>
      <w:r>
        <w:t>Greater prominence to embedding security culture within the entity.</w:t>
      </w:r>
    </w:p>
    <w:p w14:paraId="452746C0" w14:textId="77777777" w:rsidR="00FA5EC2" w:rsidRDefault="00FA5EC2" w:rsidP="00FA5EC2">
      <w:pPr>
        <w:pStyle w:val="ListParagraph"/>
        <w:numPr>
          <w:ilvl w:val="0"/>
          <w:numId w:val="6"/>
        </w:numPr>
      </w:pPr>
      <w:r>
        <w:t>Greater focus on a risk management approach to security.</w:t>
      </w:r>
    </w:p>
    <w:p w14:paraId="0ED21FBA" w14:textId="77777777" w:rsidR="00FA5EC2" w:rsidRDefault="00FA5EC2" w:rsidP="00FA5EC2">
      <w:pPr>
        <w:pStyle w:val="ListParagraph"/>
        <w:numPr>
          <w:ilvl w:val="0"/>
          <w:numId w:val="6"/>
        </w:numPr>
      </w:pPr>
      <w:r>
        <w:t>Introduced the security maturation monitoring requirement for ongoing consideration and oversight of the maturity of the entity’s security capability and risk culture.</w:t>
      </w:r>
    </w:p>
    <w:p w14:paraId="2E17CC3B" w14:textId="77777777" w:rsidR="00FA5EC2" w:rsidRPr="009024F6" w:rsidRDefault="00FA5EC2" w:rsidP="00904A3F">
      <w:pPr>
        <w:spacing w:after="0"/>
        <w:ind w:left="360"/>
        <w:rPr>
          <w:i/>
        </w:rPr>
      </w:pPr>
      <w:r w:rsidRPr="009024F6">
        <w:rPr>
          <w:i/>
        </w:rPr>
        <w:t>Information security</w:t>
      </w:r>
    </w:p>
    <w:p w14:paraId="6202CCF9" w14:textId="77777777" w:rsidR="00FA5EC2" w:rsidRDefault="00FA5EC2" w:rsidP="00FA5EC2">
      <w:pPr>
        <w:pStyle w:val="ListParagraph"/>
        <w:numPr>
          <w:ilvl w:val="0"/>
          <w:numId w:val="6"/>
        </w:numPr>
      </w:pPr>
      <w:r>
        <w:t>Simplified security classification of information system, with an extended implementation period until 1 October 2020.</w:t>
      </w:r>
    </w:p>
    <w:p w14:paraId="207E489F" w14:textId="77777777" w:rsidR="00FA5EC2" w:rsidRDefault="00FA5EC2" w:rsidP="00FA5EC2">
      <w:pPr>
        <w:pStyle w:val="ListParagraph"/>
        <w:numPr>
          <w:ilvl w:val="0"/>
          <w:numId w:val="6"/>
        </w:numPr>
      </w:pPr>
      <w:r>
        <w:t>Increased focus on cyber security matters through better articulation of the cyber requirements, consistent with the Information Security Manual.</w:t>
      </w:r>
    </w:p>
    <w:p w14:paraId="27B4BF46" w14:textId="77777777" w:rsidR="00FA5EC2" w:rsidRPr="009024F6" w:rsidRDefault="00FA5EC2" w:rsidP="00904A3F">
      <w:pPr>
        <w:spacing w:after="0"/>
        <w:ind w:left="360"/>
        <w:rPr>
          <w:i/>
        </w:rPr>
      </w:pPr>
      <w:r w:rsidRPr="009024F6">
        <w:rPr>
          <w:i/>
        </w:rPr>
        <w:t>Personnel security</w:t>
      </w:r>
    </w:p>
    <w:p w14:paraId="5C1AAD28" w14:textId="77777777" w:rsidR="00FA5EC2" w:rsidRDefault="00FA5EC2" w:rsidP="00FA5EC2">
      <w:pPr>
        <w:pStyle w:val="ListParagraph"/>
        <w:numPr>
          <w:ilvl w:val="0"/>
          <w:numId w:val="6"/>
        </w:numPr>
      </w:pPr>
      <w:r>
        <w:t>Introduced the requirement for entities to verify a person’s identification by using the Document Verification Service (DVS).</w:t>
      </w:r>
    </w:p>
    <w:p w14:paraId="0671B160" w14:textId="77777777" w:rsidR="00FA5EC2" w:rsidRDefault="00FA5EC2" w:rsidP="00FA5EC2">
      <w:pPr>
        <w:pStyle w:val="ListParagraph"/>
        <w:numPr>
          <w:ilvl w:val="0"/>
          <w:numId w:val="6"/>
        </w:numPr>
      </w:pPr>
      <w:r>
        <w:t>Increased importance of conducting annual security checks.</w:t>
      </w:r>
    </w:p>
    <w:p w14:paraId="05ECF378" w14:textId="36278C16" w:rsidR="00FA5EC2" w:rsidRDefault="00FA5EC2" w:rsidP="00FA5EC2">
      <w:pPr>
        <w:pStyle w:val="ListParagraph"/>
        <w:numPr>
          <w:ilvl w:val="0"/>
          <w:numId w:val="6"/>
        </w:numPr>
      </w:pPr>
      <w:r>
        <w:t>Highlighted the importance of personnel security information risk sharing.</w:t>
      </w:r>
    </w:p>
    <w:p w14:paraId="6E44EA74" w14:textId="77777777" w:rsidR="00FA5EC2" w:rsidRDefault="00FA5EC2" w:rsidP="00FA5EC2">
      <w:pPr>
        <w:spacing w:after="160" w:line="259" w:lineRule="auto"/>
        <w:rPr>
          <w:rFonts w:asciiTheme="majorHAnsi" w:eastAsiaTheme="majorEastAsia" w:hAnsiTheme="majorHAnsi" w:cstheme="majorBidi"/>
          <w:b/>
          <w:color w:val="365F91" w:themeColor="accent1" w:themeShade="BF"/>
          <w:sz w:val="32"/>
          <w:szCs w:val="32"/>
        </w:rPr>
      </w:pPr>
      <w:r>
        <w:rPr>
          <w:rFonts w:asciiTheme="majorHAnsi" w:eastAsiaTheme="majorEastAsia" w:hAnsiTheme="majorHAnsi" w:cstheme="majorBidi"/>
          <w:b/>
          <w:color w:val="365F91" w:themeColor="accent1" w:themeShade="BF"/>
          <w:sz w:val="32"/>
          <w:szCs w:val="32"/>
        </w:rPr>
        <w:br w:type="page"/>
      </w:r>
    </w:p>
    <w:p w14:paraId="64E35641" w14:textId="61C9C3C4" w:rsidR="00FA5EC2" w:rsidRPr="00FA5EC2" w:rsidRDefault="00FA5EC2" w:rsidP="00FA5EC2">
      <w:pPr>
        <w:pStyle w:val="Heading2"/>
      </w:pPr>
      <w:bookmarkStart w:id="31" w:name="_Toc57712014"/>
      <w:bookmarkStart w:id="32" w:name="_Toc59540648"/>
      <w:r w:rsidRPr="00FA5EC2">
        <w:lastRenderedPageBreak/>
        <w:t>PSPF – Security outcomes and PSPF policies</w:t>
      </w:r>
      <w:bookmarkEnd w:id="31"/>
      <w:bookmarkEnd w:id="3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PSPF - Security outcomes and PSPF policies"/>
        <w:tblDescription w:val="The table is made up of three columns and 17 rows.&#10;The three columns in the first row are Outcome, PSPF Policy and Purpose. Rows 2 to 8 describe the policies and purposes of the Governance policies. Rows 9 to 12 describe the policies and purposes of the Information policies. Rows 13 to 15 describe the policies and purposes of the Personnal policies. Rows 16 to 17 describe the policies and purposes of the Physical policies. &#10;Governance &#10;1. Role of accountable authority. Accountability for security and establishes consistent, efficient and effective protective security measures across government.&#10;2. Management structures and responsibilities. Appropriate management structures and responsibilities in determining how security decisions are made in accordance with security practices. &#10;3. Security planning and risk management. Effective security planning and embedding security into risk management practices.&#10;4. Security maturity monitoring. Monitoring and assessing the maturity of your entity’s security capability and risk culture. &#10;5. Reporting on security. Annual reporting under the PSPF, including assessing the maturity of your entity’s security capability.&#10;6. Security governance for contracted goods and service providers. Assessing and managing security risks that arise from procuring goods and services.&#10;7. Security governance for international sharing. Protections for valuable information and assets under international sharing agreements or arrangements to which Australia is a party.&#10;Information&#10;8. Sensitive and security classified information. Assessing the sensitivity or security classification of information and adopting marking, handling, storage and disposal arrangements that guard against information compromise.&#10;9. Access to information. Security protections that support your entity’s provision of timely, reliable and appropriate access to official information. &#10;10. Safeguarding information from cyber threats. Strategies to mitigate common and emerging cyber threats. &#10;11. Robust ICT systems. Safeguarding information and communication technology systems to support the secure and continuous delivery of government business.&#10;Personnel&#10;12. Eligibility and suitability of personnel. Pre-employment screening processes and standardised vetting practices to be undertaken when employing personnel and contractors.&#10;13. Ongoing assessment of personnel. Maintaining confidence in the ongoing suitability of your entity’s personnel to access Australian Government resources, and manage the risk of malicious or unwitting insiders.&#10;14. Separating personnel. Processes to protect Australian Government people, information and assets when personnel permanently or temporarily leave their employment with your entity.&#10;Physical&#10;15. Physical security for entity resources. Physical protections required to safeguard people, information and assets (including ICT equipment) to minimise or remove security risk.&#10;16. Entity facilities. Applying consistent and structured approach to building construction, security zoning and physical security control measures of your entity’s facilities.&#10;"/>
      </w:tblPr>
      <w:tblGrid>
        <w:gridCol w:w="1413"/>
        <w:gridCol w:w="2835"/>
        <w:gridCol w:w="6054"/>
      </w:tblGrid>
      <w:tr w:rsidR="00FA5EC2" w:rsidRPr="00FB43FA" w14:paraId="1786D4E1" w14:textId="77777777" w:rsidTr="0006358C">
        <w:trPr>
          <w:trHeight w:val="434"/>
        </w:trPr>
        <w:tc>
          <w:tcPr>
            <w:tcW w:w="1413"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DBE5F1" w:themeFill="accent1" w:themeFillTint="33"/>
          </w:tcPr>
          <w:p w14:paraId="0070EE08" w14:textId="77777777" w:rsidR="00FA5EC2" w:rsidRPr="0006358C" w:rsidRDefault="00FA5EC2" w:rsidP="0006358C">
            <w:pPr>
              <w:spacing w:after="0"/>
              <w:jc w:val="center"/>
              <w:rPr>
                <w:b/>
                <w:sz w:val="24"/>
              </w:rPr>
            </w:pPr>
            <w:r w:rsidRPr="0006358C">
              <w:rPr>
                <w:b/>
                <w:sz w:val="24"/>
              </w:rPr>
              <w:t>OUTCOME</w:t>
            </w:r>
          </w:p>
        </w:tc>
        <w:tc>
          <w:tcPr>
            <w:tcW w:w="2835"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DBE5F1" w:themeFill="accent1" w:themeFillTint="33"/>
          </w:tcPr>
          <w:p w14:paraId="07686A66" w14:textId="77777777" w:rsidR="00FA5EC2" w:rsidRPr="0006358C" w:rsidRDefault="00FA5EC2" w:rsidP="0006358C">
            <w:pPr>
              <w:spacing w:after="0"/>
              <w:jc w:val="center"/>
              <w:rPr>
                <w:b/>
                <w:sz w:val="24"/>
              </w:rPr>
            </w:pPr>
            <w:r w:rsidRPr="0006358C">
              <w:rPr>
                <w:b/>
                <w:sz w:val="24"/>
              </w:rPr>
              <w:t>PSPF POLICY</w:t>
            </w:r>
          </w:p>
        </w:tc>
        <w:tc>
          <w:tcPr>
            <w:tcW w:w="6054" w:type="dxa"/>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DBE5F1" w:themeFill="accent1" w:themeFillTint="33"/>
          </w:tcPr>
          <w:p w14:paraId="4BC67517" w14:textId="77777777" w:rsidR="00FA5EC2" w:rsidRPr="0006358C" w:rsidRDefault="00FA5EC2" w:rsidP="0006358C">
            <w:pPr>
              <w:spacing w:after="0"/>
              <w:jc w:val="center"/>
              <w:rPr>
                <w:b/>
                <w:sz w:val="24"/>
              </w:rPr>
            </w:pPr>
            <w:r w:rsidRPr="0006358C">
              <w:rPr>
                <w:b/>
                <w:sz w:val="24"/>
              </w:rPr>
              <w:t>PURPOSE</w:t>
            </w:r>
          </w:p>
        </w:tc>
      </w:tr>
      <w:tr w:rsidR="00FA5EC2" w14:paraId="66F105BD" w14:textId="77777777" w:rsidTr="0006358C">
        <w:tc>
          <w:tcPr>
            <w:tcW w:w="1413" w:type="dxa"/>
            <w:vMerge w:val="restart"/>
            <w:tcBorders>
              <w:top w:val="single" w:sz="4" w:space="0" w:color="595959" w:themeColor="text1" w:themeTint="A6"/>
              <w:left w:val="single" w:sz="4" w:space="0" w:color="595959" w:themeColor="text1" w:themeTint="A6"/>
              <w:right w:val="single" w:sz="4" w:space="0" w:color="595959" w:themeColor="text1" w:themeTint="A6"/>
            </w:tcBorders>
            <w:shd w:val="clear" w:color="auto" w:fill="DBE5F1" w:themeFill="accent1" w:themeFillTint="33"/>
            <w:textDirection w:val="btLr"/>
            <w:vAlign w:val="center"/>
          </w:tcPr>
          <w:p w14:paraId="2AA16B8B" w14:textId="77777777" w:rsidR="00FA5EC2" w:rsidRPr="0006358C" w:rsidRDefault="00FA5EC2" w:rsidP="00FA5EC2">
            <w:pPr>
              <w:jc w:val="center"/>
              <w:rPr>
                <w:b/>
                <w:sz w:val="24"/>
              </w:rPr>
            </w:pPr>
            <w:r w:rsidRPr="0006358C">
              <w:rPr>
                <w:b/>
                <w:sz w:val="24"/>
              </w:rPr>
              <w:t>GOVERNANCE</w:t>
            </w:r>
          </w:p>
        </w:tc>
        <w:tc>
          <w:tcPr>
            <w:tcW w:w="2835" w:type="dxa"/>
            <w:tcBorders>
              <w:top w:val="single" w:sz="4" w:space="0" w:color="595959" w:themeColor="text1" w:themeTint="A6"/>
              <w:left w:val="single" w:sz="4" w:space="0" w:color="595959" w:themeColor="text1" w:themeTint="A6"/>
              <w:bottom w:val="single" w:sz="4" w:space="0" w:color="A6A6A6" w:themeColor="background1" w:themeShade="A6"/>
            </w:tcBorders>
            <w:shd w:val="clear" w:color="auto" w:fill="DBE5F1" w:themeFill="accent1" w:themeFillTint="33"/>
            <w:vAlign w:val="center"/>
          </w:tcPr>
          <w:p w14:paraId="0DA788FE"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Role of accountable authority</w:t>
            </w:r>
          </w:p>
        </w:tc>
        <w:tc>
          <w:tcPr>
            <w:tcW w:w="6054" w:type="dxa"/>
            <w:tcBorders>
              <w:top w:val="single" w:sz="4" w:space="0" w:color="595959" w:themeColor="text1" w:themeTint="A6"/>
              <w:bottom w:val="single" w:sz="4" w:space="0" w:color="A6A6A6" w:themeColor="background1" w:themeShade="A6"/>
              <w:right w:val="single" w:sz="4" w:space="0" w:color="595959" w:themeColor="text1" w:themeTint="A6"/>
            </w:tcBorders>
            <w:shd w:val="clear" w:color="auto" w:fill="DBE5F1" w:themeFill="accent1" w:themeFillTint="33"/>
          </w:tcPr>
          <w:p w14:paraId="6F3F356A" w14:textId="77777777" w:rsidR="00FA5EC2" w:rsidRPr="00FA5EC2" w:rsidRDefault="00FA5EC2" w:rsidP="00FE54FC">
            <w:pPr>
              <w:spacing w:before="40" w:after="40"/>
              <w:rPr>
                <w:rFonts w:eastAsiaTheme="majorEastAsia" w:cstheme="minorHAnsi"/>
                <w:color w:val="000000" w:themeColor="text1"/>
                <w:sz w:val="20"/>
                <w:szCs w:val="32"/>
              </w:rPr>
            </w:pPr>
            <w:r w:rsidRPr="00FA5EC2">
              <w:rPr>
                <w:rFonts w:cstheme="minorHAnsi"/>
                <w:color w:val="313131"/>
                <w:sz w:val="20"/>
                <w:lang w:val="en"/>
              </w:rPr>
              <w:t>Accountability for security and establishes consistent, efficient and effective protective security measures across government.</w:t>
            </w:r>
          </w:p>
        </w:tc>
      </w:tr>
      <w:tr w:rsidR="00FA5EC2" w14:paraId="3A4C7CE4" w14:textId="77777777" w:rsidTr="0006358C">
        <w:tc>
          <w:tcPr>
            <w:tcW w:w="1413" w:type="dxa"/>
            <w:vMerge/>
            <w:tcBorders>
              <w:left w:val="single" w:sz="4" w:space="0" w:color="595959" w:themeColor="text1" w:themeTint="A6"/>
              <w:right w:val="single" w:sz="4" w:space="0" w:color="595959" w:themeColor="text1" w:themeTint="A6"/>
            </w:tcBorders>
            <w:shd w:val="clear" w:color="auto" w:fill="DBE5F1" w:themeFill="accent1" w:themeFillTint="33"/>
            <w:vAlign w:val="center"/>
          </w:tcPr>
          <w:p w14:paraId="47760298" w14:textId="77777777" w:rsidR="00FA5EC2" w:rsidRPr="0006358C" w:rsidRDefault="00FA5EC2" w:rsidP="00FA5EC2">
            <w:pPr>
              <w:jc w:val="center"/>
              <w:rPr>
                <w:b/>
                <w:sz w:val="24"/>
              </w:rPr>
            </w:pPr>
          </w:p>
        </w:tc>
        <w:tc>
          <w:tcPr>
            <w:tcW w:w="2835" w:type="dxa"/>
            <w:tcBorders>
              <w:top w:val="single" w:sz="4" w:space="0" w:color="A6A6A6" w:themeColor="background1" w:themeShade="A6"/>
              <w:left w:val="single" w:sz="4" w:space="0" w:color="595959" w:themeColor="text1" w:themeTint="A6"/>
              <w:bottom w:val="single" w:sz="4" w:space="0" w:color="A6A6A6" w:themeColor="background1" w:themeShade="A6"/>
            </w:tcBorders>
            <w:shd w:val="clear" w:color="auto" w:fill="DBE5F1" w:themeFill="accent1" w:themeFillTint="33"/>
            <w:vAlign w:val="center"/>
          </w:tcPr>
          <w:p w14:paraId="154E6061"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Management structures and responsibilities</w:t>
            </w:r>
          </w:p>
        </w:tc>
        <w:tc>
          <w:tcPr>
            <w:tcW w:w="6054" w:type="dxa"/>
            <w:tcBorders>
              <w:top w:val="single" w:sz="4" w:space="0" w:color="A6A6A6" w:themeColor="background1" w:themeShade="A6"/>
              <w:bottom w:val="single" w:sz="4" w:space="0" w:color="A6A6A6" w:themeColor="background1" w:themeShade="A6"/>
              <w:right w:val="single" w:sz="4" w:space="0" w:color="595959" w:themeColor="text1" w:themeTint="A6"/>
            </w:tcBorders>
            <w:shd w:val="clear" w:color="auto" w:fill="DBE5F1" w:themeFill="accent1" w:themeFillTint="33"/>
          </w:tcPr>
          <w:p w14:paraId="7AD436F0" w14:textId="77777777" w:rsidR="00FA5EC2" w:rsidRPr="00FA5EC2" w:rsidRDefault="00FA5EC2" w:rsidP="00FE54FC">
            <w:pPr>
              <w:spacing w:before="40" w:after="40"/>
              <w:rPr>
                <w:rFonts w:cstheme="minorHAnsi"/>
                <w:color w:val="313131"/>
                <w:sz w:val="20"/>
                <w:lang w:val="en"/>
              </w:rPr>
            </w:pPr>
            <w:r w:rsidRPr="00FA5EC2">
              <w:rPr>
                <w:rFonts w:cstheme="minorHAnsi"/>
                <w:color w:val="313131"/>
                <w:sz w:val="20"/>
                <w:lang w:val="en"/>
              </w:rPr>
              <w:t xml:space="preserve">Appropriate management structures and responsibilities in determining how security decisions are made in accordance with security practices. </w:t>
            </w:r>
          </w:p>
        </w:tc>
      </w:tr>
      <w:tr w:rsidR="00FA5EC2" w14:paraId="500267AD" w14:textId="77777777" w:rsidTr="0006358C">
        <w:tc>
          <w:tcPr>
            <w:tcW w:w="1413" w:type="dxa"/>
            <w:vMerge/>
            <w:tcBorders>
              <w:left w:val="single" w:sz="4" w:space="0" w:color="595959" w:themeColor="text1" w:themeTint="A6"/>
              <w:right w:val="single" w:sz="4" w:space="0" w:color="595959" w:themeColor="text1" w:themeTint="A6"/>
            </w:tcBorders>
            <w:shd w:val="clear" w:color="auto" w:fill="DBE5F1" w:themeFill="accent1" w:themeFillTint="33"/>
            <w:vAlign w:val="center"/>
          </w:tcPr>
          <w:p w14:paraId="235FF94B" w14:textId="77777777" w:rsidR="00FA5EC2" w:rsidRPr="0006358C" w:rsidRDefault="00FA5EC2" w:rsidP="00FA5EC2">
            <w:pPr>
              <w:jc w:val="center"/>
              <w:rPr>
                <w:b/>
                <w:sz w:val="24"/>
              </w:rPr>
            </w:pPr>
          </w:p>
        </w:tc>
        <w:tc>
          <w:tcPr>
            <w:tcW w:w="2835" w:type="dxa"/>
            <w:tcBorders>
              <w:top w:val="single" w:sz="4" w:space="0" w:color="A6A6A6" w:themeColor="background1" w:themeShade="A6"/>
              <w:left w:val="single" w:sz="4" w:space="0" w:color="595959" w:themeColor="text1" w:themeTint="A6"/>
              <w:bottom w:val="single" w:sz="4" w:space="0" w:color="A6A6A6" w:themeColor="background1" w:themeShade="A6"/>
            </w:tcBorders>
            <w:shd w:val="clear" w:color="auto" w:fill="DBE5F1" w:themeFill="accent1" w:themeFillTint="33"/>
            <w:vAlign w:val="center"/>
          </w:tcPr>
          <w:p w14:paraId="33EB6A25"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Security planning and risk management</w:t>
            </w:r>
          </w:p>
        </w:tc>
        <w:tc>
          <w:tcPr>
            <w:tcW w:w="6054" w:type="dxa"/>
            <w:tcBorders>
              <w:top w:val="single" w:sz="4" w:space="0" w:color="A6A6A6" w:themeColor="background1" w:themeShade="A6"/>
              <w:bottom w:val="single" w:sz="4" w:space="0" w:color="A6A6A6" w:themeColor="background1" w:themeShade="A6"/>
              <w:right w:val="single" w:sz="4" w:space="0" w:color="595959" w:themeColor="text1" w:themeTint="A6"/>
            </w:tcBorders>
            <w:shd w:val="clear" w:color="auto" w:fill="DBE5F1" w:themeFill="accent1" w:themeFillTint="33"/>
          </w:tcPr>
          <w:p w14:paraId="6953D43F" w14:textId="77777777" w:rsidR="00FA5EC2" w:rsidRPr="00FA5EC2" w:rsidRDefault="00FA5EC2" w:rsidP="00FE54FC">
            <w:pPr>
              <w:spacing w:before="40" w:after="40"/>
              <w:rPr>
                <w:rFonts w:cstheme="minorHAnsi"/>
                <w:color w:val="313131"/>
                <w:sz w:val="20"/>
                <w:lang w:val="en"/>
              </w:rPr>
            </w:pPr>
            <w:r w:rsidRPr="00FA5EC2">
              <w:rPr>
                <w:rFonts w:cstheme="minorHAnsi"/>
                <w:color w:val="313131"/>
                <w:sz w:val="20"/>
                <w:lang w:val="en"/>
              </w:rPr>
              <w:t>Effective security planning and embedding security into risk management practices.</w:t>
            </w:r>
          </w:p>
        </w:tc>
      </w:tr>
      <w:tr w:rsidR="00FA5EC2" w14:paraId="235B906D" w14:textId="77777777" w:rsidTr="0006358C">
        <w:tc>
          <w:tcPr>
            <w:tcW w:w="1413" w:type="dxa"/>
            <w:vMerge/>
            <w:tcBorders>
              <w:left w:val="single" w:sz="4" w:space="0" w:color="595959" w:themeColor="text1" w:themeTint="A6"/>
              <w:right w:val="single" w:sz="4" w:space="0" w:color="595959" w:themeColor="text1" w:themeTint="A6"/>
            </w:tcBorders>
            <w:shd w:val="clear" w:color="auto" w:fill="DBE5F1" w:themeFill="accent1" w:themeFillTint="33"/>
            <w:vAlign w:val="center"/>
          </w:tcPr>
          <w:p w14:paraId="07503C2E" w14:textId="77777777" w:rsidR="00FA5EC2" w:rsidRPr="0006358C" w:rsidRDefault="00FA5EC2" w:rsidP="00FA5EC2">
            <w:pPr>
              <w:jc w:val="center"/>
              <w:rPr>
                <w:b/>
                <w:sz w:val="24"/>
              </w:rPr>
            </w:pPr>
          </w:p>
        </w:tc>
        <w:tc>
          <w:tcPr>
            <w:tcW w:w="2835" w:type="dxa"/>
            <w:tcBorders>
              <w:top w:val="single" w:sz="4" w:space="0" w:color="A6A6A6" w:themeColor="background1" w:themeShade="A6"/>
              <w:left w:val="single" w:sz="4" w:space="0" w:color="595959" w:themeColor="text1" w:themeTint="A6"/>
              <w:bottom w:val="single" w:sz="4" w:space="0" w:color="A6A6A6" w:themeColor="background1" w:themeShade="A6"/>
            </w:tcBorders>
            <w:shd w:val="clear" w:color="auto" w:fill="DBE5F1" w:themeFill="accent1" w:themeFillTint="33"/>
            <w:vAlign w:val="center"/>
          </w:tcPr>
          <w:p w14:paraId="2C216C81"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Security maturity monitoring</w:t>
            </w:r>
          </w:p>
        </w:tc>
        <w:tc>
          <w:tcPr>
            <w:tcW w:w="6054" w:type="dxa"/>
            <w:tcBorders>
              <w:top w:val="single" w:sz="4" w:space="0" w:color="A6A6A6" w:themeColor="background1" w:themeShade="A6"/>
              <w:bottom w:val="single" w:sz="4" w:space="0" w:color="A6A6A6" w:themeColor="background1" w:themeShade="A6"/>
              <w:right w:val="single" w:sz="4" w:space="0" w:color="595959" w:themeColor="text1" w:themeTint="A6"/>
            </w:tcBorders>
            <w:shd w:val="clear" w:color="auto" w:fill="DBE5F1" w:themeFill="accent1" w:themeFillTint="33"/>
          </w:tcPr>
          <w:p w14:paraId="194C68C2" w14:textId="77777777" w:rsidR="00FA5EC2" w:rsidRPr="00FA5EC2" w:rsidRDefault="00FA5EC2" w:rsidP="00FE54FC">
            <w:pPr>
              <w:spacing w:before="40" w:after="40"/>
              <w:rPr>
                <w:rFonts w:cstheme="minorHAnsi"/>
                <w:color w:val="313131"/>
                <w:sz w:val="20"/>
                <w:lang w:val="en"/>
              </w:rPr>
            </w:pPr>
            <w:r w:rsidRPr="00FA5EC2">
              <w:rPr>
                <w:rFonts w:cstheme="minorHAnsi"/>
                <w:color w:val="313131"/>
                <w:sz w:val="20"/>
                <w:lang w:val="en"/>
              </w:rPr>
              <w:t xml:space="preserve">Monitoring and assessing the maturity of your entity’s security capability and risk culture. </w:t>
            </w:r>
          </w:p>
        </w:tc>
      </w:tr>
      <w:tr w:rsidR="00FA5EC2" w14:paraId="476C2214" w14:textId="77777777" w:rsidTr="0006358C">
        <w:tc>
          <w:tcPr>
            <w:tcW w:w="1413" w:type="dxa"/>
            <w:vMerge/>
            <w:tcBorders>
              <w:left w:val="single" w:sz="4" w:space="0" w:color="595959" w:themeColor="text1" w:themeTint="A6"/>
              <w:right w:val="single" w:sz="4" w:space="0" w:color="595959" w:themeColor="text1" w:themeTint="A6"/>
            </w:tcBorders>
            <w:shd w:val="clear" w:color="auto" w:fill="DBE5F1" w:themeFill="accent1" w:themeFillTint="33"/>
            <w:vAlign w:val="center"/>
          </w:tcPr>
          <w:p w14:paraId="0AC0770C" w14:textId="77777777" w:rsidR="00FA5EC2" w:rsidRPr="0006358C" w:rsidRDefault="00FA5EC2" w:rsidP="00FA5EC2">
            <w:pPr>
              <w:jc w:val="center"/>
              <w:rPr>
                <w:b/>
                <w:sz w:val="24"/>
              </w:rPr>
            </w:pPr>
          </w:p>
        </w:tc>
        <w:tc>
          <w:tcPr>
            <w:tcW w:w="2835" w:type="dxa"/>
            <w:tcBorders>
              <w:top w:val="single" w:sz="4" w:space="0" w:color="A6A6A6" w:themeColor="background1" w:themeShade="A6"/>
              <w:left w:val="single" w:sz="4" w:space="0" w:color="595959" w:themeColor="text1" w:themeTint="A6"/>
              <w:bottom w:val="single" w:sz="4" w:space="0" w:color="A6A6A6" w:themeColor="background1" w:themeShade="A6"/>
            </w:tcBorders>
            <w:shd w:val="clear" w:color="auto" w:fill="DBE5F1" w:themeFill="accent1" w:themeFillTint="33"/>
            <w:vAlign w:val="center"/>
          </w:tcPr>
          <w:p w14:paraId="14A3CBD9"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Reporting on security</w:t>
            </w:r>
          </w:p>
        </w:tc>
        <w:tc>
          <w:tcPr>
            <w:tcW w:w="6054" w:type="dxa"/>
            <w:tcBorders>
              <w:top w:val="single" w:sz="4" w:space="0" w:color="A6A6A6" w:themeColor="background1" w:themeShade="A6"/>
              <w:bottom w:val="single" w:sz="4" w:space="0" w:color="A6A6A6" w:themeColor="background1" w:themeShade="A6"/>
              <w:right w:val="single" w:sz="4" w:space="0" w:color="595959" w:themeColor="text1" w:themeTint="A6"/>
            </w:tcBorders>
            <w:shd w:val="clear" w:color="auto" w:fill="DBE5F1" w:themeFill="accent1" w:themeFillTint="33"/>
          </w:tcPr>
          <w:p w14:paraId="6ACFF80E" w14:textId="77777777" w:rsidR="00FA5EC2" w:rsidRPr="00FA5EC2" w:rsidRDefault="00FA5EC2" w:rsidP="00FE54FC">
            <w:pPr>
              <w:spacing w:before="40" w:after="40"/>
              <w:rPr>
                <w:rFonts w:cstheme="minorHAnsi"/>
                <w:color w:val="313131"/>
                <w:sz w:val="20"/>
                <w:lang w:val="en"/>
              </w:rPr>
            </w:pPr>
            <w:r w:rsidRPr="00FA5EC2">
              <w:rPr>
                <w:rFonts w:cstheme="minorHAnsi"/>
                <w:color w:val="313131"/>
                <w:sz w:val="20"/>
                <w:lang w:val="en"/>
              </w:rPr>
              <w:t>Annual reporting under the PSPF, including assessing the maturity of your entity’s security capability.</w:t>
            </w:r>
          </w:p>
        </w:tc>
      </w:tr>
      <w:tr w:rsidR="00FA5EC2" w14:paraId="74328A34" w14:textId="77777777" w:rsidTr="0006358C">
        <w:tc>
          <w:tcPr>
            <w:tcW w:w="1413" w:type="dxa"/>
            <w:vMerge/>
            <w:tcBorders>
              <w:left w:val="single" w:sz="4" w:space="0" w:color="595959" w:themeColor="text1" w:themeTint="A6"/>
              <w:right w:val="single" w:sz="4" w:space="0" w:color="595959" w:themeColor="text1" w:themeTint="A6"/>
            </w:tcBorders>
            <w:shd w:val="clear" w:color="auto" w:fill="DBE5F1" w:themeFill="accent1" w:themeFillTint="33"/>
            <w:vAlign w:val="center"/>
          </w:tcPr>
          <w:p w14:paraId="1A642FCF" w14:textId="77777777" w:rsidR="00FA5EC2" w:rsidRPr="0006358C" w:rsidRDefault="00FA5EC2" w:rsidP="00FA5EC2">
            <w:pPr>
              <w:jc w:val="center"/>
              <w:rPr>
                <w:b/>
                <w:sz w:val="24"/>
              </w:rPr>
            </w:pPr>
          </w:p>
        </w:tc>
        <w:tc>
          <w:tcPr>
            <w:tcW w:w="2835" w:type="dxa"/>
            <w:tcBorders>
              <w:top w:val="single" w:sz="4" w:space="0" w:color="A6A6A6" w:themeColor="background1" w:themeShade="A6"/>
              <w:left w:val="single" w:sz="4" w:space="0" w:color="595959" w:themeColor="text1" w:themeTint="A6"/>
              <w:bottom w:val="single" w:sz="4" w:space="0" w:color="A6A6A6" w:themeColor="background1" w:themeShade="A6"/>
            </w:tcBorders>
            <w:shd w:val="clear" w:color="auto" w:fill="DBE5F1" w:themeFill="accent1" w:themeFillTint="33"/>
            <w:vAlign w:val="center"/>
          </w:tcPr>
          <w:p w14:paraId="108AEA2D"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Security governance for contracted goods and service providers</w:t>
            </w:r>
          </w:p>
        </w:tc>
        <w:tc>
          <w:tcPr>
            <w:tcW w:w="6054" w:type="dxa"/>
            <w:tcBorders>
              <w:top w:val="single" w:sz="4" w:space="0" w:color="A6A6A6" w:themeColor="background1" w:themeShade="A6"/>
              <w:bottom w:val="single" w:sz="4" w:space="0" w:color="A6A6A6" w:themeColor="background1" w:themeShade="A6"/>
              <w:right w:val="single" w:sz="4" w:space="0" w:color="595959" w:themeColor="text1" w:themeTint="A6"/>
            </w:tcBorders>
            <w:shd w:val="clear" w:color="auto" w:fill="DBE5F1" w:themeFill="accent1" w:themeFillTint="33"/>
          </w:tcPr>
          <w:p w14:paraId="3C4668E2" w14:textId="77777777" w:rsidR="00FA5EC2" w:rsidRPr="00FA5EC2" w:rsidRDefault="00FA5EC2" w:rsidP="00FE54FC">
            <w:pPr>
              <w:spacing w:before="40" w:after="40"/>
              <w:rPr>
                <w:rFonts w:cstheme="minorHAnsi"/>
                <w:color w:val="313131"/>
                <w:sz w:val="20"/>
                <w:lang w:val="en"/>
              </w:rPr>
            </w:pPr>
            <w:r w:rsidRPr="00FA5EC2">
              <w:rPr>
                <w:rFonts w:cstheme="minorHAnsi"/>
                <w:color w:val="313131"/>
                <w:sz w:val="20"/>
                <w:lang w:val="en"/>
              </w:rPr>
              <w:t>Assessing and managing security risks that arise from procuring goods and services.</w:t>
            </w:r>
          </w:p>
        </w:tc>
      </w:tr>
      <w:tr w:rsidR="00FA5EC2" w14:paraId="580264E5" w14:textId="77777777" w:rsidTr="0006358C">
        <w:tc>
          <w:tcPr>
            <w:tcW w:w="1413" w:type="dxa"/>
            <w:vMerge/>
            <w:tcBorders>
              <w:left w:val="single" w:sz="4" w:space="0" w:color="595959" w:themeColor="text1" w:themeTint="A6"/>
              <w:bottom w:val="single" w:sz="4" w:space="0" w:color="595959" w:themeColor="text1" w:themeTint="A6"/>
              <w:right w:val="single" w:sz="4" w:space="0" w:color="595959" w:themeColor="text1" w:themeTint="A6"/>
            </w:tcBorders>
            <w:shd w:val="clear" w:color="auto" w:fill="DBE5F1" w:themeFill="accent1" w:themeFillTint="33"/>
            <w:vAlign w:val="center"/>
          </w:tcPr>
          <w:p w14:paraId="51ECE081" w14:textId="77777777" w:rsidR="00FA5EC2" w:rsidRPr="0006358C" w:rsidRDefault="00FA5EC2" w:rsidP="00FA5EC2">
            <w:pPr>
              <w:jc w:val="center"/>
              <w:rPr>
                <w:b/>
                <w:sz w:val="24"/>
              </w:rPr>
            </w:pPr>
          </w:p>
        </w:tc>
        <w:tc>
          <w:tcPr>
            <w:tcW w:w="2835" w:type="dxa"/>
            <w:tcBorders>
              <w:top w:val="single" w:sz="4" w:space="0" w:color="A6A6A6" w:themeColor="background1" w:themeShade="A6"/>
              <w:left w:val="single" w:sz="4" w:space="0" w:color="595959" w:themeColor="text1" w:themeTint="A6"/>
              <w:bottom w:val="single" w:sz="4" w:space="0" w:color="595959" w:themeColor="text1" w:themeTint="A6"/>
            </w:tcBorders>
            <w:shd w:val="clear" w:color="auto" w:fill="DBE5F1" w:themeFill="accent1" w:themeFillTint="33"/>
            <w:vAlign w:val="center"/>
          </w:tcPr>
          <w:p w14:paraId="076D9932"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 xml:space="preserve">Security governance for international sharing </w:t>
            </w:r>
          </w:p>
        </w:tc>
        <w:tc>
          <w:tcPr>
            <w:tcW w:w="6054" w:type="dxa"/>
            <w:tcBorders>
              <w:top w:val="single" w:sz="4" w:space="0" w:color="A6A6A6" w:themeColor="background1" w:themeShade="A6"/>
              <w:bottom w:val="single" w:sz="4" w:space="0" w:color="595959" w:themeColor="text1" w:themeTint="A6"/>
              <w:right w:val="single" w:sz="4" w:space="0" w:color="595959" w:themeColor="text1" w:themeTint="A6"/>
            </w:tcBorders>
            <w:shd w:val="clear" w:color="auto" w:fill="DBE5F1" w:themeFill="accent1" w:themeFillTint="33"/>
          </w:tcPr>
          <w:p w14:paraId="129ACEF6" w14:textId="77777777" w:rsidR="00FA5EC2" w:rsidRPr="00FA5EC2" w:rsidRDefault="00FA5EC2" w:rsidP="00FE54FC">
            <w:pPr>
              <w:spacing w:before="40" w:after="40"/>
              <w:rPr>
                <w:rFonts w:cstheme="minorHAnsi"/>
                <w:color w:val="313131"/>
                <w:sz w:val="20"/>
                <w:lang w:val="en"/>
              </w:rPr>
            </w:pPr>
            <w:r w:rsidRPr="00FA5EC2">
              <w:rPr>
                <w:rFonts w:cstheme="minorHAnsi"/>
                <w:color w:val="313131"/>
                <w:sz w:val="20"/>
                <w:lang w:val="en"/>
              </w:rPr>
              <w:t>Protections for valuable information and assets under international sharing agreements or arrangements to which Australia is a party.</w:t>
            </w:r>
          </w:p>
        </w:tc>
      </w:tr>
      <w:tr w:rsidR="00FA5EC2" w14:paraId="4C582D65" w14:textId="77777777" w:rsidTr="0006358C">
        <w:tc>
          <w:tcPr>
            <w:tcW w:w="1413" w:type="dxa"/>
            <w:vMerge w:val="restart"/>
            <w:tcBorders>
              <w:top w:val="single" w:sz="4" w:space="0" w:color="595959" w:themeColor="text1" w:themeTint="A6"/>
              <w:left w:val="single" w:sz="4" w:space="0" w:color="595959" w:themeColor="text1" w:themeTint="A6"/>
              <w:right w:val="single" w:sz="4" w:space="0" w:color="595959" w:themeColor="text1" w:themeTint="A6"/>
            </w:tcBorders>
            <w:shd w:val="clear" w:color="auto" w:fill="DBE5F1" w:themeFill="accent1" w:themeFillTint="33"/>
            <w:textDirection w:val="btLr"/>
            <w:vAlign w:val="center"/>
          </w:tcPr>
          <w:p w14:paraId="6EE58180" w14:textId="77777777" w:rsidR="00FA5EC2" w:rsidRPr="0006358C" w:rsidRDefault="00FA5EC2" w:rsidP="00FA5EC2">
            <w:pPr>
              <w:jc w:val="center"/>
              <w:rPr>
                <w:b/>
                <w:sz w:val="24"/>
              </w:rPr>
            </w:pPr>
            <w:r w:rsidRPr="0006358C">
              <w:rPr>
                <w:b/>
                <w:sz w:val="24"/>
              </w:rPr>
              <w:t>INFORMATION</w:t>
            </w:r>
          </w:p>
        </w:tc>
        <w:tc>
          <w:tcPr>
            <w:tcW w:w="2835" w:type="dxa"/>
            <w:tcBorders>
              <w:top w:val="single" w:sz="4" w:space="0" w:color="595959" w:themeColor="text1" w:themeTint="A6"/>
              <w:left w:val="single" w:sz="4" w:space="0" w:color="595959" w:themeColor="text1" w:themeTint="A6"/>
              <w:bottom w:val="single" w:sz="4" w:space="0" w:color="A6A6A6" w:themeColor="background1" w:themeShade="A6"/>
            </w:tcBorders>
            <w:shd w:val="clear" w:color="auto" w:fill="DBE5F1" w:themeFill="accent1" w:themeFillTint="33"/>
            <w:vAlign w:val="center"/>
          </w:tcPr>
          <w:p w14:paraId="75A6034F"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Sensitive and security classified information</w:t>
            </w:r>
          </w:p>
        </w:tc>
        <w:tc>
          <w:tcPr>
            <w:tcW w:w="6054" w:type="dxa"/>
            <w:tcBorders>
              <w:top w:val="single" w:sz="4" w:space="0" w:color="595959" w:themeColor="text1" w:themeTint="A6"/>
              <w:bottom w:val="single" w:sz="4" w:space="0" w:color="A6A6A6" w:themeColor="background1" w:themeShade="A6"/>
              <w:right w:val="single" w:sz="4" w:space="0" w:color="595959" w:themeColor="text1" w:themeTint="A6"/>
            </w:tcBorders>
            <w:shd w:val="clear" w:color="auto" w:fill="DBE5F1" w:themeFill="accent1" w:themeFillTint="33"/>
          </w:tcPr>
          <w:p w14:paraId="7CD9D89E" w14:textId="77777777" w:rsidR="00FA5EC2" w:rsidRPr="00FA5EC2" w:rsidRDefault="00FA5EC2" w:rsidP="00FE54FC">
            <w:pPr>
              <w:spacing w:before="40" w:after="40"/>
              <w:rPr>
                <w:rFonts w:cstheme="minorHAnsi"/>
                <w:color w:val="313131"/>
                <w:sz w:val="20"/>
                <w:lang w:val="en"/>
              </w:rPr>
            </w:pPr>
            <w:r w:rsidRPr="00FA5EC2">
              <w:rPr>
                <w:rFonts w:cstheme="minorHAnsi"/>
                <w:color w:val="313131"/>
                <w:sz w:val="20"/>
                <w:lang w:val="en"/>
              </w:rPr>
              <w:t>Assessing the sensitivity or security classification of information and adopting marking, handling, storage and disposal arrangements that guard against information compromise.</w:t>
            </w:r>
          </w:p>
        </w:tc>
      </w:tr>
      <w:tr w:rsidR="00FA5EC2" w14:paraId="105585BF" w14:textId="77777777" w:rsidTr="0006358C">
        <w:tc>
          <w:tcPr>
            <w:tcW w:w="1413" w:type="dxa"/>
            <w:vMerge/>
            <w:tcBorders>
              <w:left w:val="single" w:sz="4" w:space="0" w:color="595959" w:themeColor="text1" w:themeTint="A6"/>
              <w:right w:val="single" w:sz="4" w:space="0" w:color="595959" w:themeColor="text1" w:themeTint="A6"/>
            </w:tcBorders>
            <w:shd w:val="clear" w:color="auto" w:fill="DBE5F1" w:themeFill="accent1" w:themeFillTint="33"/>
            <w:vAlign w:val="center"/>
          </w:tcPr>
          <w:p w14:paraId="6DD2493D" w14:textId="77777777" w:rsidR="00FA5EC2" w:rsidRPr="0006358C" w:rsidRDefault="00FA5EC2" w:rsidP="00FA5EC2">
            <w:pPr>
              <w:jc w:val="center"/>
              <w:rPr>
                <w:b/>
                <w:sz w:val="24"/>
              </w:rPr>
            </w:pPr>
          </w:p>
        </w:tc>
        <w:tc>
          <w:tcPr>
            <w:tcW w:w="2835" w:type="dxa"/>
            <w:tcBorders>
              <w:top w:val="single" w:sz="4" w:space="0" w:color="A6A6A6" w:themeColor="background1" w:themeShade="A6"/>
              <w:left w:val="single" w:sz="4" w:space="0" w:color="595959" w:themeColor="text1" w:themeTint="A6"/>
              <w:bottom w:val="single" w:sz="4" w:space="0" w:color="A6A6A6" w:themeColor="background1" w:themeShade="A6"/>
            </w:tcBorders>
            <w:shd w:val="clear" w:color="auto" w:fill="DBE5F1" w:themeFill="accent1" w:themeFillTint="33"/>
            <w:vAlign w:val="center"/>
          </w:tcPr>
          <w:p w14:paraId="3750A94A"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Access to information</w:t>
            </w:r>
          </w:p>
        </w:tc>
        <w:tc>
          <w:tcPr>
            <w:tcW w:w="6054" w:type="dxa"/>
            <w:tcBorders>
              <w:top w:val="single" w:sz="4" w:space="0" w:color="A6A6A6" w:themeColor="background1" w:themeShade="A6"/>
              <w:bottom w:val="single" w:sz="4" w:space="0" w:color="A6A6A6" w:themeColor="background1" w:themeShade="A6"/>
              <w:right w:val="single" w:sz="4" w:space="0" w:color="595959" w:themeColor="text1" w:themeTint="A6"/>
            </w:tcBorders>
            <w:shd w:val="clear" w:color="auto" w:fill="DBE5F1" w:themeFill="accent1" w:themeFillTint="33"/>
          </w:tcPr>
          <w:p w14:paraId="2C7B46BD" w14:textId="77777777" w:rsidR="00FA5EC2" w:rsidRPr="00FA5EC2" w:rsidRDefault="00FA5EC2" w:rsidP="00FE54FC">
            <w:pPr>
              <w:spacing w:before="40" w:after="40"/>
              <w:rPr>
                <w:rFonts w:cstheme="minorHAnsi"/>
                <w:color w:val="313131"/>
                <w:sz w:val="20"/>
                <w:lang w:val="en"/>
              </w:rPr>
            </w:pPr>
            <w:r w:rsidRPr="00FA5EC2">
              <w:rPr>
                <w:rFonts w:cstheme="minorHAnsi"/>
                <w:color w:val="313131"/>
                <w:sz w:val="20"/>
                <w:lang w:val="en"/>
              </w:rPr>
              <w:t xml:space="preserve">Security protections that support your entity’s provision of timely, reliable and appropriate access to official information. </w:t>
            </w:r>
          </w:p>
        </w:tc>
      </w:tr>
      <w:tr w:rsidR="00FA5EC2" w14:paraId="4B57E7FC" w14:textId="77777777" w:rsidTr="0006358C">
        <w:tc>
          <w:tcPr>
            <w:tcW w:w="1413" w:type="dxa"/>
            <w:vMerge/>
            <w:tcBorders>
              <w:left w:val="single" w:sz="4" w:space="0" w:color="595959" w:themeColor="text1" w:themeTint="A6"/>
              <w:right w:val="single" w:sz="4" w:space="0" w:color="595959" w:themeColor="text1" w:themeTint="A6"/>
            </w:tcBorders>
            <w:shd w:val="clear" w:color="auto" w:fill="DBE5F1" w:themeFill="accent1" w:themeFillTint="33"/>
            <w:vAlign w:val="center"/>
          </w:tcPr>
          <w:p w14:paraId="3BF8B5FF" w14:textId="77777777" w:rsidR="00FA5EC2" w:rsidRPr="0006358C" w:rsidRDefault="00FA5EC2" w:rsidP="00FA5EC2">
            <w:pPr>
              <w:jc w:val="center"/>
              <w:rPr>
                <w:b/>
                <w:sz w:val="24"/>
              </w:rPr>
            </w:pPr>
          </w:p>
        </w:tc>
        <w:tc>
          <w:tcPr>
            <w:tcW w:w="2835" w:type="dxa"/>
            <w:tcBorders>
              <w:top w:val="single" w:sz="4" w:space="0" w:color="A6A6A6" w:themeColor="background1" w:themeShade="A6"/>
              <w:left w:val="single" w:sz="4" w:space="0" w:color="595959" w:themeColor="text1" w:themeTint="A6"/>
              <w:bottom w:val="single" w:sz="4" w:space="0" w:color="A6A6A6" w:themeColor="background1" w:themeShade="A6"/>
            </w:tcBorders>
            <w:shd w:val="clear" w:color="auto" w:fill="DBE5F1" w:themeFill="accent1" w:themeFillTint="33"/>
            <w:vAlign w:val="center"/>
          </w:tcPr>
          <w:p w14:paraId="4F6AC7A9"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Safeguarding information from cyber threats</w:t>
            </w:r>
          </w:p>
        </w:tc>
        <w:tc>
          <w:tcPr>
            <w:tcW w:w="6054" w:type="dxa"/>
            <w:tcBorders>
              <w:top w:val="single" w:sz="4" w:space="0" w:color="A6A6A6" w:themeColor="background1" w:themeShade="A6"/>
              <w:bottom w:val="single" w:sz="4" w:space="0" w:color="A6A6A6" w:themeColor="background1" w:themeShade="A6"/>
              <w:right w:val="single" w:sz="4" w:space="0" w:color="595959" w:themeColor="text1" w:themeTint="A6"/>
            </w:tcBorders>
            <w:shd w:val="clear" w:color="auto" w:fill="DBE5F1" w:themeFill="accent1" w:themeFillTint="33"/>
          </w:tcPr>
          <w:p w14:paraId="4E7A77EF" w14:textId="77777777" w:rsidR="00FA5EC2" w:rsidRPr="00FA5EC2" w:rsidRDefault="00FA5EC2" w:rsidP="00FE54FC">
            <w:pPr>
              <w:spacing w:before="40" w:after="40"/>
              <w:rPr>
                <w:rFonts w:cstheme="minorHAnsi"/>
                <w:color w:val="313131"/>
                <w:sz w:val="20"/>
                <w:lang w:val="en"/>
              </w:rPr>
            </w:pPr>
            <w:r w:rsidRPr="00FA5EC2">
              <w:rPr>
                <w:rFonts w:cstheme="minorHAnsi"/>
                <w:color w:val="313131"/>
                <w:sz w:val="20"/>
                <w:lang w:val="en"/>
              </w:rPr>
              <w:t xml:space="preserve">Strategies to mitigate common and emerging cyber threats. </w:t>
            </w:r>
          </w:p>
        </w:tc>
      </w:tr>
      <w:tr w:rsidR="00FA5EC2" w14:paraId="483848ED" w14:textId="77777777" w:rsidTr="0006358C">
        <w:tc>
          <w:tcPr>
            <w:tcW w:w="1413" w:type="dxa"/>
            <w:vMerge/>
            <w:tcBorders>
              <w:left w:val="single" w:sz="4" w:space="0" w:color="595959" w:themeColor="text1" w:themeTint="A6"/>
              <w:bottom w:val="single" w:sz="4" w:space="0" w:color="595959" w:themeColor="text1" w:themeTint="A6"/>
              <w:right w:val="single" w:sz="4" w:space="0" w:color="595959" w:themeColor="text1" w:themeTint="A6"/>
            </w:tcBorders>
            <w:shd w:val="clear" w:color="auto" w:fill="DBE5F1" w:themeFill="accent1" w:themeFillTint="33"/>
            <w:vAlign w:val="center"/>
          </w:tcPr>
          <w:p w14:paraId="066B986D" w14:textId="77777777" w:rsidR="00FA5EC2" w:rsidRPr="0006358C" w:rsidRDefault="00FA5EC2" w:rsidP="00FA5EC2">
            <w:pPr>
              <w:jc w:val="center"/>
              <w:rPr>
                <w:b/>
                <w:sz w:val="24"/>
              </w:rPr>
            </w:pPr>
          </w:p>
        </w:tc>
        <w:tc>
          <w:tcPr>
            <w:tcW w:w="2835" w:type="dxa"/>
            <w:tcBorders>
              <w:top w:val="single" w:sz="4" w:space="0" w:color="A6A6A6" w:themeColor="background1" w:themeShade="A6"/>
              <w:left w:val="single" w:sz="4" w:space="0" w:color="595959" w:themeColor="text1" w:themeTint="A6"/>
              <w:bottom w:val="single" w:sz="4" w:space="0" w:color="595959" w:themeColor="text1" w:themeTint="A6"/>
            </w:tcBorders>
            <w:shd w:val="clear" w:color="auto" w:fill="DBE5F1" w:themeFill="accent1" w:themeFillTint="33"/>
            <w:vAlign w:val="center"/>
          </w:tcPr>
          <w:p w14:paraId="68C333F5"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Robust ICT systems</w:t>
            </w:r>
          </w:p>
        </w:tc>
        <w:tc>
          <w:tcPr>
            <w:tcW w:w="6054" w:type="dxa"/>
            <w:tcBorders>
              <w:top w:val="single" w:sz="4" w:space="0" w:color="A6A6A6" w:themeColor="background1" w:themeShade="A6"/>
              <w:bottom w:val="single" w:sz="4" w:space="0" w:color="595959" w:themeColor="text1" w:themeTint="A6"/>
              <w:right w:val="single" w:sz="4" w:space="0" w:color="595959" w:themeColor="text1" w:themeTint="A6"/>
            </w:tcBorders>
            <w:shd w:val="clear" w:color="auto" w:fill="DBE5F1" w:themeFill="accent1" w:themeFillTint="33"/>
          </w:tcPr>
          <w:p w14:paraId="23AD3E35" w14:textId="77777777" w:rsidR="00FA5EC2" w:rsidRPr="00FA5EC2" w:rsidRDefault="00FA5EC2" w:rsidP="00FE54FC">
            <w:pPr>
              <w:spacing w:before="40" w:after="40"/>
              <w:rPr>
                <w:rFonts w:cstheme="minorHAnsi"/>
                <w:color w:val="313131"/>
                <w:sz w:val="20"/>
                <w:lang w:val="en"/>
              </w:rPr>
            </w:pPr>
            <w:r w:rsidRPr="00FA5EC2">
              <w:rPr>
                <w:rFonts w:cstheme="minorHAnsi"/>
                <w:color w:val="313131"/>
                <w:sz w:val="20"/>
                <w:lang w:val="en"/>
              </w:rPr>
              <w:t>Safeguarding information and communication technology systems to support the secure and continuous delivery of government business.</w:t>
            </w:r>
          </w:p>
        </w:tc>
      </w:tr>
      <w:tr w:rsidR="00FA5EC2" w14:paraId="5B737812" w14:textId="77777777" w:rsidTr="0006358C">
        <w:tc>
          <w:tcPr>
            <w:tcW w:w="1413" w:type="dxa"/>
            <w:vMerge w:val="restart"/>
            <w:tcBorders>
              <w:top w:val="single" w:sz="4" w:space="0" w:color="595959" w:themeColor="text1" w:themeTint="A6"/>
              <w:left w:val="single" w:sz="4" w:space="0" w:color="595959" w:themeColor="text1" w:themeTint="A6"/>
              <w:right w:val="single" w:sz="4" w:space="0" w:color="595959" w:themeColor="text1" w:themeTint="A6"/>
            </w:tcBorders>
            <w:shd w:val="clear" w:color="auto" w:fill="DBE5F1" w:themeFill="accent1" w:themeFillTint="33"/>
            <w:textDirection w:val="btLr"/>
            <w:vAlign w:val="center"/>
          </w:tcPr>
          <w:p w14:paraId="3252857D" w14:textId="77777777" w:rsidR="00FA5EC2" w:rsidRPr="0006358C" w:rsidRDefault="00FA5EC2" w:rsidP="00FA5EC2">
            <w:pPr>
              <w:jc w:val="center"/>
              <w:rPr>
                <w:b/>
                <w:sz w:val="24"/>
              </w:rPr>
            </w:pPr>
            <w:r w:rsidRPr="0006358C">
              <w:rPr>
                <w:b/>
                <w:sz w:val="24"/>
              </w:rPr>
              <w:t>PERSONNEL</w:t>
            </w:r>
          </w:p>
        </w:tc>
        <w:tc>
          <w:tcPr>
            <w:tcW w:w="2835" w:type="dxa"/>
            <w:tcBorders>
              <w:top w:val="single" w:sz="4" w:space="0" w:color="595959" w:themeColor="text1" w:themeTint="A6"/>
              <w:left w:val="single" w:sz="4" w:space="0" w:color="595959" w:themeColor="text1" w:themeTint="A6"/>
              <w:bottom w:val="single" w:sz="4" w:space="0" w:color="A6A6A6" w:themeColor="background1" w:themeShade="A6"/>
            </w:tcBorders>
            <w:shd w:val="clear" w:color="auto" w:fill="DBE5F1" w:themeFill="accent1" w:themeFillTint="33"/>
            <w:vAlign w:val="center"/>
          </w:tcPr>
          <w:p w14:paraId="22D7DAA3"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Eligibility and suitability of personnel</w:t>
            </w:r>
          </w:p>
        </w:tc>
        <w:tc>
          <w:tcPr>
            <w:tcW w:w="6054" w:type="dxa"/>
            <w:tcBorders>
              <w:top w:val="single" w:sz="4" w:space="0" w:color="595959" w:themeColor="text1" w:themeTint="A6"/>
              <w:bottom w:val="single" w:sz="4" w:space="0" w:color="A6A6A6" w:themeColor="background1" w:themeShade="A6"/>
              <w:right w:val="single" w:sz="4" w:space="0" w:color="595959" w:themeColor="text1" w:themeTint="A6"/>
            </w:tcBorders>
            <w:shd w:val="clear" w:color="auto" w:fill="DBE5F1" w:themeFill="accent1" w:themeFillTint="33"/>
          </w:tcPr>
          <w:p w14:paraId="4DEB6AF8" w14:textId="77777777" w:rsidR="00FA5EC2" w:rsidRPr="00FA5EC2" w:rsidRDefault="00FA5EC2" w:rsidP="00FE54FC">
            <w:pPr>
              <w:spacing w:before="40" w:after="40"/>
              <w:rPr>
                <w:rFonts w:cstheme="minorHAnsi"/>
                <w:color w:val="313131"/>
                <w:sz w:val="20"/>
                <w:lang w:val="en"/>
              </w:rPr>
            </w:pPr>
            <w:r w:rsidRPr="00FA5EC2">
              <w:rPr>
                <w:rFonts w:cstheme="minorHAnsi"/>
                <w:color w:val="313131"/>
                <w:sz w:val="20"/>
                <w:lang w:val="en"/>
              </w:rPr>
              <w:t xml:space="preserve">Pre-employment screening processes and </w:t>
            </w:r>
            <w:proofErr w:type="spellStart"/>
            <w:r w:rsidRPr="00FA5EC2">
              <w:rPr>
                <w:rFonts w:cstheme="minorHAnsi"/>
                <w:color w:val="313131"/>
                <w:sz w:val="20"/>
                <w:lang w:val="en"/>
              </w:rPr>
              <w:t>standardised</w:t>
            </w:r>
            <w:proofErr w:type="spellEnd"/>
            <w:r w:rsidRPr="00FA5EC2">
              <w:rPr>
                <w:rFonts w:cstheme="minorHAnsi"/>
                <w:color w:val="313131"/>
                <w:sz w:val="20"/>
                <w:lang w:val="en"/>
              </w:rPr>
              <w:t xml:space="preserve"> vetting practices to be undertaken when employing personnel and contractors.</w:t>
            </w:r>
          </w:p>
        </w:tc>
      </w:tr>
      <w:tr w:rsidR="00FA5EC2" w14:paraId="17AC2C8F" w14:textId="77777777" w:rsidTr="0006358C">
        <w:tc>
          <w:tcPr>
            <w:tcW w:w="1413" w:type="dxa"/>
            <w:vMerge/>
            <w:tcBorders>
              <w:left w:val="single" w:sz="4" w:space="0" w:color="595959" w:themeColor="text1" w:themeTint="A6"/>
              <w:right w:val="single" w:sz="4" w:space="0" w:color="595959" w:themeColor="text1" w:themeTint="A6"/>
            </w:tcBorders>
            <w:shd w:val="clear" w:color="auto" w:fill="DBE5F1" w:themeFill="accent1" w:themeFillTint="33"/>
            <w:vAlign w:val="center"/>
          </w:tcPr>
          <w:p w14:paraId="77D22B6B" w14:textId="77777777" w:rsidR="00FA5EC2" w:rsidRPr="0006358C" w:rsidRDefault="00FA5EC2" w:rsidP="00FA5EC2">
            <w:pPr>
              <w:jc w:val="center"/>
              <w:rPr>
                <w:b/>
                <w:sz w:val="24"/>
              </w:rPr>
            </w:pPr>
          </w:p>
        </w:tc>
        <w:tc>
          <w:tcPr>
            <w:tcW w:w="2835" w:type="dxa"/>
            <w:tcBorders>
              <w:top w:val="single" w:sz="4" w:space="0" w:color="A6A6A6" w:themeColor="background1" w:themeShade="A6"/>
              <w:left w:val="single" w:sz="4" w:space="0" w:color="595959" w:themeColor="text1" w:themeTint="A6"/>
              <w:bottom w:val="single" w:sz="4" w:space="0" w:color="A6A6A6" w:themeColor="background1" w:themeShade="A6"/>
            </w:tcBorders>
            <w:shd w:val="clear" w:color="auto" w:fill="DBE5F1" w:themeFill="accent1" w:themeFillTint="33"/>
            <w:vAlign w:val="center"/>
          </w:tcPr>
          <w:p w14:paraId="54D8A2C1"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Ongoing assessment of personnel</w:t>
            </w:r>
          </w:p>
        </w:tc>
        <w:tc>
          <w:tcPr>
            <w:tcW w:w="6054" w:type="dxa"/>
            <w:tcBorders>
              <w:top w:val="single" w:sz="4" w:space="0" w:color="A6A6A6" w:themeColor="background1" w:themeShade="A6"/>
              <w:bottom w:val="single" w:sz="4" w:space="0" w:color="A6A6A6" w:themeColor="background1" w:themeShade="A6"/>
              <w:right w:val="single" w:sz="4" w:space="0" w:color="595959" w:themeColor="text1" w:themeTint="A6"/>
            </w:tcBorders>
            <w:shd w:val="clear" w:color="auto" w:fill="DBE5F1" w:themeFill="accent1" w:themeFillTint="33"/>
          </w:tcPr>
          <w:p w14:paraId="15E89BC2" w14:textId="77777777" w:rsidR="00FA5EC2" w:rsidRPr="00FA5EC2" w:rsidRDefault="00FA5EC2" w:rsidP="00FE54FC">
            <w:pPr>
              <w:spacing w:before="40" w:after="40"/>
              <w:rPr>
                <w:rFonts w:cstheme="minorHAnsi"/>
                <w:color w:val="313131"/>
                <w:sz w:val="20"/>
                <w:lang w:val="en"/>
              </w:rPr>
            </w:pPr>
            <w:r w:rsidRPr="00FA5EC2">
              <w:rPr>
                <w:rFonts w:cstheme="minorHAnsi"/>
                <w:color w:val="313131"/>
                <w:sz w:val="20"/>
                <w:lang w:val="en"/>
              </w:rPr>
              <w:t>Maintaining confidence in the ongoing suitability of your entity’s personnel to access Australian Government resources, and manage the risk of malicious or unwitting insiders.</w:t>
            </w:r>
          </w:p>
        </w:tc>
      </w:tr>
      <w:tr w:rsidR="00FA5EC2" w14:paraId="50A89722" w14:textId="77777777" w:rsidTr="0006358C">
        <w:tc>
          <w:tcPr>
            <w:tcW w:w="1413" w:type="dxa"/>
            <w:vMerge/>
            <w:tcBorders>
              <w:left w:val="single" w:sz="4" w:space="0" w:color="595959" w:themeColor="text1" w:themeTint="A6"/>
              <w:bottom w:val="single" w:sz="4" w:space="0" w:color="595959" w:themeColor="text1" w:themeTint="A6"/>
              <w:right w:val="single" w:sz="4" w:space="0" w:color="595959" w:themeColor="text1" w:themeTint="A6"/>
            </w:tcBorders>
            <w:shd w:val="clear" w:color="auto" w:fill="DBE5F1" w:themeFill="accent1" w:themeFillTint="33"/>
            <w:vAlign w:val="center"/>
          </w:tcPr>
          <w:p w14:paraId="43361D93" w14:textId="77777777" w:rsidR="00FA5EC2" w:rsidRPr="0006358C" w:rsidRDefault="00FA5EC2" w:rsidP="00FA5EC2">
            <w:pPr>
              <w:jc w:val="center"/>
              <w:rPr>
                <w:b/>
                <w:sz w:val="24"/>
              </w:rPr>
            </w:pPr>
          </w:p>
        </w:tc>
        <w:tc>
          <w:tcPr>
            <w:tcW w:w="2835" w:type="dxa"/>
            <w:tcBorders>
              <w:top w:val="single" w:sz="4" w:space="0" w:color="A6A6A6" w:themeColor="background1" w:themeShade="A6"/>
              <w:left w:val="single" w:sz="4" w:space="0" w:color="595959" w:themeColor="text1" w:themeTint="A6"/>
              <w:bottom w:val="single" w:sz="4" w:space="0" w:color="595959" w:themeColor="text1" w:themeTint="A6"/>
            </w:tcBorders>
            <w:shd w:val="clear" w:color="auto" w:fill="DBE5F1" w:themeFill="accent1" w:themeFillTint="33"/>
            <w:vAlign w:val="center"/>
          </w:tcPr>
          <w:p w14:paraId="0E197004"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Separating personnel</w:t>
            </w:r>
          </w:p>
        </w:tc>
        <w:tc>
          <w:tcPr>
            <w:tcW w:w="6054" w:type="dxa"/>
            <w:tcBorders>
              <w:top w:val="single" w:sz="4" w:space="0" w:color="A6A6A6" w:themeColor="background1" w:themeShade="A6"/>
              <w:bottom w:val="single" w:sz="4" w:space="0" w:color="595959" w:themeColor="text1" w:themeTint="A6"/>
              <w:right w:val="single" w:sz="4" w:space="0" w:color="595959" w:themeColor="text1" w:themeTint="A6"/>
            </w:tcBorders>
            <w:shd w:val="clear" w:color="auto" w:fill="DBE5F1" w:themeFill="accent1" w:themeFillTint="33"/>
          </w:tcPr>
          <w:p w14:paraId="00EAF43E" w14:textId="77777777" w:rsidR="00FA5EC2" w:rsidRPr="00FA5EC2" w:rsidRDefault="00FA5EC2" w:rsidP="00FE54FC">
            <w:pPr>
              <w:spacing w:before="40" w:after="40"/>
              <w:rPr>
                <w:rFonts w:cstheme="minorHAnsi"/>
                <w:color w:val="313131"/>
                <w:sz w:val="20"/>
                <w:lang w:val="en"/>
              </w:rPr>
            </w:pPr>
            <w:r w:rsidRPr="00FA5EC2">
              <w:rPr>
                <w:rFonts w:cstheme="minorHAnsi"/>
                <w:color w:val="313131"/>
                <w:sz w:val="20"/>
                <w:lang w:val="en"/>
              </w:rPr>
              <w:t>Processes to protect Australian Government people, information and assets when personnel permanently or temporarily leave their employment with your entity.</w:t>
            </w:r>
          </w:p>
        </w:tc>
      </w:tr>
      <w:tr w:rsidR="00FA5EC2" w14:paraId="3A2CBD56" w14:textId="77777777" w:rsidTr="0006358C">
        <w:tc>
          <w:tcPr>
            <w:tcW w:w="1413" w:type="dxa"/>
            <w:vMerge w:val="restart"/>
            <w:tcBorders>
              <w:top w:val="single" w:sz="4" w:space="0" w:color="595959" w:themeColor="text1" w:themeTint="A6"/>
              <w:left w:val="single" w:sz="4" w:space="0" w:color="595959" w:themeColor="text1" w:themeTint="A6"/>
              <w:right w:val="single" w:sz="4" w:space="0" w:color="595959" w:themeColor="text1" w:themeTint="A6"/>
            </w:tcBorders>
            <w:shd w:val="clear" w:color="auto" w:fill="DBE5F1" w:themeFill="accent1" w:themeFillTint="33"/>
            <w:textDirection w:val="btLr"/>
            <w:vAlign w:val="center"/>
          </w:tcPr>
          <w:p w14:paraId="6EBADE6C" w14:textId="77777777" w:rsidR="00FA5EC2" w:rsidRPr="0006358C" w:rsidRDefault="00FA5EC2" w:rsidP="00FA5EC2">
            <w:pPr>
              <w:jc w:val="center"/>
              <w:rPr>
                <w:b/>
                <w:sz w:val="24"/>
              </w:rPr>
            </w:pPr>
            <w:r w:rsidRPr="0006358C">
              <w:rPr>
                <w:b/>
                <w:sz w:val="24"/>
              </w:rPr>
              <w:t>PHYSICAL</w:t>
            </w:r>
          </w:p>
        </w:tc>
        <w:tc>
          <w:tcPr>
            <w:tcW w:w="2835" w:type="dxa"/>
            <w:tcBorders>
              <w:top w:val="single" w:sz="4" w:space="0" w:color="595959" w:themeColor="text1" w:themeTint="A6"/>
              <w:left w:val="single" w:sz="4" w:space="0" w:color="595959" w:themeColor="text1" w:themeTint="A6"/>
              <w:bottom w:val="single" w:sz="4" w:space="0" w:color="A6A6A6" w:themeColor="background1" w:themeShade="A6"/>
            </w:tcBorders>
            <w:shd w:val="clear" w:color="auto" w:fill="DBE5F1" w:themeFill="accent1" w:themeFillTint="33"/>
            <w:vAlign w:val="center"/>
          </w:tcPr>
          <w:p w14:paraId="11F3D032"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Physical security for entity resources</w:t>
            </w:r>
          </w:p>
        </w:tc>
        <w:tc>
          <w:tcPr>
            <w:tcW w:w="6054" w:type="dxa"/>
            <w:tcBorders>
              <w:top w:val="single" w:sz="4" w:space="0" w:color="595959" w:themeColor="text1" w:themeTint="A6"/>
              <w:bottom w:val="single" w:sz="4" w:space="0" w:color="A6A6A6" w:themeColor="background1" w:themeShade="A6"/>
              <w:right w:val="single" w:sz="4" w:space="0" w:color="595959" w:themeColor="text1" w:themeTint="A6"/>
            </w:tcBorders>
            <w:shd w:val="clear" w:color="auto" w:fill="DBE5F1" w:themeFill="accent1" w:themeFillTint="33"/>
          </w:tcPr>
          <w:p w14:paraId="5186C47D" w14:textId="77777777" w:rsidR="00FA5EC2" w:rsidRPr="00FA5EC2" w:rsidRDefault="00FA5EC2" w:rsidP="00FE54FC">
            <w:pPr>
              <w:spacing w:before="40" w:after="40"/>
              <w:rPr>
                <w:rFonts w:cstheme="minorHAnsi"/>
                <w:color w:val="313131"/>
                <w:sz w:val="20"/>
                <w:lang w:val="en"/>
              </w:rPr>
            </w:pPr>
            <w:r w:rsidRPr="00FA5EC2">
              <w:rPr>
                <w:rFonts w:cstheme="minorHAnsi"/>
                <w:color w:val="313131"/>
                <w:sz w:val="20"/>
                <w:lang w:val="en"/>
              </w:rPr>
              <w:t xml:space="preserve">Physical protections required to safeguard people, information and assets (including ICT equipment) to </w:t>
            </w:r>
            <w:proofErr w:type="spellStart"/>
            <w:r w:rsidRPr="00FA5EC2">
              <w:rPr>
                <w:rFonts w:cstheme="minorHAnsi"/>
                <w:color w:val="313131"/>
                <w:sz w:val="20"/>
                <w:lang w:val="en"/>
              </w:rPr>
              <w:t>minimise</w:t>
            </w:r>
            <w:proofErr w:type="spellEnd"/>
            <w:r w:rsidRPr="00FA5EC2">
              <w:rPr>
                <w:rFonts w:cstheme="minorHAnsi"/>
                <w:color w:val="313131"/>
                <w:sz w:val="20"/>
                <w:lang w:val="en"/>
              </w:rPr>
              <w:t xml:space="preserve"> or remove security risk.</w:t>
            </w:r>
          </w:p>
        </w:tc>
      </w:tr>
      <w:tr w:rsidR="00FA5EC2" w14:paraId="4DF7985A" w14:textId="77777777" w:rsidTr="0006358C">
        <w:tc>
          <w:tcPr>
            <w:tcW w:w="1413" w:type="dxa"/>
            <w:vMerge/>
            <w:tcBorders>
              <w:left w:val="single" w:sz="4" w:space="0" w:color="595959" w:themeColor="text1" w:themeTint="A6"/>
              <w:bottom w:val="single" w:sz="4" w:space="0" w:color="595959" w:themeColor="text1" w:themeTint="A6"/>
              <w:right w:val="single" w:sz="4" w:space="0" w:color="595959" w:themeColor="text1" w:themeTint="A6"/>
            </w:tcBorders>
            <w:shd w:val="clear" w:color="auto" w:fill="DBE5F1" w:themeFill="accent1" w:themeFillTint="33"/>
          </w:tcPr>
          <w:p w14:paraId="6168627C" w14:textId="77777777" w:rsidR="00FA5EC2" w:rsidRPr="005E2599" w:rsidRDefault="00FA5EC2" w:rsidP="00FE54FC">
            <w:pPr>
              <w:ind w:left="-42"/>
              <w:rPr>
                <w:rFonts w:asciiTheme="majorHAnsi" w:eastAsiaTheme="majorEastAsia" w:hAnsiTheme="majorHAnsi" w:cstheme="majorBidi"/>
                <w:color w:val="000000" w:themeColor="text1"/>
                <w:sz w:val="24"/>
                <w:szCs w:val="24"/>
              </w:rPr>
            </w:pPr>
          </w:p>
        </w:tc>
        <w:tc>
          <w:tcPr>
            <w:tcW w:w="2835" w:type="dxa"/>
            <w:tcBorders>
              <w:top w:val="single" w:sz="4" w:space="0" w:color="A6A6A6" w:themeColor="background1" w:themeShade="A6"/>
              <w:left w:val="single" w:sz="4" w:space="0" w:color="595959" w:themeColor="text1" w:themeTint="A6"/>
              <w:bottom w:val="single" w:sz="4" w:space="0" w:color="595959" w:themeColor="text1" w:themeTint="A6"/>
            </w:tcBorders>
            <w:shd w:val="clear" w:color="auto" w:fill="DBE5F1" w:themeFill="accent1" w:themeFillTint="33"/>
            <w:vAlign w:val="center"/>
          </w:tcPr>
          <w:p w14:paraId="7C970B81" w14:textId="77777777" w:rsidR="00FA5EC2" w:rsidRPr="00FA5EC2" w:rsidRDefault="00FA5EC2" w:rsidP="00FA5EC2">
            <w:pPr>
              <w:pStyle w:val="ListParagraph"/>
              <w:numPr>
                <w:ilvl w:val="0"/>
                <w:numId w:val="8"/>
              </w:numPr>
              <w:spacing w:before="40" w:after="40"/>
              <w:ind w:left="318"/>
              <w:rPr>
                <w:rFonts w:eastAsiaTheme="majorEastAsia" w:cstheme="minorHAnsi"/>
                <w:color w:val="000000" w:themeColor="text1"/>
                <w:sz w:val="20"/>
                <w:szCs w:val="32"/>
              </w:rPr>
            </w:pPr>
            <w:r w:rsidRPr="00FA5EC2">
              <w:rPr>
                <w:rFonts w:eastAsiaTheme="majorEastAsia" w:cstheme="minorHAnsi"/>
                <w:color w:val="000000" w:themeColor="text1"/>
                <w:sz w:val="20"/>
                <w:szCs w:val="32"/>
              </w:rPr>
              <w:t>Entity facilities</w:t>
            </w:r>
          </w:p>
        </w:tc>
        <w:tc>
          <w:tcPr>
            <w:tcW w:w="6054" w:type="dxa"/>
            <w:tcBorders>
              <w:top w:val="single" w:sz="4" w:space="0" w:color="A6A6A6" w:themeColor="background1" w:themeShade="A6"/>
              <w:bottom w:val="single" w:sz="4" w:space="0" w:color="595959" w:themeColor="text1" w:themeTint="A6"/>
              <w:right w:val="single" w:sz="4" w:space="0" w:color="595959" w:themeColor="text1" w:themeTint="A6"/>
            </w:tcBorders>
            <w:shd w:val="clear" w:color="auto" w:fill="DBE5F1" w:themeFill="accent1" w:themeFillTint="33"/>
          </w:tcPr>
          <w:p w14:paraId="49A1599C" w14:textId="77777777" w:rsidR="00FA5EC2" w:rsidRPr="00FA5EC2" w:rsidRDefault="00FA5EC2" w:rsidP="00FE54FC">
            <w:pPr>
              <w:spacing w:before="40" w:after="40"/>
              <w:rPr>
                <w:rFonts w:cstheme="minorHAnsi"/>
                <w:color w:val="313131"/>
                <w:sz w:val="20"/>
                <w:lang w:val="en"/>
              </w:rPr>
            </w:pPr>
            <w:r w:rsidRPr="00FA5EC2">
              <w:rPr>
                <w:rFonts w:cstheme="minorHAnsi"/>
                <w:color w:val="313131"/>
                <w:sz w:val="20"/>
                <w:lang w:val="en"/>
              </w:rPr>
              <w:t>Applying consistent and structured approach to building construction, security zoning and physical security control measures of your entity’s facilities.</w:t>
            </w:r>
          </w:p>
        </w:tc>
      </w:tr>
    </w:tbl>
    <w:p w14:paraId="47B8D280" w14:textId="77777777" w:rsidR="00BF004D" w:rsidRPr="00192F33" w:rsidRDefault="00BF004D" w:rsidP="0006358C">
      <w:pPr>
        <w:pStyle w:val="Heading2"/>
        <w:spacing w:before="0"/>
        <w:rPr>
          <w:b w:val="0"/>
        </w:rPr>
      </w:pPr>
    </w:p>
    <w:sectPr w:rsidR="00BF004D" w:rsidRPr="00192F33" w:rsidSect="00564D32">
      <w:type w:val="continuous"/>
      <w:pgSz w:w="12240" w:h="15840"/>
      <w:pgMar w:top="535" w:right="964" w:bottom="964" w:left="964" w:header="142" w:footer="16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302F6" w14:textId="77777777" w:rsidR="00956EB0" w:rsidRDefault="00956EB0" w:rsidP="006150CB">
      <w:r>
        <w:separator/>
      </w:r>
    </w:p>
  </w:endnote>
  <w:endnote w:type="continuationSeparator" w:id="0">
    <w:p w14:paraId="442C02BE" w14:textId="77777777" w:rsidR="00956EB0" w:rsidRDefault="00956EB0" w:rsidP="00615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9086180"/>
      <w:docPartObj>
        <w:docPartGallery w:val="Page Numbers (Bottom of Page)"/>
        <w:docPartUnique/>
      </w:docPartObj>
    </w:sdtPr>
    <w:sdtEndPr>
      <w:rPr>
        <w:color w:val="7F7F7F" w:themeColor="background1" w:themeShade="7F"/>
        <w:spacing w:val="60"/>
      </w:rPr>
    </w:sdtEndPr>
    <w:sdtContent>
      <w:p w14:paraId="1D16DE86" w14:textId="063D3651" w:rsidR="00FA5EC2" w:rsidRPr="00FA5EC2" w:rsidRDefault="00FA5EC2" w:rsidP="00FA5EC2">
        <w:pPr>
          <w:pStyle w:val="Footer"/>
          <w:pBdr>
            <w:top w:val="single" w:sz="4" w:space="1" w:color="D9D9D9" w:themeColor="background1" w:themeShade="D9"/>
          </w:pBdr>
          <w:jc w:val="right"/>
          <w:rPr>
            <w:b/>
            <w:bCs/>
          </w:rPr>
        </w:pPr>
        <w:r>
          <w:fldChar w:fldCharType="begin"/>
        </w:r>
        <w:r>
          <w:instrText xml:space="preserve"> PAGE   \* MERGEFORMAT </w:instrText>
        </w:r>
        <w:r>
          <w:fldChar w:fldCharType="separate"/>
        </w:r>
        <w:r w:rsidR="00217273" w:rsidRPr="00217273">
          <w:rPr>
            <w:b/>
            <w:bCs/>
            <w:noProof/>
          </w:rPr>
          <w:t>1</w:t>
        </w:r>
        <w:r>
          <w:rPr>
            <w:b/>
            <w:bCs/>
            <w:noProof/>
          </w:rPr>
          <w:fldChar w:fldCharType="end"/>
        </w:r>
        <w:r>
          <w:rPr>
            <w:b/>
            <w:bCs/>
          </w:rPr>
          <w:t xml:space="preserve"> | </w:t>
        </w:r>
        <w:r>
          <w:rPr>
            <w:color w:val="7F7F7F" w:themeColor="background1" w:themeShade="7F"/>
            <w:spacing w:val="60"/>
          </w:rPr>
          <w:t>Page</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8CD13" w14:textId="77777777" w:rsidR="00956EB0" w:rsidRDefault="00956EB0" w:rsidP="006150CB">
      <w:r>
        <w:separator/>
      </w:r>
    </w:p>
  </w:footnote>
  <w:footnote w:type="continuationSeparator" w:id="0">
    <w:p w14:paraId="533A6910" w14:textId="77777777" w:rsidR="00956EB0" w:rsidRDefault="00956EB0" w:rsidP="006150CB">
      <w:r>
        <w:continuationSeparator/>
      </w:r>
    </w:p>
  </w:footnote>
  <w:footnote w:id="1">
    <w:p w14:paraId="574A991D" w14:textId="77777777" w:rsidR="00FA5EC2" w:rsidRPr="00F33127" w:rsidRDefault="00FA5EC2" w:rsidP="00FA5EC2">
      <w:pPr>
        <w:pStyle w:val="FootnoteText"/>
        <w:rPr>
          <w:lang w:val="en-US"/>
        </w:rPr>
      </w:pPr>
      <w:r>
        <w:rPr>
          <w:rStyle w:val="FootnoteReference"/>
        </w:rPr>
        <w:footnoteRef/>
      </w:r>
      <w:r>
        <w:t xml:space="preserve"> </w:t>
      </w:r>
      <w:r>
        <w:rPr>
          <w:lang w:val="en-US"/>
        </w:rPr>
        <w:t xml:space="preserve">See Annex A for more details. </w:t>
      </w:r>
    </w:p>
  </w:footnote>
  <w:footnote w:id="2">
    <w:p w14:paraId="63E0DAEE" w14:textId="77777777" w:rsidR="00FA5EC2" w:rsidRPr="002411DF" w:rsidRDefault="00FA5EC2" w:rsidP="00FA5EC2">
      <w:pPr>
        <w:pStyle w:val="FootnoteText"/>
        <w:rPr>
          <w:lang w:val="en-US"/>
        </w:rPr>
      </w:pPr>
      <w:r>
        <w:rPr>
          <w:rStyle w:val="FootnoteReference"/>
        </w:rPr>
        <w:footnoteRef/>
      </w:r>
      <w:r>
        <w:t xml:space="preserve"> Entities holding large </w:t>
      </w:r>
      <w:r w:rsidRPr="00563555">
        <w:t>volumes</w:t>
      </w:r>
      <w:r>
        <w:t xml:space="preserve"> of classified information and/or working </w:t>
      </w:r>
      <w:r>
        <w:rPr>
          <w:lang w:val="en-US"/>
        </w:rPr>
        <w:t xml:space="preserve">in areas vulnerable to attack by malicious actors are considered operating in environments with higher risk </w:t>
      </w:r>
    </w:p>
  </w:footnote>
  <w:footnote w:id="3">
    <w:p w14:paraId="443BBDCB" w14:textId="77777777" w:rsidR="00FA5EC2" w:rsidRPr="00AA5AC1" w:rsidRDefault="00FA5EC2" w:rsidP="00FA5EC2">
      <w:pPr>
        <w:pStyle w:val="FootnoteText"/>
        <w:rPr>
          <w:lang w:val="en-US"/>
        </w:rPr>
      </w:pPr>
      <w:r>
        <w:rPr>
          <w:rStyle w:val="FootnoteReference"/>
        </w:rPr>
        <w:footnoteRef/>
      </w:r>
      <w:r>
        <w:t xml:space="preserve"> </w:t>
      </w:r>
      <w:r>
        <w:rPr>
          <w:lang w:val="en-US"/>
        </w:rPr>
        <w:t>See Figure 2</w:t>
      </w:r>
    </w:p>
  </w:footnote>
  <w:footnote w:id="4">
    <w:p w14:paraId="42ECECB6" w14:textId="77777777" w:rsidR="00FA5EC2" w:rsidRPr="001F1988" w:rsidRDefault="00FA5EC2" w:rsidP="00FA5EC2">
      <w:pPr>
        <w:pStyle w:val="FootnoteText"/>
        <w:rPr>
          <w:lang w:val="en-US"/>
        </w:rPr>
      </w:pPr>
      <w:r w:rsidRPr="00563555">
        <w:rPr>
          <w:rStyle w:val="FootnoteReference"/>
        </w:rPr>
        <w:footnoteRef/>
      </w:r>
      <w:r w:rsidRPr="00563555">
        <w:t xml:space="preserve"> </w:t>
      </w:r>
      <w:r w:rsidRPr="00563555">
        <w:rPr>
          <w:lang w:val="en-US"/>
        </w:rPr>
        <w:t>Policy 7 relates to</w:t>
      </w:r>
      <w:r>
        <w:rPr>
          <w:lang w:val="en-US"/>
        </w:rPr>
        <w:t xml:space="preserve"> s</w:t>
      </w:r>
      <w:r w:rsidRPr="00563555">
        <w:rPr>
          <w:lang w:val="en-US"/>
        </w:rPr>
        <w:t xml:space="preserve">ecurity governance for international sharing. </w:t>
      </w:r>
      <w:r>
        <w:rPr>
          <w:lang w:val="en-US"/>
        </w:rPr>
        <w:t xml:space="preserve">Where </w:t>
      </w:r>
      <w:r w:rsidRPr="00563555">
        <w:rPr>
          <w:lang w:val="en-US"/>
        </w:rPr>
        <w:t xml:space="preserve">agencies </w:t>
      </w:r>
      <w:r>
        <w:rPr>
          <w:lang w:val="en-US"/>
        </w:rPr>
        <w:t xml:space="preserve">do not have </w:t>
      </w:r>
      <w:r w:rsidRPr="00563555">
        <w:rPr>
          <w:lang w:val="en-US"/>
        </w:rPr>
        <w:t xml:space="preserve">international arrangements in place, they are not required to report. </w:t>
      </w:r>
      <w:r>
        <w:rPr>
          <w:lang w:val="en-US"/>
        </w:rPr>
        <w:t xml:space="preserve"> </w:t>
      </w:r>
    </w:p>
  </w:footnote>
  <w:footnote w:id="5">
    <w:p w14:paraId="1641E566" w14:textId="77777777" w:rsidR="00FA5EC2" w:rsidRPr="00AA5AC1" w:rsidRDefault="00FA5EC2" w:rsidP="00FA5EC2">
      <w:pPr>
        <w:pStyle w:val="FootnoteText"/>
        <w:rPr>
          <w:lang w:val="en-US"/>
        </w:rPr>
      </w:pPr>
      <w:r>
        <w:rPr>
          <w:rStyle w:val="FootnoteReference"/>
        </w:rPr>
        <w:footnoteRef/>
      </w:r>
      <w:r>
        <w:t xml:space="preserve"> </w:t>
      </w:r>
      <w:r>
        <w:rPr>
          <w:lang w:val="en-US"/>
        </w:rPr>
        <w:t>See Figure 2</w:t>
      </w:r>
    </w:p>
  </w:footnote>
  <w:footnote w:id="6">
    <w:p w14:paraId="790A4761" w14:textId="77777777" w:rsidR="00FA5EC2" w:rsidRPr="008E02A8" w:rsidRDefault="00FA5EC2" w:rsidP="00FA5EC2">
      <w:pPr>
        <w:pStyle w:val="FootnoteText"/>
        <w:rPr>
          <w:lang w:val="en-US"/>
        </w:rPr>
      </w:pPr>
      <w:r>
        <w:rPr>
          <w:rStyle w:val="FootnoteReference"/>
        </w:rPr>
        <w:footnoteRef/>
      </w:r>
      <w:r>
        <w:t xml:space="preserve"> </w:t>
      </w:r>
      <w:r>
        <w:rPr>
          <w:lang w:val="en-US"/>
        </w:rPr>
        <w:t>See Figure 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555E6BEE"/>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18EAD9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F77E54"/>
    <w:multiLevelType w:val="hybridMultilevel"/>
    <w:tmpl w:val="4DB0C4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7F280A"/>
    <w:multiLevelType w:val="hybridMultilevel"/>
    <w:tmpl w:val="9072DC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D2721E"/>
    <w:multiLevelType w:val="multilevel"/>
    <w:tmpl w:val="EFDC8A06"/>
    <w:numStyleLink w:val="Bullet2"/>
  </w:abstractNum>
  <w:abstractNum w:abstractNumId="5" w15:restartNumberingAfterBreak="0">
    <w:nsid w:val="17932166"/>
    <w:multiLevelType w:val="multilevel"/>
    <w:tmpl w:val="EFDC8A06"/>
    <w:styleLink w:val="Bulle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904AFF"/>
    <w:multiLevelType w:val="hybridMultilevel"/>
    <w:tmpl w:val="96ACB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B3185D"/>
    <w:multiLevelType w:val="hybridMultilevel"/>
    <w:tmpl w:val="CEAAD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A15FB9"/>
    <w:multiLevelType w:val="hybridMultilevel"/>
    <w:tmpl w:val="21308D16"/>
    <w:lvl w:ilvl="0" w:tplc="3484F224">
      <w:start w:val="1"/>
      <w:numFmt w:val="bullet"/>
      <w:pStyle w:val="Bullet1"/>
      <w:lvlText w:val=""/>
      <w:lvlJc w:val="left"/>
      <w:pPr>
        <w:ind w:left="720" w:hanging="360"/>
      </w:pPr>
      <w:rPr>
        <w:rFonts w:ascii="Symbol" w:hAnsi="Symbol" w:hint="default"/>
        <w:color w:val="5C5C5C"/>
      </w:rPr>
    </w:lvl>
    <w:lvl w:ilvl="1" w:tplc="F1ACFA4C">
      <w:start w:val="1"/>
      <w:numFmt w:val="bullet"/>
      <w:pStyle w:val="ListBullet"/>
      <w:lvlText w:val=""/>
      <w:lvlJc w:val="left"/>
      <w:pPr>
        <w:ind w:left="1440" w:hanging="360"/>
      </w:pPr>
      <w:rPr>
        <w:rFonts w:ascii="Symbol" w:hAnsi="Symbol" w:hint="default"/>
        <w:color w:val="897005"/>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0"/>
  </w:num>
  <w:num w:numId="5">
    <w:abstractNumId w:val="1"/>
  </w:num>
  <w:num w:numId="6">
    <w:abstractNumId w:val="3"/>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8B8"/>
    <w:rsid w:val="000041C8"/>
    <w:rsid w:val="00025431"/>
    <w:rsid w:val="0006358C"/>
    <w:rsid w:val="000714F4"/>
    <w:rsid w:val="000779BE"/>
    <w:rsid w:val="000F1D93"/>
    <w:rsid w:val="0011430B"/>
    <w:rsid w:val="001208A8"/>
    <w:rsid w:val="00165699"/>
    <w:rsid w:val="00192F33"/>
    <w:rsid w:val="001C2727"/>
    <w:rsid w:val="00217273"/>
    <w:rsid w:val="00254762"/>
    <w:rsid w:val="002A0994"/>
    <w:rsid w:val="002C36D2"/>
    <w:rsid w:val="00322F0B"/>
    <w:rsid w:val="00395615"/>
    <w:rsid w:val="003B28B8"/>
    <w:rsid w:val="003E611C"/>
    <w:rsid w:val="00432ADE"/>
    <w:rsid w:val="004D706C"/>
    <w:rsid w:val="00511472"/>
    <w:rsid w:val="005472B8"/>
    <w:rsid w:val="00564D32"/>
    <w:rsid w:val="0059504B"/>
    <w:rsid w:val="005C1BB3"/>
    <w:rsid w:val="005F5AEB"/>
    <w:rsid w:val="006150CB"/>
    <w:rsid w:val="00683D76"/>
    <w:rsid w:val="006F4DA3"/>
    <w:rsid w:val="00734B3A"/>
    <w:rsid w:val="007B0031"/>
    <w:rsid w:val="008349AA"/>
    <w:rsid w:val="00835E7C"/>
    <w:rsid w:val="008E01A2"/>
    <w:rsid w:val="00904A3F"/>
    <w:rsid w:val="009528EA"/>
    <w:rsid w:val="00956EB0"/>
    <w:rsid w:val="0098671E"/>
    <w:rsid w:val="00A76034"/>
    <w:rsid w:val="00A8546E"/>
    <w:rsid w:val="00B74535"/>
    <w:rsid w:val="00BA57AE"/>
    <w:rsid w:val="00BF004D"/>
    <w:rsid w:val="00CC5AC6"/>
    <w:rsid w:val="00CD6361"/>
    <w:rsid w:val="00D22BD6"/>
    <w:rsid w:val="00E24E53"/>
    <w:rsid w:val="00E701B5"/>
    <w:rsid w:val="00EF3CEB"/>
    <w:rsid w:val="00FA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18D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0CB"/>
    <w:pPr>
      <w:spacing w:after="200" w:line="276" w:lineRule="auto"/>
    </w:pPr>
    <w:rPr>
      <w:rFonts w:cs="Calibri"/>
      <w:w w:val="105"/>
      <w:kern w:val="40"/>
      <w:sz w:val="22"/>
      <w:szCs w:val="22"/>
      <w:lang w:eastAsia="en-US"/>
    </w:rPr>
  </w:style>
  <w:style w:type="paragraph" w:styleId="Heading1">
    <w:name w:val="heading 1"/>
    <w:basedOn w:val="Normal"/>
    <w:next w:val="Normal"/>
    <w:link w:val="Heading1Char"/>
    <w:uiPriority w:val="9"/>
    <w:qFormat/>
    <w:rsid w:val="006150CB"/>
    <w:pPr>
      <w:keepNext/>
      <w:spacing w:after="0" w:line="240" w:lineRule="auto"/>
      <w:jc w:val="right"/>
      <w:outlineLvl w:val="0"/>
    </w:pPr>
    <w:rPr>
      <w:rFonts w:eastAsia="SimSun" w:cs="Angsana New"/>
      <w:b/>
      <w:bCs/>
      <w:color w:val="404040"/>
      <w:kern w:val="32"/>
      <w:sz w:val="52"/>
      <w:szCs w:val="52"/>
    </w:rPr>
  </w:style>
  <w:style w:type="paragraph" w:styleId="Heading2">
    <w:name w:val="heading 2"/>
    <w:basedOn w:val="Normal"/>
    <w:next w:val="Normal"/>
    <w:link w:val="Heading2Char"/>
    <w:uiPriority w:val="9"/>
    <w:unhideWhenUsed/>
    <w:qFormat/>
    <w:rsid w:val="00564D32"/>
    <w:pPr>
      <w:keepNext/>
      <w:spacing w:before="240" w:after="60" w:line="240" w:lineRule="auto"/>
      <w:outlineLvl w:val="1"/>
    </w:pPr>
    <w:rPr>
      <w:rFonts w:eastAsia="SimSun" w:cs="Angsana New"/>
      <w:b/>
      <w:bCs/>
      <w:iCs/>
      <w:color w:val="4D738A"/>
      <w:sz w:val="40"/>
      <w:szCs w:val="48"/>
    </w:rPr>
  </w:style>
  <w:style w:type="paragraph" w:styleId="Heading3">
    <w:name w:val="heading 3"/>
    <w:basedOn w:val="Normal"/>
    <w:next w:val="Normal"/>
    <w:link w:val="Heading3Char"/>
    <w:uiPriority w:val="9"/>
    <w:unhideWhenUsed/>
    <w:qFormat/>
    <w:rsid w:val="006150CB"/>
    <w:pPr>
      <w:keepNext/>
      <w:spacing w:after="60" w:line="240" w:lineRule="auto"/>
      <w:outlineLvl w:val="2"/>
    </w:pPr>
    <w:rPr>
      <w:rFonts w:eastAsia="SimSun" w:cs="Angsana New"/>
      <w:b/>
      <w:bCs/>
      <w:color w:val="404040"/>
      <w:sz w:val="32"/>
      <w:szCs w:val="32"/>
    </w:rPr>
  </w:style>
  <w:style w:type="paragraph" w:styleId="Heading4">
    <w:name w:val="heading 4"/>
    <w:basedOn w:val="Heading3"/>
    <w:next w:val="Normal"/>
    <w:link w:val="Heading4Char"/>
    <w:uiPriority w:val="9"/>
    <w:unhideWhenUsed/>
    <w:qFormat/>
    <w:rsid w:val="0098671E"/>
    <w:pPr>
      <w:outlineLvl w:val="3"/>
    </w:pPr>
    <w:rPr>
      <w:color w:val="595959" w:themeColor="text1" w:themeTint="A6"/>
      <w:sz w:val="26"/>
      <w:szCs w:val="26"/>
    </w:rPr>
  </w:style>
  <w:style w:type="paragraph" w:styleId="Heading5">
    <w:name w:val="heading 5"/>
    <w:basedOn w:val="Normal"/>
    <w:next w:val="Normal"/>
    <w:link w:val="Heading5Char"/>
    <w:uiPriority w:val="9"/>
    <w:unhideWhenUsed/>
    <w:qFormat/>
    <w:rsid w:val="0051147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150CB"/>
    <w:rPr>
      <w:rFonts w:eastAsia="SimSun" w:cs="Angsana New"/>
      <w:b/>
      <w:bCs/>
      <w:color w:val="404040"/>
      <w:w w:val="105"/>
      <w:kern w:val="32"/>
      <w:sz w:val="52"/>
      <w:szCs w:val="52"/>
      <w:lang w:eastAsia="en-US"/>
    </w:rPr>
  </w:style>
  <w:style w:type="paragraph" w:styleId="Title">
    <w:name w:val="Title"/>
    <w:basedOn w:val="Normal"/>
    <w:next w:val="Normal"/>
    <w:link w:val="TitleChar"/>
    <w:uiPriority w:val="10"/>
    <w:qFormat/>
    <w:rsid w:val="006150CB"/>
    <w:pPr>
      <w:spacing w:before="240" w:after="60" w:line="240" w:lineRule="auto"/>
      <w:outlineLvl w:val="0"/>
    </w:pPr>
    <w:rPr>
      <w:rFonts w:eastAsia="SimSun" w:cs="Angsana New"/>
      <w:b/>
      <w:bCs/>
      <w:noProof/>
      <w:kern w:val="28"/>
      <w:sz w:val="56"/>
      <w:szCs w:val="32"/>
    </w:rPr>
  </w:style>
  <w:style w:type="character" w:customStyle="1" w:styleId="TitleChar">
    <w:name w:val="Title Char"/>
    <w:link w:val="Title"/>
    <w:uiPriority w:val="10"/>
    <w:rsid w:val="006150CB"/>
    <w:rPr>
      <w:rFonts w:eastAsia="SimSun" w:cs="Angsana New"/>
      <w:b/>
      <w:bCs/>
      <w:noProof/>
      <w:w w:val="105"/>
      <w:kern w:val="28"/>
      <w:sz w:val="56"/>
      <w:szCs w:val="32"/>
      <w:lang w:eastAsia="en-US"/>
    </w:rPr>
  </w:style>
  <w:style w:type="character" w:customStyle="1" w:styleId="Heading2Char">
    <w:name w:val="Heading 2 Char"/>
    <w:link w:val="Heading2"/>
    <w:uiPriority w:val="9"/>
    <w:rsid w:val="00564D32"/>
    <w:rPr>
      <w:rFonts w:eastAsia="SimSun" w:cs="Angsana New"/>
      <w:b/>
      <w:bCs/>
      <w:iCs/>
      <w:color w:val="4D738A"/>
      <w:w w:val="105"/>
      <w:kern w:val="40"/>
      <w:sz w:val="40"/>
      <w:szCs w:val="48"/>
      <w:lang w:eastAsia="en-US"/>
    </w:rPr>
  </w:style>
  <w:style w:type="paragraph" w:styleId="Subtitle">
    <w:name w:val="Subtitle"/>
    <w:basedOn w:val="Title"/>
    <w:next w:val="Normal"/>
    <w:link w:val="SubtitleChar"/>
    <w:uiPriority w:val="11"/>
    <w:qFormat/>
    <w:rsid w:val="006150CB"/>
    <w:pPr>
      <w:jc w:val="right"/>
    </w:pPr>
    <w:rPr>
      <w:sz w:val="28"/>
      <w:szCs w:val="28"/>
    </w:rPr>
  </w:style>
  <w:style w:type="character" w:customStyle="1" w:styleId="SubtitleChar">
    <w:name w:val="Subtitle Char"/>
    <w:link w:val="Subtitle"/>
    <w:uiPriority w:val="11"/>
    <w:rsid w:val="006150CB"/>
    <w:rPr>
      <w:rFonts w:eastAsia="SimSun" w:cs="Angsana New"/>
      <w:b/>
      <w:bCs/>
      <w:noProof/>
      <w:w w:val="105"/>
      <w:kern w:val="28"/>
      <w:sz w:val="28"/>
      <w:szCs w:val="28"/>
      <w:lang w:eastAsia="en-US"/>
    </w:rPr>
  </w:style>
  <w:style w:type="character" w:customStyle="1" w:styleId="Heading3Char">
    <w:name w:val="Heading 3 Char"/>
    <w:link w:val="Heading3"/>
    <w:uiPriority w:val="9"/>
    <w:rsid w:val="006150CB"/>
    <w:rPr>
      <w:rFonts w:eastAsia="SimSun" w:cs="Angsana New"/>
      <w:b/>
      <w:bCs/>
      <w:color w:val="404040"/>
      <w:w w:val="105"/>
      <w:kern w:val="40"/>
      <w:sz w:val="32"/>
      <w:szCs w:val="32"/>
      <w:lang w:eastAsia="en-US"/>
    </w:rPr>
  </w:style>
  <w:style w:type="paragraph" w:styleId="Header">
    <w:name w:val="header"/>
    <w:basedOn w:val="Normal"/>
    <w:link w:val="HeaderChar"/>
    <w:uiPriority w:val="99"/>
    <w:unhideWhenUsed/>
    <w:rsid w:val="006150CB"/>
    <w:pPr>
      <w:tabs>
        <w:tab w:val="center" w:pos="4513"/>
        <w:tab w:val="right" w:pos="9026"/>
      </w:tabs>
    </w:pPr>
  </w:style>
  <w:style w:type="character" w:customStyle="1" w:styleId="HeaderChar">
    <w:name w:val="Header Char"/>
    <w:link w:val="Header"/>
    <w:uiPriority w:val="99"/>
    <w:rsid w:val="006150CB"/>
    <w:rPr>
      <w:sz w:val="22"/>
      <w:szCs w:val="22"/>
      <w:lang w:eastAsia="en-US"/>
    </w:rPr>
  </w:style>
  <w:style w:type="paragraph" w:styleId="Footer">
    <w:name w:val="footer"/>
    <w:basedOn w:val="Normal"/>
    <w:link w:val="FooterChar"/>
    <w:uiPriority w:val="99"/>
    <w:unhideWhenUsed/>
    <w:rsid w:val="006150CB"/>
    <w:pPr>
      <w:tabs>
        <w:tab w:val="center" w:pos="4513"/>
        <w:tab w:val="right" w:pos="9026"/>
      </w:tabs>
    </w:pPr>
  </w:style>
  <w:style w:type="character" w:customStyle="1" w:styleId="FooterChar">
    <w:name w:val="Footer Char"/>
    <w:link w:val="Footer"/>
    <w:uiPriority w:val="99"/>
    <w:rsid w:val="006150CB"/>
    <w:rPr>
      <w:sz w:val="22"/>
      <w:szCs w:val="22"/>
      <w:lang w:eastAsia="en-US"/>
    </w:rPr>
  </w:style>
  <w:style w:type="paragraph" w:styleId="BalloonText">
    <w:name w:val="Balloon Text"/>
    <w:basedOn w:val="Normal"/>
    <w:link w:val="BalloonTextChar"/>
    <w:uiPriority w:val="99"/>
    <w:semiHidden/>
    <w:unhideWhenUsed/>
    <w:rsid w:val="005C1BB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C1BB3"/>
    <w:rPr>
      <w:rFonts w:ascii="Tahoma" w:hAnsi="Tahoma" w:cs="Tahoma"/>
      <w:w w:val="105"/>
      <w:kern w:val="40"/>
      <w:sz w:val="16"/>
      <w:szCs w:val="16"/>
      <w:lang w:eastAsia="en-US"/>
    </w:rPr>
  </w:style>
  <w:style w:type="paragraph" w:customStyle="1" w:styleId="Bullet1">
    <w:name w:val="Bullet 1"/>
    <w:basedOn w:val="ListBullet2"/>
    <w:qFormat/>
    <w:rsid w:val="00511472"/>
    <w:pPr>
      <w:numPr>
        <w:ilvl w:val="0"/>
      </w:numPr>
      <w:ind w:left="567" w:hanging="567"/>
    </w:pPr>
  </w:style>
  <w:style w:type="numbering" w:customStyle="1" w:styleId="Bullet2">
    <w:name w:val="Bullet 2"/>
    <w:basedOn w:val="NoList"/>
    <w:uiPriority w:val="99"/>
    <w:rsid w:val="0011430B"/>
    <w:pPr>
      <w:numPr>
        <w:numId w:val="2"/>
      </w:numPr>
    </w:pPr>
  </w:style>
  <w:style w:type="paragraph" w:styleId="ListBullet2">
    <w:name w:val="List Bullet 2"/>
    <w:basedOn w:val="ListBullet"/>
    <w:uiPriority w:val="99"/>
    <w:unhideWhenUsed/>
    <w:qFormat/>
    <w:rsid w:val="00511472"/>
    <w:pPr>
      <w:ind w:left="1134" w:hanging="567"/>
    </w:pPr>
  </w:style>
  <w:style w:type="character" w:customStyle="1" w:styleId="Heading4Char">
    <w:name w:val="Heading 4 Char"/>
    <w:basedOn w:val="DefaultParagraphFont"/>
    <w:link w:val="Heading4"/>
    <w:uiPriority w:val="9"/>
    <w:rsid w:val="0098671E"/>
    <w:rPr>
      <w:rFonts w:eastAsia="SimSun" w:cs="Angsana New"/>
      <w:b/>
      <w:bCs/>
      <w:color w:val="595959" w:themeColor="text1" w:themeTint="A6"/>
      <w:w w:val="105"/>
      <w:kern w:val="40"/>
      <w:sz w:val="26"/>
      <w:szCs w:val="26"/>
      <w:lang w:eastAsia="en-US"/>
    </w:rPr>
  </w:style>
  <w:style w:type="paragraph" w:styleId="ListBullet">
    <w:name w:val="List Bullet"/>
    <w:aliases w:val="List Bullet 1"/>
    <w:basedOn w:val="Normal"/>
    <w:uiPriority w:val="99"/>
    <w:unhideWhenUsed/>
    <w:rsid w:val="0011430B"/>
    <w:pPr>
      <w:numPr>
        <w:ilvl w:val="1"/>
        <w:numId w:val="1"/>
      </w:numPr>
      <w:contextualSpacing/>
    </w:pPr>
  </w:style>
  <w:style w:type="character" w:styleId="Strong">
    <w:name w:val="Strong"/>
    <w:basedOn w:val="DefaultParagraphFont"/>
    <w:uiPriority w:val="22"/>
    <w:rsid w:val="0011430B"/>
    <w:rPr>
      <w:b/>
      <w:bCs/>
    </w:rPr>
  </w:style>
  <w:style w:type="character" w:styleId="SubtleEmphasis">
    <w:name w:val="Subtle Emphasis"/>
    <w:basedOn w:val="DefaultParagraphFont"/>
    <w:uiPriority w:val="19"/>
    <w:rsid w:val="0011430B"/>
    <w:rPr>
      <w:i/>
      <w:iCs/>
      <w:color w:val="808080" w:themeColor="text1" w:themeTint="7F"/>
    </w:rPr>
  </w:style>
  <w:style w:type="character" w:customStyle="1" w:styleId="Heading5Char">
    <w:name w:val="Heading 5 Char"/>
    <w:basedOn w:val="DefaultParagraphFont"/>
    <w:link w:val="Heading5"/>
    <w:uiPriority w:val="9"/>
    <w:rsid w:val="00511472"/>
    <w:rPr>
      <w:rFonts w:asciiTheme="majorHAnsi" w:eastAsiaTheme="majorEastAsia" w:hAnsiTheme="majorHAnsi" w:cstheme="majorBidi"/>
      <w:color w:val="243F60" w:themeColor="accent1" w:themeShade="7F"/>
      <w:w w:val="105"/>
      <w:kern w:val="40"/>
      <w:sz w:val="22"/>
      <w:szCs w:val="22"/>
      <w:lang w:eastAsia="en-US"/>
    </w:rPr>
  </w:style>
  <w:style w:type="paragraph" w:styleId="TOCHeading">
    <w:name w:val="TOC Heading"/>
    <w:basedOn w:val="Heading1"/>
    <w:next w:val="Normal"/>
    <w:uiPriority w:val="39"/>
    <w:unhideWhenUsed/>
    <w:qFormat/>
    <w:rsid w:val="00FA5EC2"/>
    <w:pPr>
      <w:keepLines/>
      <w:spacing w:before="240" w:line="259" w:lineRule="auto"/>
      <w:jc w:val="left"/>
      <w:outlineLvl w:val="9"/>
    </w:pPr>
    <w:rPr>
      <w:rFonts w:asciiTheme="majorHAnsi" w:eastAsiaTheme="majorEastAsia" w:hAnsiTheme="majorHAnsi" w:cstheme="majorBidi"/>
      <w:b w:val="0"/>
      <w:bCs w:val="0"/>
      <w:color w:val="365F91" w:themeColor="accent1" w:themeShade="BF"/>
      <w:w w:val="100"/>
      <w:kern w:val="0"/>
      <w:sz w:val="32"/>
      <w:szCs w:val="32"/>
      <w:lang w:val="en-US"/>
    </w:rPr>
  </w:style>
  <w:style w:type="paragraph" w:styleId="TOC1">
    <w:name w:val="toc 1"/>
    <w:basedOn w:val="Normal"/>
    <w:next w:val="Normal"/>
    <w:autoRedefine/>
    <w:uiPriority w:val="39"/>
    <w:unhideWhenUsed/>
    <w:rsid w:val="00FA5EC2"/>
    <w:pPr>
      <w:spacing w:after="100" w:line="240" w:lineRule="auto"/>
    </w:pPr>
    <w:rPr>
      <w:w w:val="100"/>
    </w:rPr>
  </w:style>
  <w:style w:type="paragraph" w:styleId="TOC2">
    <w:name w:val="toc 2"/>
    <w:basedOn w:val="Normal"/>
    <w:next w:val="Normal"/>
    <w:autoRedefine/>
    <w:uiPriority w:val="39"/>
    <w:unhideWhenUsed/>
    <w:rsid w:val="00FA5EC2"/>
    <w:pPr>
      <w:spacing w:after="100" w:line="240" w:lineRule="auto"/>
      <w:ind w:left="220"/>
    </w:pPr>
    <w:rPr>
      <w:w w:val="100"/>
    </w:rPr>
  </w:style>
  <w:style w:type="paragraph" w:styleId="TOC3">
    <w:name w:val="toc 3"/>
    <w:basedOn w:val="Normal"/>
    <w:next w:val="Normal"/>
    <w:autoRedefine/>
    <w:uiPriority w:val="39"/>
    <w:unhideWhenUsed/>
    <w:rsid w:val="00FA5EC2"/>
    <w:pPr>
      <w:spacing w:after="100" w:line="240" w:lineRule="auto"/>
      <w:ind w:left="440"/>
    </w:pPr>
    <w:rPr>
      <w:w w:val="100"/>
    </w:rPr>
  </w:style>
  <w:style w:type="character" w:styleId="Hyperlink">
    <w:name w:val="Hyperlink"/>
    <w:basedOn w:val="DefaultParagraphFont"/>
    <w:uiPriority w:val="99"/>
    <w:unhideWhenUsed/>
    <w:qFormat/>
    <w:rsid w:val="00FA5EC2"/>
    <w:rPr>
      <w:color w:val="0000FF" w:themeColor="hyperlink"/>
      <w:u w:val="single"/>
    </w:rPr>
  </w:style>
  <w:style w:type="paragraph" w:styleId="ListParagraph">
    <w:name w:val="List Paragraph"/>
    <w:aliases w:val="List Paragraph1,List Paragraph11,Bullet point,NFP GP Bulleted List,L,bullet point list,1 heading,Bulleted Para,Bullet points,Content descriptions,Bullet Point,NAST Quote,FooterText,numbered,Paragraphe de liste1,列出段落,列出段落1"/>
    <w:basedOn w:val="Normal"/>
    <w:link w:val="ListParagraphChar"/>
    <w:uiPriority w:val="34"/>
    <w:qFormat/>
    <w:rsid w:val="00FA5EC2"/>
    <w:pPr>
      <w:spacing w:after="120" w:line="240" w:lineRule="auto"/>
      <w:ind w:left="720"/>
      <w:contextualSpacing/>
    </w:pPr>
    <w:rPr>
      <w:w w:val="100"/>
    </w:rPr>
  </w:style>
  <w:style w:type="table" w:styleId="TableGrid">
    <w:name w:val="Table Grid"/>
    <w:basedOn w:val="TableNormal"/>
    <w:uiPriority w:val="39"/>
    <w:rsid w:val="00FA5E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FA5EC2"/>
    <w:pPr>
      <w:spacing w:after="0" w:line="240" w:lineRule="auto"/>
    </w:pPr>
    <w:rPr>
      <w:w w:val="100"/>
      <w:sz w:val="20"/>
      <w:szCs w:val="20"/>
    </w:rPr>
  </w:style>
  <w:style w:type="character" w:customStyle="1" w:styleId="FootnoteTextChar">
    <w:name w:val="Footnote Text Char"/>
    <w:basedOn w:val="DefaultParagraphFont"/>
    <w:link w:val="FootnoteText"/>
    <w:uiPriority w:val="99"/>
    <w:rsid w:val="00FA5EC2"/>
    <w:rPr>
      <w:rFonts w:cs="Calibri"/>
      <w:kern w:val="40"/>
      <w:lang w:eastAsia="en-US"/>
    </w:rPr>
  </w:style>
  <w:style w:type="character" w:styleId="FootnoteReference">
    <w:name w:val="footnote reference"/>
    <w:basedOn w:val="DefaultParagraphFont"/>
    <w:uiPriority w:val="99"/>
    <w:semiHidden/>
    <w:unhideWhenUsed/>
    <w:rsid w:val="00FA5EC2"/>
    <w:rPr>
      <w:vertAlign w:val="superscript"/>
    </w:rPr>
  </w:style>
  <w:style w:type="character" w:customStyle="1" w:styleId="ListParagraphChar">
    <w:name w:val="List Paragraph Char"/>
    <w:aliases w:val="List Paragraph1 Char,List Paragraph11 Char,Bullet point Char,NFP GP Bulleted List Char,L Char,bullet point list Char,1 heading Char,Bulleted Para Char,Bullet points Char,Content descriptions Char,Bullet Point Char,NAST Quote Char"/>
    <w:link w:val="ListParagraph"/>
    <w:uiPriority w:val="34"/>
    <w:locked/>
    <w:rsid w:val="00FA5EC2"/>
    <w:rPr>
      <w:rFonts w:cs="Calibri"/>
      <w:kern w:val="40"/>
      <w:sz w:val="22"/>
      <w:szCs w:val="22"/>
      <w:lang w:eastAsia="en-US"/>
    </w:rPr>
  </w:style>
  <w:style w:type="paragraph" w:styleId="CommentText">
    <w:name w:val="annotation text"/>
    <w:basedOn w:val="Normal"/>
    <w:link w:val="CommentTextChar"/>
    <w:uiPriority w:val="99"/>
    <w:unhideWhenUsed/>
    <w:rsid w:val="00FA5EC2"/>
    <w:pPr>
      <w:spacing w:after="120" w:line="240" w:lineRule="auto"/>
    </w:pPr>
    <w:rPr>
      <w:w w:val="100"/>
      <w:sz w:val="20"/>
      <w:szCs w:val="20"/>
    </w:rPr>
  </w:style>
  <w:style w:type="character" w:customStyle="1" w:styleId="CommentTextChar">
    <w:name w:val="Comment Text Char"/>
    <w:basedOn w:val="DefaultParagraphFont"/>
    <w:link w:val="CommentText"/>
    <w:uiPriority w:val="99"/>
    <w:rsid w:val="00FA5EC2"/>
    <w:rPr>
      <w:rFonts w:cs="Calibri"/>
      <w:kern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footer" Target="footer1.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https://www.protectivesecurity.gov.au/governance/roleofaccountableauthority/Pages/default.aspx" TargetMode="Externa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PSPF@ag.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3282</Words>
  <Characters>18708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Protective Security Policy Framework: 2018-19 Assessment Report</dc:title>
  <dc:creator/>
  <cp:lastModifiedBy/>
  <cp:revision>1</cp:revision>
  <dcterms:created xsi:type="dcterms:W3CDTF">2021-02-12T02:02:00Z</dcterms:created>
  <dcterms:modified xsi:type="dcterms:W3CDTF">2021-02-12T02:03:00Z</dcterms:modified>
</cp:coreProperties>
</file>