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B91" w:rsidRPr="00A24F2F" w:rsidRDefault="002653F3" w:rsidP="00EB3C46">
      <w:pPr>
        <w:pStyle w:val="Heading1"/>
        <w:rPr>
          <w:w w:val="100"/>
        </w:rPr>
      </w:pPr>
      <w:bookmarkStart w:id="0" w:name="_GoBack"/>
      <w:r w:rsidRPr="00A24F2F">
        <w:rPr>
          <w:w w:val="100"/>
        </w:rPr>
        <w:t>S</w:t>
      </w:r>
      <w:r w:rsidR="00141B5A" w:rsidRPr="00A24F2F">
        <w:rPr>
          <w:w w:val="100"/>
        </w:rPr>
        <w:t>ummary of key c</w:t>
      </w:r>
      <w:r w:rsidR="00E86D23" w:rsidRPr="00A24F2F">
        <w:rPr>
          <w:w w:val="100"/>
        </w:rPr>
        <w:t>hanges</w:t>
      </w:r>
    </w:p>
    <w:bookmarkEnd w:id="0"/>
    <w:p w:rsidR="006B1B91" w:rsidRPr="00A24F2F" w:rsidRDefault="006B1B91" w:rsidP="006B1B91">
      <w:pPr>
        <w:pStyle w:val="Heading1"/>
        <w:rPr>
          <w:rFonts w:eastAsia="Calibri" w:cs="Calibri"/>
          <w:b w:val="0"/>
          <w:bCs w:val="0"/>
          <w:color w:val="auto"/>
          <w:w w:val="100"/>
          <w:kern w:val="40"/>
          <w:sz w:val="22"/>
          <w:szCs w:val="22"/>
        </w:rPr>
      </w:pPr>
      <w:r w:rsidRPr="00A24F2F">
        <w:rPr>
          <w:rFonts w:eastAsia="Calibri" w:cs="Calibri"/>
          <w:b w:val="0"/>
          <w:bCs w:val="0"/>
          <w:color w:val="auto"/>
          <w:w w:val="100"/>
          <w:kern w:val="40"/>
          <w:sz w:val="22"/>
          <w:szCs w:val="22"/>
        </w:rPr>
        <w:t xml:space="preserve">The new Protective Security Policy Framework (PSPF) commenced on 1 October 2018.  </w:t>
      </w:r>
    </w:p>
    <w:tbl>
      <w:tblPr>
        <w:tblStyle w:val="LightShading-Accent4"/>
        <w:tblW w:w="0" w:type="auto"/>
        <w:tblLayout w:type="fixed"/>
        <w:tblLook w:val="0420" w:firstRow="1" w:lastRow="0" w:firstColumn="0" w:lastColumn="0" w:noHBand="0" w:noVBand="1"/>
      </w:tblPr>
      <w:tblGrid>
        <w:gridCol w:w="4219"/>
        <w:gridCol w:w="1701"/>
        <w:gridCol w:w="4762"/>
      </w:tblGrid>
      <w:tr w:rsidR="00A24F2F" w:rsidRPr="00A24F2F" w:rsidTr="00A24F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219" w:type="dxa"/>
          </w:tcPr>
          <w:p w:rsidR="00A24F2F" w:rsidRPr="00A24F2F" w:rsidRDefault="00A24F2F" w:rsidP="00420B49">
            <w:pPr>
              <w:spacing w:after="0"/>
              <w:jc w:val="center"/>
              <w:rPr>
                <w:b w:val="0"/>
                <w:color w:val="6F5591"/>
                <w:w w:val="100"/>
                <w:sz w:val="44"/>
              </w:rPr>
            </w:pPr>
            <w:r>
              <w:rPr>
                <w:noProof/>
                <w:color w:val="6F5591"/>
                <w:w w:val="100"/>
                <w:sz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2524125</wp:posOffset>
                      </wp:positionH>
                      <wp:positionV relativeFrom="paragraph">
                        <wp:posOffset>22860</wp:posOffset>
                      </wp:positionV>
                      <wp:extent cx="1200150" cy="457200"/>
                      <wp:effectExtent l="57150" t="19050" r="38100" b="76200"/>
                      <wp:wrapNone/>
                      <wp:docPr id="8" name="Right Arrow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0" cy="4572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3">
                                <a:schemeClr val="accent4"/>
                              </a:fillRef>
                              <a:effectRef idx="2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AC72F74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8" o:spid="_x0000_s1026" type="#_x0000_t13" style="position:absolute;margin-left:198.75pt;margin-top:1.8pt;width:94.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" adj="17486" fillcolor="#8064a2 [3207]" stroked="f">
                      <v:shadow on="t" color="black" opacity="22937f" origin=",.5" offset="0,.63889mm"/>
                    </v:shape>
                  </w:pict>
                </mc:Fallback>
              </mc:AlternateContent>
            </w:r>
            <w:r w:rsidRPr="00A24F2F">
              <w:rPr>
                <w:color w:val="6F5591"/>
                <w:w w:val="100"/>
                <w:sz w:val="44"/>
              </w:rPr>
              <w:t>Then</w:t>
            </w:r>
            <w:r w:rsidRPr="00A24F2F">
              <w:rPr>
                <w:color w:val="6F5591"/>
                <w:w w:val="100"/>
                <w:sz w:val="44"/>
              </w:rPr>
              <w:br/>
            </w:r>
            <w:r w:rsidRPr="00A24F2F">
              <w:rPr>
                <w:color w:val="6F5591"/>
                <w:w w:val="100"/>
                <w:sz w:val="24"/>
              </w:rPr>
              <w:t>(2014 PSPF)</w:t>
            </w:r>
          </w:p>
        </w:tc>
        <w:tc>
          <w:tcPr>
            <w:tcW w:w="1701" w:type="dxa"/>
          </w:tcPr>
          <w:p w:rsidR="00A24F2F" w:rsidRPr="00A24F2F" w:rsidRDefault="00A24F2F" w:rsidP="00420B49">
            <w:pPr>
              <w:spacing w:after="0"/>
              <w:jc w:val="center"/>
              <w:rPr>
                <w:b w:val="0"/>
                <w:color w:val="6F5591"/>
                <w:w w:val="100"/>
                <w:sz w:val="44"/>
              </w:rPr>
            </w:pPr>
          </w:p>
        </w:tc>
        <w:tc>
          <w:tcPr>
            <w:tcW w:w="4762" w:type="dxa"/>
          </w:tcPr>
          <w:p w:rsidR="00A24F2F" w:rsidRPr="00A24F2F" w:rsidRDefault="00A24F2F" w:rsidP="00420B49">
            <w:pPr>
              <w:spacing w:after="0"/>
              <w:jc w:val="center"/>
              <w:rPr>
                <w:b w:val="0"/>
                <w:color w:val="6F5591"/>
                <w:w w:val="100"/>
                <w:sz w:val="44"/>
              </w:rPr>
            </w:pPr>
            <w:r w:rsidRPr="00A24F2F">
              <w:rPr>
                <w:color w:val="6F5591"/>
                <w:w w:val="100"/>
                <w:sz w:val="44"/>
              </w:rPr>
              <w:t xml:space="preserve">Now </w:t>
            </w:r>
            <w:r w:rsidRPr="00A24F2F">
              <w:rPr>
                <w:color w:val="6F5591"/>
                <w:w w:val="100"/>
                <w:sz w:val="44"/>
              </w:rPr>
              <w:br/>
            </w:r>
            <w:r w:rsidRPr="00A24F2F">
              <w:rPr>
                <w:color w:val="6F5591"/>
                <w:w w:val="100"/>
                <w:sz w:val="24"/>
              </w:rPr>
              <w:t>(2018 PSPF)</w:t>
            </w:r>
          </w:p>
        </w:tc>
      </w:tr>
      <w:tr w:rsidR="00A24F2F" w:rsidRPr="00A24F2F" w:rsidTr="00AB6F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682" w:type="dxa"/>
            <w:gridSpan w:val="3"/>
          </w:tcPr>
          <w:p w:rsidR="00A24F2F" w:rsidRPr="00A24F2F" w:rsidRDefault="00A24F2F" w:rsidP="00D43179">
            <w:pPr>
              <w:pStyle w:val="Tablebody"/>
              <w:rPr>
                <w:b/>
                <w:color w:val="6F5591"/>
                <w:w w:val="100"/>
                <w:sz w:val="24"/>
              </w:rPr>
            </w:pPr>
            <w:r w:rsidRPr="00A24F2F">
              <w:rPr>
                <w:b/>
                <w:color w:val="6F5591"/>
                <w:w w:val="100"/>
                <w:sz w:val="24"/>
              </w:rPr>
              <w:t>Architecture</w:t>
            </w:r>
          </w:p>
        </w:tc>
      </w:tr>
      <w:tr w:rsidR="00A24F2F" w:rsidRPr="00A24F2F" w:rsidTr="00A24F2F">
        <w:tc>
          <w:tcPr>
            <w:tcW w:w="4219" w:type="dxa"/>
          </w:tcPr>
          <w:p w:rsidR="00A24F2F" w:rsidRPr="00A24F2F" w:rsidRDefault="00A24F2F" w:rsidP="009C3D76">
            <w:pPr>
              <w:pStyle w:val="Tablebody"/>
              <w:numPr>
                <w:ilvl w:val="0"/>
                <w:numId w:val="11"/>
              </w:numPr>
              <w:ind w:left="142" w:hanging="142"/>
              <w:rPr>
                <w:w w:val="100"/>
              </w:rPr>
            </w:pPr>
            <w:r w:rsidRPr="00A24F2F">
              <w:rPr>
                <w:w w:val="100"/>
              </w:rPr>
              <w:t>Complex—unclear what is mandatory</w:t>
            </w:r>
          </w:p>
          <w:p w:rsidR="00A24F2F" w:rsidRPr="00A24F2F" w:rsidRDefault="00A24F2F" w:rsidP="009C3D76">
            <w:pPr>
              <w:pStyle w:val="Tablebody"/>
              <w:numPr>
                <w:ilvl w:val="0"/>
                <w:numId w:val="11"/>
              </w:numPr>
              <w:ind w:left="142" w:hanging="142"/>
              <w:rPr>
                <w:w w:val="100"/>
              </w:rPr>
            </w:pPr>
            <w:r w:rsidRPr="00A24F2F">
              <w:rPr>
                <w:w w:val="100"/>
              </w:rPr>
              <w:t>29 policy documents</w:t>
            </w:r>
          </w:p>
          <w:p w:rsidR="00A24F2F" w:rsidRPr="00A24F2F" w:rsidRDefault="00A24F2F" w:rsidP="009C3D76">
            <w:pPr>
              <w:pStyle w:val="Tablebody"/>
              <w:numPr>
                <w:ilvl w:val="0"/>
                <w:numId w:val="11"/>
              </w:numPr>
              <w:ind w:left="142" w:hanging="142"/>
              <w:rPr>
                <w:w w:val="100"/>
              </w:rPr>
            </w:pPr>
            <w:r w:rsidRPr="00A24F2F">
              <w:rPr>
                <w:w w:val="100"/>
              </w:rPr>
              <w:t>36 core security requirements</w:t>
            </w:r>
          </w:p>
          <w:p w:rsidR="00A24F2F" w:rsidRPr="00A24F2F" w:rsidRDefault="00A24F2F" w:rsidP="009C3D76">
            <w:pPr>
              <w:pStyle w:val="Tablebody"/>
              <w:numPr>
                <w:ilvl w:val="0"/>
                <w:numId w:val="11"/>
              </w:numPr>
              <w:ind w:left="142" w:hanging="142"/>
              <w:rPr>
                <w:w w:val="100"/>
              </w:rPr>
            </w:pPr>
            <w:r w:rsidRPr="00A24F2F">
              <w:rPr>
                <w:w w:val="100"/>
              </w:rPr>
              <w:t>2,200 supporting controls</w:t>
            </w:r>
          </w:p>
        </w:tc>
        <w:tc>
          <w:tcPr>
            <w:tcW w:w="1701" w:type="dxa"/>
          </w:tcPr>
          <w:p w:rsidR="00A24F2F" w:rsidRPr="00A24F2F" w:rsidRDefault="00A24F2F" w:rsidP="00A24F2F">
            <w:pPr>
              <w:pStyle w:val="Tablebody"/>
              <w:ind w:left="360"/>
              <w:rPr>
                <w:w w:val="100"/>
              </w:rPr>
            </w:pPr>
          </w:p>
        </w:tc>
        <w:tc>
          <w:tcPr>
            <w:tcW w:w="4762" w:type="dxa"/>
          </w:tcPr>
          <w:p w:rsidR="00A24F2F" w:rsidRPr="00A24F2F" w:rsidRDefault="00A24F2F" w:rsidP="009C3D76">
            <w:pPr>
              <w:pStyle w:val="Tablebody"/>
              <w:numPr>
                <w:ilvl w:val="0"/>
                <w:numId w:val="11"/>
              </w:numPr>
              <w:ind w:left="142" w:hanging="142"/>
              <w:rPr>
                <w:w w:val="100"/>
              </w:rPr>
            </w:pPr>
            <w:r w:rsidRPr="00A24F2F">
              <w:rPr>
                <w:w w:val="100"/>
              </w:rPr>
              <w:t xml:space="preserve">Simplified—more logical, principles-based, clarity of mandatory requirements  </w:t>
            </w:r>
          </w:p>
          <w:p w:rsidR="00A24F2F" w:rsidRPr="00A24F2F" w:rsidRDefault="00A24F2F" w:rsidP="009C3D76">
            <w:pPr>
              <w:pStyle w:val="Tablebody"/>
              <w:numPr>
                <w:ilvl w:val="0"/>
                <w:numId w:val="11"/>
              </w:numPr>
              <w:ind w:left="142" w:hanging="142"/>
              <w:rPr>
                <w:w w:val="100"/>
              </w:rPr>
            </w:pPr>
            <w:r w:rsidRPr="00A24F2F">
              <w:rPr>
                <w:w w:val="100"/>
              </w:rPr>
              <w:t>16 core requirements explained 16 policy documents—achieved by removing duplication within the PSPF and with other government legislation or policy</w:t>
            </w:r>
          </w:p>
          <w:p w:rsidR="00A24F2F" w:rsidRPr="00A24F2F" w:rsidRDefault="00A24F2F" w:rsidP="009C3D76">
            <w:pPr>
              <w:pStyle w:val="Tablebody"/>
              <w:numPr>
                <w:ilvl w:val="0"/>
                <w:numId w:val="11"/>
              </w:numPr>
              <w:ind w:left="142" w:hanging="142"/>
              <w:rPr>
                <w:bCs w:val="0"/>
                <w:w w:val="100"/>
              </w:rPr>
            </w:pPr>
            <w:r w:rsidRPr="00A24F2F">
              <w:rPr>
                <w:bCs w:val="0"/>
                <w:w w:val="100"/>
              </w:rPr>
              <w:t xml:space="preserve">143 </w:t>
            </w:r>
            <w:r w:rsidRPr="00A24F2F">
              <w:rPr>
                <w:w w:val="100"/>
              </w:rPr>
              <w:t>supporting</w:t>
            </w:r>
            <w:r w:rsidRPr="00A24F2F">
              <w:rPr>
                <w:bCs w:val="0"/>
                <w:w w:val="100"/>
              </w:rPr>
              <w:t xml:space="preserve"> requirements</w:t>
            </w:r>
          </w:p>
        </w:tc>
      </w:tr>
      <w:tr w:rsidR="00A24F2F" w:rsidRPr="00A24F2F" w:rsidTr="00F635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682" w:type="dxa"/>
            <w:gridSpan w:val="3"/>
          </w:tcPr>
          <w:p w:rsidR="00A24F2F" w:rsidRPr="00A24F2F" w:rsidRDefault="00A24F2F" w:rsidP="000E35B9">
            <w:pPr>
              <w:pStyle w:val="Tablebody"/>
              <w:rPr>
                <w:w w:val="100"/>
              </w:rPr>
            </w:pPr>
            <w:r w:rsidRPr="00A24F2F">
              <w:rPr>
                <w:b/>
                <w:color w:val="6F5591"/>
                <w:w w:val="100"/>
                <w:sz w:val="24"/>
              </w:rPr>
              <w:t>Security governance</w:t>
            </w:r>
          </w:p>
        </w:tc>
      </w:tr>
      <w:tr w:rsidR="00A24F2F" w:rsidRPr="00A24F2F" w:rsidTr="00A24F2F">
        <w:tc>
          <w:tcPr>
            <w:tcW w:w="4219" w:type="dxa"/>
          </w:tcPr>
          <w:p w:rsidR="00A24F2F" w:rsidRPr="00A24F2F" w:rsidRDefault="00A24F2F" w:rsidP="009C3D76">
            <w:pPr>
              <w:pStyle w:val="Tablebody"/>
              <w:numPr>
                <w:ilvl w:val="0"/>
                <w:numId w:val="11"/>
              </w:numPr>
              <w:ind w:left="142" w:hanging="142"/>
              <w:rPr>
                <w:w w:val="100"/>
              </w:rPr>
            </w:pPr>
            <w:r w:rsidRPr="00A24F2F">
              <w:rPr>
                <w:w w:val="100"/>
              </w:rPr>
              <w:t>Compliance encourages tick box approach to security</w:t>
            </w:r>
          </w:p>
        </w:tc>
        <w:tc>
          <w:tcPr>
            <w:tcW w:w="1701" w:type="dxa"/>
          </w:tcPr>
          <w:p w:rsidR="00A24F2F" w:rsidRPr="00A24F2F" w:rsidRDefault="00A24F2F" w:rsidP="00A24F2F">
            <w:pPr>
              <w:pStyle w:val="Tablebody"/>
              <w:ind w:left="360"/>
              <w:rPr>
                <w:w w:val="100"/>
              </w:rPr>
            </w:pPr>
          </w:p>
        </w:tc>
        <w:tc>
          <w:tcPr>
            <w:tcW w:w="4762" w:type="dxa"/>
          </w:tcPr>
          <w:p w:rsidR="00A24F2F" w:rsidRPr="00A24F2F" w:rsidRDefault="00A24F2F" w:rsidP="009C3D76">
            <w:pPr>
              <w:pStyle w:val="Tablebody"/>
              <w:numPr>
                <w:ilvl w:val="0"/>
                <w:numId w:val="11"/>
              </w:numPr>
              <w:ind w:left="142" w:hanging="142"/>
              <w:rPr>
                <w:w w:val="100"/>
              </w:rPr>
            </w:pPr>
            <w:r w:rsidRPr="00A24F2F">
              <w:rPr>
                <w:w w:val="100"/>
              </w:rPr>
              <w:t>Adopts a life cycle approach to security management (planning, monitoring and reporting)</w:t>
            </w:r>
          </w:p>
          <w:p w:rsidR="00A24F2F" w:rsidRPr="00A24F2F" w:rsidRDefault="00A24F2F" w:rsidP="009C3D76">
            <w:pPr>
              <w:pStyle w:val="Tablebody"/>
              <w:numPr>
                <w:ilvl w:val="0"/>
                <w:numId w:val="11"/>
              </w:numPr>
              <w:ind w:left="142" w:hanging="142"/>
              <w:rPr>
                <w:w w:val="100"/>
              </w:rPr>
            </w:pPr>
            <w:r w:rsidRPr="00A24F2F">
              <w:rPr>
                <w:w w:val="100"/>
              </w:rPr>
              <w:t>Greater focus on risk management approach</w:t>
            </w:r>
          </w:p>
          <w:p w:rsidR="00A24F2F" w:rsidRPr="00A24F2F" w:rsidRDefault="00A24F2F" w:rsidP="009C3D76">
            <w:pPr>
              <w:pStyle w:val="Tablebody"/>
              <w:numPr>
                <w:ilvl w:val="0"/>
                <w:numId w:val="11"/>
              </w:numPr>
              <w:ind w:left="142" w:hanging="142"/>
              <w:rPr>
                <w:w w:val="100"/>
              </w:rPr>
            </w:pPr>
            <w:r w:rsidRPr="00A24F2F">
              <w:rPr>
                <w:w w:val="100"/>
              </w:rPr>
              <w:t xml:space="preserve">Clearer accountability for security and embedding security culture. </w:t>
            </w:r>
          </w:p>
        </w:tc>
      </w:tr>
      <w:tr w:rsidR="00A24F2F" w:rsidRPr="00A24F2F" w:rsidTr="00ED7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682" w:type="dxa"/>
            <w:gridSpan w:val="3"/>
          </w:tcPr>
          <w:p w:rsidR="00A24F2F" w:rsidRPr="00A24F2F" w:rsidRDefault="00A24F2F" w:rsidP="000E35B9">
            <w:pPr>
              <w:pStyle w:val="Tablebody"/>
              <w:rPr>
                <w:w w:val="100"/>
              </w:rPr>
            </w:pPr>
            <w:r w:rsidRPr="00A24F2F">
              <w:rPr>
                <w:b/>
                <w:color w:val="6F5591"/>
                <w:w w:val="100"/>
                <w:sz w:val="24"/>
              </w:rPr>
              <w:t>Information security</w:t>
            </w:r>
          </w:p>
        </w:tc>
      </w:tr>
      <w:tr w:rsidR="00A24F2F" w:rsidRPr="00A24F2F" w:rsidTr="00A24F2F">
        <w:tc>
          <w:tcPr>
            <w:tcW w:w="4219" w:type="dxa"/>
          </w:tcPr>
          <w:p w:rsidR="00A24F2F" w:rsidRPr="00A24F2F" w:rsidRDefault="00A24F2F" w:rsidP="009C3D76">
            <w:pPr>
              <w:pStyle w:val="Tablebody"/>
              <w:numPr>
                <w:ilvl w:val="0"/>
                <w:numId w:val="11"/>
              </w:numPr>
              <w:ind w:left="142" w:hanging="142"/>
              <w:rPr>
                <w:w w:val="100"/>
              </w:rPr>
            </w:pPr>
            <w:r w:rsidRPr="00A24F2F">
              <w:rPr>
                <w:w w:val="100"/>
              </w:rPr>
              <w:t xml:space="preserve">Complex classification system, leading to over classification and inaccurate handling of sensitive and security classified information </w:t>
            </w:r>
          </w:p>
          <w:p w:rsidR="00A24F2F" w:rsidRPr="00A24F2F" w:rsidRDefault="00A24F2F" w:rsidP="009C3D76">
            <w:pPr>
              <w:pStyle w:val="Tablebody"/>
              <w:numPr>
                <w:ilvl w:val="0"/>
                <w:numId w:val="11"/>
              </w:numPr>
              <w:ind w:left="142" w:hanging="142"/>
              <w:rPr>
                <w:w w:val="100"/>
              </w:rPr>
            </w:pPr>
            <w:r w:rsidRPr="00A24F2F">
              <w:rPr>
                <w:w w:val="100"/>
              </w:rPr>
              <w:t>Insufficient focus on ICT and cyber security matters</w:t>
            </w:r>
          </w:p>
          <w:p w:rsidR="00A24F2F" w:rsidRPr="00A24F2F" w:rsidRDefault="00A24F2F" w:rsidP="009C3D76">
            <w:pPr>
              <w:pStyle w:val="Tablebody"/>
              <w:numPr>
                <w:ilvl w:val="0"/>
                <w:numId w:val="11"/>
              </w:numPr>
              <w:ind w:left="142" w:hanging="142"/>
              <w:rPr>
                <w:w w:val="100"/>
              </w:rPr>
            </w:pPr>
            <w:r w:rsidRPr="00A24F2F">
              <w:rPr>
                <w:w w:val="100"/>
              </w:rPr>
              <w:t>Insufficient link to ISM</w:t>
            </w:r>
          </w:p>
        </w:tc>
        <w:tc>
          <w:tcPr>
            <w:tcW w:w="1701" w:type="dxa"/>
          </w:tcPr>
          <w:p w:rsidR="00A24F2F" w:rsidRPr="00A24F2F" w:rsidRDefault="00A24F2F" w:rsidP="00A24F2F">
            <w:pPr>
              <w:pStyle w:val="Tablebody"/>
              <w:ind w:left="360"/>
              <w:rPr>
                <w:w w:val="100"/>
              </w:rPr>
            </w:pPr>
          </w:p>
        </w:tc>
        <w:tc>
          <w:tcPr>
            <w:tcW w:w="4762" w:type="dxa"/>
          </w:tcPr>
          <w:p w:rsidR="00A24F2F" w:rsidRPr="00A24F2F" w:rsidRDefault="00A24F2F" w:rsidP="009C3D76">
            <w:pPr>
              <w:pStyle w:val="Tablebody"/>
              <w:numPr>
                <w:ilvl w:val="0"/>
                <w:numId w:val="11"/>
              </w:numPr>
              <w:ind w:left="142" w:hanging="142"/>
              <w:rPr>
                <w:w w:val="100"/>
              </w:rPr>
            </w:pPr>
            <w:r w:rsidRPr="00A24F2F">
              <w:rPr>
                <w:w w:val="100"/>
              </w:rPr>
              <w:t>Simplified classification of information.</w:t>
            </w:r>
          </w:p>
          <w:p w:rsidR="00A24F2F" w:rsidRPr="00A24F2F" w:rsidRDefault="00A24F2F" w:rsidP="009C3D76">
            <w:pPr>
              <w:pStyle w:val="Tablebody"/>
              <w:numPr>
                <w:ilvl w:val="0"/>
                <w:numId w:val="11"/>
              </w:numPr>
              <w:ind w:left="142" w:hanging="142"/>
              <w:rPr>
                <w:w w:val="100"/>
              </w:rPr>
            </w:pPr>
            <w:r w:rsidRPr="00A24F2F">
              <w:rPr>
                <w:w w:val="100"/>
              </w:rPr>
              <w:t>Increased focus on cyber security matters.</w:t>
            </w:r>
          </w:p>
          <w:p w:rsidR="00A24F2F" w:rsidRPr="00A24F2F" w:rsidRDefault="00A24F2F" w:rsidP="009C3D76">
            <w:pPr>
              <w:pStyle w:val="Tablebody"/>
              <w:numPr>
                <w:ilvl w:val="0"/>
                <w:numId w:val="11"/>
              </w:numPr>
              <w:ind w:left="142" w:hanging="142"/>
              <w:rPr>
                <w:w w:val="100"/>
              </w:rPr>
            </w:pPr>
            <w:r w:rsidRPr="00A24F2F">
              <w:rPr>
                <w:w w:val="100"/>
              </w:rPr>
              <w:t>Addresses inconsistency (and duplication) between the PSPF and ISM</w:t>
            </w:r>
          </w:p>
        </w:tc>
      </w:tr>
      <w:tr w:rsidR="00A24F2F" w:rsidRPr="00A24F2F" w:rsidTr="00D67C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682" w:type="dxa"/>
            <w:gridSpan w:val="3"/>
          </w:tcPr>
          <w:p w:rsidR="00A24F2F" w:rsidRPr="00A24F2F" w:rsidRDefault="00A24F2F" w:rsidP="000E35B9">
            <w:pPr>
              <w:pStyle w:val="Tablebody"/>
              <w:rPr>
                <w:w w:val="100"/>
              </w:rPr>
            </w:pPr>
            <w:r w:rsidRPr="00A24F2F">
              <w:rPr>
                <w:b/>
                <w:color w:val="6F5591"/>
                <w:w w:val="100"/>
                <w:sz w:val="24"/>
              </w:rPr>
              <w:t>Personnel security</w:t>
            </w:r>
          </w:p>
        </w:tc>
      </w:tr>
      <w:tr w:rsidR="00A24F2F" w:rsidRPr="00A24F2F" w:rsidTr="00A24F2F">
        <w:tc>
          <w:tcPr>
            <w:tcW w:w="4219" w:type="dxa"/>
          </w:tcPr>
          <w:p w:rsidR="00A24F2F" w:rsidRPr="00A24F2F" w:rsidRDefault="00A24F2F" w:rsidP="009C3D76">
            <w:pPr>
              <w:pStyle w:val="Tablebody"/>
              <w:numPr>
                <w:ilvl w:val="0"/>
                <w:numId w:val="11"/>
              </w:numPr>
              <w:ind w:left="142" w:hanging="142"/>
              <w:rPr>
                <w:w w:val="100"/>
              </w:rPr>
            </w:pPr>
            <w:r w:rsidRPr="00A24F2F">
              <w:rPr>
                <w:w w:val="100"/>
              </w:rPr>
              <w:t>Compliance approach that encourages passive and reactive approach to personnel security</w:t>
            </w:r>
          </w:p>
        </w:tc>
        <w:tc>
          <w:tcPr>
            <w:tcW w:w="1701" w:type="dxa"/>
          </w:tcPr>
          <w:p w:rsidR="00A24F2F" w:rsidRPr="00A24F2F" w:rsidRDefault="00A24F2F" w:rsidP="00A24F2F">
            <w:pPr>
              <w:pStyle w:val="Tablebody"/>
              <w:ind w:left="360"/>
              <w:rPr>
                <w:w w:val="100"/>
              </w:rPr>
            </w:pPr>
          </w:p>
        </w:tc>
        <w:tc>
          <w:tcPr>
            <w:tcW w:w="4762" w:type="dxa"/>
          </w:tcPr>
          <w:p w:rsidR="00A24F2F" w:rsidRPr="00A24F2F" w:rsidRDefault="00A24F2F" w:rsidP="009C3D76">
            <w:pPr>
              <w:pStyle w:val="Tablebody"/>
              <w:numPr>
                <w:ilvl w:val="0"/>
                <w:numId w:val="11"/>
              </w:numPr>
              <w:ind w:left="142" w:hanging="142"/>
              <w:rPr>
                <w:w w:val="100"/>
              </w:rPr>
            </w:pPr>
            <w:r w:rsidRPr="00A24F2F">
              <w:rPr>
                <w:w w:val="100"/>
              </w:rPr>
              <w:t>Strengthened provisions to mitigate against the insider threat</w:t>
            </w:r>
          </w:p>
          <w:p w:rsidR="00A24F2F" w:rsidRPr="00A24F2F" w:rsidRDefault="00A24F2F" w:rsidP="009C3D76">
            <w:pPr>
              <w:pStyle w:val="Tablebody"/>
              <w:numPr>
                <w:ilvl w:val="0"/>
                <w:numId w:val="11"/>
              </w:numPr>
              <w:ind w:left="142" w:hanging="142"/>
              <w:rPr>
                <w:w w:val="100"/>
              </w:rPr>
            </w:pPr>
            <w:r>
              <w:rPr>
                <w:w w:val="100"/>
              </w:rPr>
              <w:t>Highlights the</w:t>
            </w:r>
            <w:r w:rsidRPr="00A24F2F">
              <w:rPr>
                <w:w w:val="100"/>
              </w:rPr>
              <w:t xml:space="preserve"> importance of information sharing.</w:t>
            </w:r>
          </w:p>
        </w:tc>
      </w:tr>
    </w:tbl>
    <w:p w:rsidR="00141B5A" w:rsidRPr="000E35B9" w:rsidRDefault="00AF4F26" w:rsidP="000E35B9">
      <w:pPr>
        <w:spacing w:before="240" w:after="0"/>
        <w:rPr>
          <w:b/>
          <w:bCs/>
          <w:w w:val="100"/>
          <w:sz w:val="36"/>
        </w:rPr>
      </w:pPr>
      <w:r w:rsidRPr="000E35B9">
        <w:rPr>
          <w:b/>
          <w:bCs/>
          <w:w w:val="100"/>
          <w:sz w:val="36"/>
        </w:rPr>
        <w:t>New PSPF policy and guidance documents</w:t>
      </w:r>
    </w:p>
    <w:tbl>
      <w:tblPr>
        <w:tblStyle w:val="LightShading-Accent4"/>
        <w:tblW w:w="4886" w:type="pct"/>
        <w:jc w:val="center"/>
        <w:tblLook w:val="04A0" w:firstRow="1" w:lastRow="0" w:firstColumn="1" w:lastColumn="0" w:noHBand="0" w:noVBand="1"/>
        <w:tblCaption w:val="Table 1 Recommended entity processes for withdrawing access prior to and on separation or transfer of all personnel"/>
        <w:tblDescription w:val="Prior to separation&#10;Prior to separation or transfer, entities:&#10;a. recover ICT equipment or physical assets that are issued to personnel (refer endnote i), in particular, any portable devices&#10;b. recover any corporate credit cards&#10;c. recover any hardcopy material (both originals and copies).&#10;&#10;On separation&#10;On separation or transfer, entities:&#10;a. disable remote access to the ICT systems, including but not limited to email, telephone, voicemail, citrix, dropbox and cloud accounts&#10;b. revoke physical access to facilities and retrieve keys and access cards&#10;c. change any combinations for locks (e.g. doors, safes or security containers) that the person had access to."/>
      </w:tblPr>
      <w:tblGrid>
        <w:gridCol w:w="2409"/>
        <w:gridCol w:w="8029"/>
      </w:tblGrid>
      <w:tr w:rsidR="003C1CC8" w:rsidRPr="00A24F2F" w:rsidTr="009C3D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  <w:vAlign w:val="center"/>
          </w:tcPr>
          <w:p w:rsidR="003C1CC8" w:rsidRPr="00A24F2F" w:rsidRDefault="00AF4F26" w:rsidP="00A24F2F">
            <w:pPr>
              <w:pStyle w:val="Tablebody"/>
              <w:rPr>
                <w:color w:val="6F5591"/>
                <w:w w:val="100"/>
                <w:sz w:val="24"/>
              </w:rPr>
            </w:pPr>
            <w:r w:rsidRPr="00A24F2F">
              <w:rPr>
                <w:bCs/>
                <w:color w:val="6F5591"/>
                <w:w w:val="100"/>
                <w:sz w:val="24"/>
              </w:rPr>
              <w:t>POLICY DOCUMENT</w:t>
            </w:r>
          </w:p>
        </w:tc>
        <w:tc>
          <w:tcPr>
            <w:tcW w:w="3846" w:type="pct"/>
            <w:vAlign w:val="center"/>
          </w:tcPr>
          <w:p w:rsidR="003C1CC8" w:rsidRPr="00A24F2F" w:rsidRDefault="00AF4F26" w:rsidP="00A24F2F">
            <w:pPr>
              <w:pStyle w:val="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6F5591"/>
                <w:w w:val="100"/>
                <w:sz w:val="24"/>
              </w:rPr>
            </w:pPr>
            <w:r w:rsidRPr="00A24F2F">
              <w:rPr>
                <w:bCs/>
                <w:color w:val="6F5591"/>
                <w:w w:val="100"/>
                <w:sz w:val="24"/>
              </w:rPr>
              <w:t>KEY CHANGES</w:t>
            </w:r>
          </w:p>
        </w:tc>
      </w:tr>
      <w:tr w:rsidR="0057720C" w:rsidRPr="00A24F2F" w:rsidTr="009C3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</w:tcPr>
          <w:p w:rsidR="0057720C" w:rsidRPr="00A24F2F" w:rsidRDefault="0057720C" w:rsidP="00EB3C46">
            <w:pPr>
              <w:pStyle w:val="Tablebody"/>
              <w:rPr>
                <w:bCs/>
                <w:w w:val="100"/>
              </w:rPr>
            </w:pPr>
            <w:r w:rsidRPr="00A24F2F">
              <w:rPr>
                <w:w w:val="100"/>
              </w:rPr>
              <w:t>1. Role of accountable authority</w:t>
            </w:r>
          </w:p>
        </w:tc>
        <w:tc>
          <w:tcPr>
            <w:tcW w:w="3846" w:type="pct"/>
          </w:tcPr>
          <w:p w:rsidR="0057720C" w:rsidRPr="00A24F2F" w:rsidRDefault="0057720C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 xml:space="preserve">Clearer articulation of the role of </w:t>
            </w:r>
            <w:r w:rsidR="000A0DC7" w:rsidRPr="00A24F2F">
              <w:rPr>
                <w:w w:val="100"/>
              </w:rPr>
              <w:t xml:space="preserve">the accountable authority (entity heads) and of </w:t>
            </w:r>
            <w:r w:rsidRPr="00A24F2F">
              <w:rPr>
                <w:w w:val="100"/>
              </w:rPr>
              <w:t>entities</w:t>
            </w:r>
            <w:r w:rsidR="000A0DC7" w:rsidRPr="00A24F2F">
              <w:rPr>
                <w:w w:val="100"/>
              </w:rPr>
              <w:t xml:space="preserve"> with a lead role in security policy or services</w:t>
            </w:r>
            <w:r w:rsidRPr="00A24F2F">
              <w:rPr>
                <w:w w:val="100"/>
              </w:rPr>
              <w:t xml:space="preserve"> such as the Attorney-General’s Department</w:t>
            </w:r>
          </w:p>
          <w:p w:rsidR="0057720C" w:rsidRPr="00A24F2F" w:rsidRDefault="0057720C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Greater focus on shared risks and impact of entity risks on others</w:t>
            </w:r>
          </w:p>
        </w:tc>
      </w:tr>
      <w:tr w:rsidR="0057720C" w:rsidRPr="00A24F2F" w:rsidTr="009C3D76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</w:tcPr>
          <w:p w:rsidR="0057720C" w:rsidRPr="00A24F2F" w:rsidRDefault="0057720C" w:rsidP="00EB3C46">
            <w:pPr>
              <w:pStyle w:val="Tablebody"/>
              <w:rPr>
                <w:w w:val="100"/>
              </w:rPr>
            </w:pPr>
            <w:r w:rsidRPr="00A24F2F">
              <w:rPr>
                <w:w w:val="100"/>
              </w:rPr>
              <w:t>2. Management structures and responsibilities</w:t>
            </w:r>
          </w:p>
        </w:tc>
        <w:tc>
          <w:tcPr>
            <w:tcW w:w="3846" w:type="pct"/>
          </w:tcPr>
          <w:p w:rsidR="0057720C" w:rsidRPr="00A24F2F" w:rsidRDefault="0057720C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Introduces a new C</w:t>
            </w:r>
            <w:r w:rsidR="000A0DC7" w:rsidRPr="00A24F2F">
              <w:rPr>
                <w:w w:val="100"/>
              </w:rPr>
              <w:t xml:space="preserve">hief </w:t>
            </w:r>
            <w:r w:rsidRPr="00A24F2F">
              <w:rPr>
                <w:w w:val="100"/>
              </w:rPr>
              <w:t>S</w:t>
            </w:r>
            <w:r w:rsidR="000A0DC7" w:rsidRPr="00A24F2F">
              <w:rPr>
                <w:w w:val="100"/>
              </w:rPr>
              <w:t xml:space="preserve">ecurity </w:t>
            </w:r>
            <w:r w:rsidRPr="00A24F2F">
              <w:rPr>
                <w:w w:val="100"/>
              </w:rPr>
              <w:t>O</w:t>
            </w:r>
            <w:r w:rsidR="000A0DC7" w:rsidRPr="00A24F2F">
              <w:rPr>
                <w:w w:val="100"/>
              </w:rPr>
              <w:t>fficer</w:t>
            </w:r>
            <w:r w:rsidRPr="00A24F2F">
              <w:rPr>
                <w:w w:val="100"/>
              </w:rPr>
              <w:t xml:space="preserve"> role that expands on the Security Executive role in the </w:t>
            </w:r>
            <w:r w:rsidR="00A24F2F">
              <w:rPr>
                <w:w w:val="100"/>
              </w:rPr>
              <w:t>previous</w:t>
            </w:r>
            <w:r w:rsidRPr="00A24F2F">
              <w:rPr>
                <w:w w:val="100"/>
              </w:rPr>
              <w:t xml:space="preserve"> PSPF. </w:t>
            </w:r>
            <w:r w:rsidR="000A0DC7" w:rsidRPr="00A24F2F">
              <w:rPr>
                <w:w w:val="100"/>
              </w:rPr>
              <w:t>The CSO:</w:t>
            </w:r>
          </w:p>
          <w:p w:rsidR="0057720C" w:rsidRPr="00A24F2F" w:rsidRDefault="0057720C" w:rsidP="000E35B9">
            <w:pPr>
              <w:pStyle w:val="Tablebody"/>
              <w:numPr>
                <w:ilvl w:val="1"/>
                <w:numId w:val="11"/>
              </w:numPr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provides for more holistic o</w:t>
            </w:r>
            <w:r w:rsidR="00B36EF7" w:rsidRPr="00A24F2F">
              <w:rPr>
                <w:w w:val="100"/>
              </w:rPr>
              <w:t>versight of entity security</w:t>
            </w:r>
          </w:p>
          <w:p w:rsidR="0057720C" w:rsidRPr="00A24F2F" w:rsidRDefault="00BA27D1" w:rsidP="000E35B9">
            <w:pPr>
              <w:pStyle w:val="Tablebody"/>
              <w:numPr>
                <w:ilvl w:val="1"/>
                <w:numId w:val="11"/>
              </w:numPr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aligns with recommendations</w:t>
            </w:r>
            <w:r w:rsidR="0057720C" w:rsidRPr="00A24F2F">
              <w:rPr>
                <w:w w:val="100"/>
              </w:rPr>
              <w:t xml:space="preserve"> of the Smith review</w:t>
            </w:r>
          </w:p>
          <w:p w:rsidR="0057720C" w:rsidRPr="00A24F2F" w:rsidRDefault="0057720C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Provides greater flexibility in appointing security roles by rem</w:t>
            </w:r>
            <w:r w:rsidR="00B36EF7" w:rsidRPr="00A24F2F">
              <w:rPr>
                <w:w w:val="100"/>
              </w:rPr>
              <w:t>oving mandatory security titles</w:t>
            </w:r>
          </w:p>
          <w:p w:rsidR="0057720C" w:rsidRPr="00A24F2F" w:rsidRDefault="0057720C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Gives greater prominence to</w:t>
            </w:r>
            <w:r w:rsidR="00B36EF7" w:rsidRPr="00A24F2F">
              <w:rPr>
                <w:w w:val="100"/>
              </w:rPr>
              <w:t xml:space="preserve"> security culture</w:t>
            </w:r>
          </w:p>
        </w:tc>
      </w:tr>
      <w:tr w:rsidR="0057720C" w:rsidRPr="00A24F2F" w:rsidTr="009C3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</w:tcPr>
          <w:p w:rsidR="0057720C" w:rsidRPr="00A24F2F" w:rsidRDefault="0057720C" w:rsidP="00EB3C46">
            <w:pPr>
              <w:pStyle w:val="Tablebody"/>
              <w:rPr>
                <w:bCs/>
                <w:w w:val="100"/>
              </w:rPr>
            </w:pPr>
            <w:r w:rsidRPr="00A24F2F">
              <w:rPr>
                <w:w w:val="100"/>
              </w:rPr>
              <w:t>3. Security planning and risk management</w:t>
            </w:r>
          </w:p>
        </w:tc>
        <w:tc>
          <w:tcPr>
            <w:tcW w:w="3846" w:type="pct"/>
          </w:tcPr>
          <w:p w:rsidR="0057720C" w:rsidRPr="00A24F2F" w:rsidRDefault="00BA27D1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Enhances</w:t>
            </w:r>
            <w:r w:rsidR="0057720C" w:rsidRPr="00A24F2F">
              <w:rPr>
                <w:w w:val="100"/>
              </w:rPr>
              <w:t xml:space="preserve"> guidance on security risk management</w:t>
            </w:r>
          </w:p>
          <w:p w:rsidR="0057720C" w:rsidRPr="00A24F2F" w:rsidRDefault="00BA27D1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 xml:space="preserve">Embeds </w:t>
            </w:r>
            <w:r w:rsidR="0057720C" w:rsidRPr="00A24F2F">
              <w:rPr>
                <w:w w:val="100"/>
              </w:rPr>
              <w:t>a maturity focus throughout the planning,</w:t>
            </w:r>
            <w:r w:rsidR="00B36EF7" w:rsidRPr="00A24F2F">
              <w:rPr>
                <w:w w:val="100"/>
              </w:rPr>
              <w:t xml:space="preserve"> monitoring and reporting cycle</w:t>
            </w:r>
          </w:p>
        </w:tc>
      </w:tr>
      <w:tr w:rsidR="0057720C" w:rsidRPr="00A24F2F" w:rsidTr="009C3D76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</w:tcPr>
          <w:p w:rsidR="0057720C" w:rsidRPr="00A24F2F" w:rsidRDefault="0057720C" w:rsidP="00EB3C46">
            <w:pPr>
              <w:pStyle w:val="Tablebody"/>
              <w:rPr>
                <w:w w:val="100"/>
              </w:rPr>
            </w:pPr>
            <w:r w:rsidRPr="00A24F2F">
              <w:rPr>
                <w:w w:val="100"/>
              </w:rPr>
              <w:t>4. Security maturity monitoring</w:t>
            </w:r>
          </w:p>
        </w:tc>
        <w:tc>
          <w:tcPr>
            <w:tcW w:w="3846" w:type="pct"/>
          </w:tcPr>
          <w:p w:rsidR="00813764" w:rsidRPr="00A24F2F" w:rsidRDefault="00BA27D1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Introduces</w:t>
            </w:r>
            <w:r w:rsidR="0057720C" w:rsidRPr="00A24F2F">
              <w:rPr>
                <w:w w:val="100"/>
              </w:rPr>
              <w:t xml:space="preserve"> a </w:t>
            </w:r>
            <w:r w:rsidRPr="00A24F2F">
              <w:rPr>
                <w:w w:val="100"/>
              </w:rPr>
              <w:t xml:space="preserve">requirement for ongoing </w:t>
            </w:r>
            <w:r w:rsidR="003C7947" w:rsidRPr="00A24F2F">
              <w:rPr>
                <w:w w:val="100"/>
              </w:rPr>
              <w:t xml:space="preserve">consideration and </w:t>
            </w:r>
            <w:r w:rsidRPr="00A24F2F">
              <w:rPr>
                <w:w w:val="100"/>
              </w:rPr>
              <w:t>oversight of security; this supports the enhanced executive oversight in policies 1 and 2</w:t>
            </w:r>
          </w:p>
        </w:tc>
      </w:tr>
      <w:tr w:rsidR="0057720C" w:rsidRPr="00A24F2F" w:rsidTr="009C3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</w:tcPr>
          <w:p w:rsidR="0057720C" w:rsidRPr="00A24F2F" w:rsidRDefault="0057720C" w:rsidP="0057720C">
            <w:pPr>
              <w:pStyle w:val="Tablebody"/>
              <w:rPr>
                <w:rFonts w:asciiTheme="minorHAnsi" w:hAnsiTheme="minorHAnsi"/>
                <w:color w:val="000000"/>
                <w:w w:val="100"/>
                <w:szCs w:val="20"/>
              </w:rPr>
            </w:pPr>
            <w:r w:rsidRPr="00A24F2F">
              <w:rPr>
                <w:rFonts w:asciiTheme="minorHAnsi" w:hAnsiTheme="minorHAnsi"/>
                <w:bCs/>
                <w:color w:val="000000"/>
                <w:w w:val="100"/>
                <w:szCs w:val="20"/>
              </w:rPr>
              <w:lastRenderedPageBreak/>
              <w:t>5. Reporting on security</w:t>
            </w:r>
          </w:p>
        </w:tc>
        <w:tc>
          <w:tcPr>
            <w:tcW w:w="3846" w:type="pct"/>
          </w:tcPr>
          <w:p w:rsidR="0057720C" w:rsidRPr="00A24F2F" w:rsidRDefault="00BA27D1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 xml:space="preserve">Replaces </w:t>
            </w:r>
            <w:r w:rsidR="00A24F2F">
              <w:rPr>
                <w:w w:val="100"/>
              </w:rPr>
              <w:t>previous</w:t>
            </w:r>
            <w:r w:rsidRPr="00A24F2F">
              <w:rPr>
                <w:w w:val="100"/>
              </w:rPr>
              <w:t xml:space="preserve"> compliance</w:t>
            </w:r>
            <w:r w:rsidR="0057720C" w:rsidRPr="00A24F2F">
              <w:rPr>
                <w:w w:val="100"/>
              </w:rPr>
              <w:t xml:space="preserve"> reporting </w:t>
            </w:r>
            <w:r w:rsidRPr="00A24F2F">
              <w:rPr>
                <w:w w:val="100"/>
              </w:rPr>
              <w:t xml:space="preserve">with reporting </w:t>
            </w:r>
            <w:r w:rsidR="0057720C" w:rsidRPr="00A24F2F">
              <w:rPr>
                <w:w w:val="100"/>
              </w:rPr>
              <w:t>on security maturity</w:t>
            </w:r>
          </w:p>
          <w:p w:rsidR="00BA27D1" w:rsidRPr="00A24F2F" w:rsidRDefault="00BA27D1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Provides g</w:t>
            </w:r>
            <w:r w:rsidR="0057720C" w:rsidRPr="00A24F2F">
              <w:rPr>
                <w:w w:val="100"/>
              </w:rPr>
              <w:t>reater nuance of reporting levels (Ad Hoc, Developing, Managing, Embedded) vs compliant/noncompliant</w:t>
            </w:r>
            <w:r w:rsidRPr="00A24F2F">
              <w:rPr>
                <w:w w:val="100"/>
              </w:rPr>
              <w:t xml:space="preserve"> </w:t>
            </w:r>
          </w:p>
          <w:p w:rsidR="003C7947" w:rsidRPr="00A24F2F" w:rsidRDefault="003C7947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Allows entities to consider and report on what they are doing well and</w:t>
            </w:r>
            <w:r w:rsidR="00B36EF7" w:rsidRPr="00A24F2F">
              <w:rPr>
                <w:w w:val="100"/>
              </w:rPr>
              <w:t xml:space="preserve"> identify areas for improvement</w:t>
            </w:r>
          </w:p>
          <w:p w:rsidR="0057720C" w:rsidRPr="00A24F2F" w:rsidRDefault="003C7947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P</w:t>
            </w:r>
            <w:r w:rsidR="00BA27D1" w:rsidRPr="00A24F2F">
              <w:rPr>
                <w:w w:val="100"/>
              </w:rPr>
              <w:t>rovides</w:t>
            </w:r>
            <w:r w:rsidRPr="00A24F2F">
              <w:rPr>
                <w:w w:val="100"/>
              </w:rPr>
              <w:t xml:space="preserve"> government with a better </w:t>
            </w:r>
            <w:r w:rsidR="00BA27D1" w:rsidRPr="00A24F2F">
              <w:rPr>
                <w:w w:val="100"/>
              </w:rPr>
              <w:t>understanding of its whole</w:t>
            </w:r>
            <w:r w:rsidR="00BA27D1" w:rsidRPr="00A24F2F">
              <w:rPr>
                <w:w w:val="100"/>
              </w:rPr>
              <w:noBreakHyphen/>
              <w:t>of</w:t>
            </w:r>
            <w:r w:rsidR="00BA27D1" w:rsidRPr="00A24F2F">
              <w:rPr>
                <w:w w:val="100"/>
              </w:rPr>
              <w:noBreakHyphen/>
              <w:t>governm</w:t>
            </w:r>
            <w:r w:rsidR="00B36EF7" w:rsidRPr="00A24F2F">
              <w:rPr>
                <w:w w:val="100"/>
              </w:rPr>
              <w:t>ent protective security posture</w:t>
            </w:r>
          </w:p>
        </w:tc>
      </w:tr>
      <w:tr w:rsidR="0057720C" w:rsidRPr="00A24F2F" w:rsidTr="009C3D76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</w:tcPr>
          <w:p w:rsidR="0057720C" w:rsidRPr="00A24F2F" w:rsidRDefault="0057720C" w:rsidP="0057720C">
            <w:pPr>
              <w:pStyle w:val="Tablebody"/>
              <w:rPr>
                <w:bCs/>
                <w:w w:val="100"/>
              </w:rPr>
            </w:pPr>
            <w:r w:rsidRPr="00A24F2F">
              <w:rPr>
                <w:rFonts w:asciiTheme="minorHAnsi" w:hAnsiTheme="minorHAnsi"/>
                <w:bCs/>
                <w:color w:val="000000"/>
                <w:w w:val="100"/>
                <w:szCs w:val="20"/>
              </w:rPr>
              <w:t>6. Security governance for contracted goods and service providers</w:t>
            </w:r>
          </w:p>
        </w:tc>
        <w:tc>
          <w:tcPr>
            <w:tcW w:w="3846" w:type="pct"/>
          </w:tcPr>
          <w:p w:rsidR="0057720C" w:rsidRPr="00A24F2F" w:rsidRDefault="0057720C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No significant policy change</w:t>
            </w:r>
          </w:p>
          <w:p w:rsidR="00BA27D1" w:rsidRPr="00A24F2F" w:rsidRDefault="00BA27D1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Enhanced guidance to support implementation, noting this is an ongoing area of security concern across government</w:t>
            </w:r>
          </w:p>
        </w:tc>
      </w:tr>
      <w:tr w:rsidR="0057720C" w:rsidRPr="00A24F2F" w:rsidTr="009C3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</w:tcPr>
          <w:p w:rsidR="0057720C" w:rsidRPr="00A24F2F" w:rsidRDefault="0057720C" w:rsidP="00EB3C46">
            <w:pPr>
              <w:pStyle w:val="Tablebody"/>
              <w:rPr>
                <w:w w:val="100"/>
              </w:rPr>
            </w:pPr>
            <w:r w:rsidRPr="00A24F2F">
              <w:rPr>
                <w:rFonts w:asciiTheme="minorHAnsi" w:hAnsiTheme="minorHAnsi"/>
                <w:bCs/>
                <w:color w:val="000000"/>
                <w:w w:val="100"/>
                <w:szCs w:val="20"/>
              </w:rPr>
              <w:t>7. Security governance for international sharing</w:t>
            </w:r>
            <w:r w:rsidRPr="00A24F2F">
              <w:rPr>
                <w:rFonts w:asciiTheme="minorHAnsi" w:hAnsiTheme="minorHAnsi"/>
                <w:color w:val="000000"/>
                <w:w w:val="100"/>
                <w:szCs w:val="20"/>
              </w:rPr>
              <w:t xml:space="preserve"> </w:t>
            </w:r>
          </w:p>
        </w:tc>
        <w:tc>
          <w:tcPr>
            <w:tcW w:w="3846" w:type="pct"/>
          </w:tcPr>
          <w:p w:rsidR="0057720C" w:rsidRPr="00A24F2F" w:rsidRDefault="0057720C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No significant policy change</w:t>
            </w:r>
          </w:p>
          <w:p w:rsidR="00BA27D1" w:rsidRPr="00A24F2F" w:rsidRDefault="00BA27D1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 xml:space="preserve">More explicit guidance to support upcoming reforms to the Criminal Code related to espionage and international sharing of information </w:t>
            </w:r>
          </w:p>
        </w:tc>
      </w:tr>
      <w:tr w:rsidR="0057720C" w:rsidRPr="00A24F2F" w:rsidTr="009C3D76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</w:tcPr>
          <w:p w:rsidR="0057720C" w:rsidRPr="00A24F2F" w:rsidRDefault="0057720C" w:rsidP="004C2F45">
            <w:pPr>
              <w:pStyle w:val="Tablebody"/>
              <w:rPr>
                <w:bCs/>
                <w:w w:val="100"/>
              </w:rPr>
            </w:pPr>
            <w:r w:rsidRPr="00A24F2F">
              <w:rPr>
                <w:rFonts w:asciiTheme="minorHAnsi" w:hAnsiTheme="minorHAnsi"/>
                <w:bCs/>
                <w:color w:val="000000"/>
                <w:w w:val="100"/>
                <w:szCs w:val="20"/>
              </w:rPr>
              <w:t>8. Sensitive and classified information</w:t>
            </w:r>
          </w:p>
        </w:tc>
        <w:tc>
          <w:tcPr>
            <w:tcW w:w="3846" w:type="pct"/>
          </w:tcPr>
          <w:p w:rsidR="00BA27D1" w:rsidRPr="00A24F2F" w:rsidRDefault="00BA27D1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Simplifies the existing classification system with a focus on:</w:t>
            </w:r>
          </w:p>
          <w:p w:rsidR="00BA27D1" w:rsidRPr="00A24F2F" w:rsidRDefault="00BA27D1" w:rsidP="000E35B9">
            <w:pPr>
              <w:pStyle w:val="Tablebody"/>
              <w:numPr>
                <w:ilvl w:val="1"/>
                <w:numId w:val="11"/>
              </w:numPr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Reflecting the value of all government information in line with the Archives Act by r</w:t>
            </w:r>
            <w:r w:rsidR="0057720C" w:rsidRPr="00A24F2F">
              <w:rPr>
                <w:w w:val="100"/>
              </w:rPr>
              <w:t>eplac</w:t>
            </w:r>
            <w:r w:rsidRPr="00A24F2F">
              <w:rPr>
                <w:w w:val="100"/>
              </w:rPr>
              <w:t>ing</w:t>
            </w:r>
            <w:r w:rsidR="0057720C" w:rsidRPr="00A24F2F">
              <w:rPr>
                <w:w w:val="100"/>
              </w:rPr>
              <w:t xml:space="preserve"> the UNCLASSIFIED security classification with ‘OFFICIAL’</w:t>
            </w:r>
          </w:p>
          <w:p w:rsidR="0057720C" w:rsidRPr="00A24F2F" w:rsidRDefault="00BA27D1" w:rsidP="000E35B9">
            <w:pPr>
              <w:pStyle w:val="Tablebody"/>
              <w:numPr>
                <w:ilvl w:val="1"/>
                <w:numId w:val="11"/>
              </w:numPr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Simplifying the confusing suite of dissemination limiting markers by c</w:t>
            </w:r>
            <w:r w:rsidR="0057720C" w:rsidRPr="00A24F2F">
              <w:rPr>
                <w:w w:val="100"/>
              </w:rPr>
              <w:t>onsolidat</w:t>
            </w:r>
            <w:r w:rsidRPr="00A24F2F">
              <w:rPr>
                <w:w w:val="100"/>
              </w:rPr>
              <w:t xml:space="preserve">ing </w:t>
            </w:r>
            <w:r w:rsidR="00A24F2F">
              <w:rPr>
                <w:w w:val="100"/>
              </w:rPr>
              <w:t>previous</w:t>
            </w:r>
            <w:r w:rsidRPr="00A24F2F">
              <w:rPr>
                <w:w w:val="100"/>
              </w:rPr>
              <w:t xml:space="preserve"> markers (</w:t>
            </w:r>
            <w:r w:rsidR="0057720C" w:rsidRPr="00A24F2F">
              <w:rPr>
                <w:w w:val="100"/>
              </w:rPr>
              <w:t>For Official Use Only - FOUO, Sensitive, Sensitive: Legal, and Sensitive: Personal</w:t>
            </w:r>
            <w:r w:rsidRPr="00A24F2F">
              <w:rPr>
                <w:w w:val="100"/>
              </w:rPr>
              <w:t>)</w:t>
            </w:r>
            <w:r w:rsidR="0057720C" w:rsidRPr="00A24F2F">
              <w:rPr>
                <w:w w:val="100"/>
              </w:rPr>
              <w:t xml:space="preserve"> with a single marking of ‘OFFICIAL: Sensitive’</w:t>
            </w:r>
          </w:p>
          <w:p w:rsidR="0057720C" w:rsidRPr="00A24F2F" w:rsidRDefault="00032E8B" w:rsidP="000E35B9">
            <w:pPr>
              <w:pStyle w:val="Tablebody"/>
              <w:numPr>
                <w:ilvl w:val="1"/>
                <w:numId w:val="11"/>
              </w:numPr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 xml:space="preserve">Retaining the ability to </w:t>
            </w:r>
            <w:r w:rsidR="0057720C" w:rsidRPr="00A24F2F">
              <w:rPr>
                <w:w w:val="100"/>
              </w:rPr>
              <w:t>categorise certain types of information and describe a right to access</w:t>
            </w:r>
          </w:p>
          <w:p w:rsidR="0057720C" w:rsidRPr="00A24F2F" w:rsidRDefault="00032E8B" w:rsidP="000E35B9">
            <w:pPr>
              <w:pStyle w:val="Tablebody"/>
              <w:numPr>
                <w:ilvl w:val="1"/>
                <w:numId w:val="11"/>
              </w:numPr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Better reflecting the unique nature of cabinet material by e</w:t>
            </w:r>
            <w:r w:rsidR="0057720C" w:rsidRPr="00A24F2F">
              <w:rPr>
                <w:w w:val="100"/>
              </w:rPr>
              <w:t>stablish</w:t>
            </w:r>
            <w:r w:rsidRPr="00A24F2F">
              <w:rPr>
                <w:w w:val="100"/>
              </w:rPr>
              <w:t>ing a</w:t>
            </w:r>
            <w:r w:rsidR="0057720C" w:rsidRPr="00A24F2F">
              <w:rPr>
                <w:w w:val="100"/>
              </w:rPr>
              <w:t xml:space="preserve"> special handling Cabinet caveat to replace the </w:t>
            </w:r>
            <w:r w:rsidR="00A24F2F">
              <w:rPr>
                <w:w w:val="100"/>
              </w:rPr>
              <w:t>previous</w:t>
            </w:r>
            <w:r w:rsidR="0057720C" w:rsidRPr="00A24F2F">
              <w:rPr>
                <w:w w:val="100"/>
              </w:rPr>
              <w:t xml:space="preserve"> Sensitive: Cabinet DLM</w:t>
            </w:r>
          </w:p>
          <w:p w:rsidR="003C7947" w:rsidRPr="00A24F2F" w:rsidRDefault="000A0DC7" w:rsidP="000E35B9">
            <w:pPr>
              <w:pStyle w:val="Tablebody"/>
              <w:numPr>
                <w:ilvl w:val="1"/>
                <w:numId w:val="11"/>
              </w:numPr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D</w:t>
            </w:r>
            <w:r w:rsidR="0057720C" w:rsidRPr="00A24F2F">
              <w:rPr>
                <w:w w:val="100"/>
              </w:rPr>
              <w:t>iscontinu</w:t>
            </w:r>
            <w:r w:rsidR="00032E8B" w:rsidRPr="00A24F2F">
              <w:rPr>
                <w:w w:val="100"/>
              </w:rPr>
              <w:t>ing</w:t>
            </w:r>
            <w:r w:rsidR="0057720C" w:rsidRPr="00A24F2F">
              <w:rPr>
                <w:w w:val="100"/>
              </w:rPr>
              <w:t xml:space="preserve"> the CONFIDENTIAL classification</w:t>
            </w:r>
            <w:r w:rsidR="00032E8B" w:rsidRPr="00A24F2F">
              <w:rPr>
                <w:w w:val="100"/>
              </w:rPr>
              <w:t xml:space="preserve"> to align with international partners</w:t>
            </w:r>
            <w:r w:rsidR="003C7947" w:rsidRPr="00A24F2F">
              <w:rPr>
                <w:w w:val="100"/>
              </w:rPr>
              <w:t>. This reform recognises the</w:t>
            </w:r>
            <w:r w:rsidR="00032E8B" w:rsidRPr="00A24F2F">
              <w:rPr>
                <w:w w:val="100"/>
              </w:rPr>
              <w:t xml:space="preserve"> limited use </w:t>
            </w:r>
            <w:r w:rsidR="003C7947" w:rsidRPr="00A24F2F">
              <w:rPr>
                <w:w w:val="100"/>
              </w:rPr>
              <w:t xml:space="preserve">of the classification </w:t>
            </w:r>
            <w:r w:rsidR="00032E8B" w:rsidRPr="00A24F2F">
              <w:rPr>
                <w:w w:val="100"/>
              </w:rPr>
              <w:t>across government</w:t>
            </w:r>
          </w:p>
          <w:p w:rsidR="0057720C" w:rsidRPr="00A24F2F" w:rsidRDefault="00032E8B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 xml:space="preserve">Given the scale of these reforms, there is extended implementation to 2020 and </w:t>
            </w:r>
            <w:r w:rsidR="000A0DC7" w:rsidRPr="00A24F2F">
              <w:rPr>
                <w:w w:val="100"/>
              </w:rPr>
              <w:t>g</w:t>
            </w:r>
            <w:r w:rsidR="0057720C" w:rsidRPr="00A24F2F">
              <w:rPr>
                <w:w w:val="100"/>
              </w:rPr>
              <w:t xml:space="preserve">randfathering of </w:t>
            </w:r>
            <w:r w:rsidR="00A24F2F">
              <w:rPr>
                <w:w w:val="100"/>
              </w:rPr>
              <w:t xml:space="preserve">existing </w:t>
            </w:r>
            <w:r w:rsidR="0057720C" w:rsidRPr="00A24F2F">
              <w:rPr>
                <w:w w:val="100"/>
              </w:rPr>
              <w:t>holdings of classified and DLM material informatio</w:t>
            </w:r>
            <w:r w:rsidR="00B36EF7" w:rsidRPr="00A24F2F">
              <w:rPr>
                <w:w w:val="100"/>
              </w:rPr>
              <w:t>n to avoid having to reclassify</w:t>
            </w:r>
          </w:p>
        </w:tc>
      </w:tr>
      <w:tr w:rsidR="0057720C" w:rsidRPr="00A24F2F" w:rsidTr="009C3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</w:tcPr>
          <w:p w:rsidR="0057720C" w:rsidRPr="00A24F2F" w:rsidRDefault="0057720C" w:rsidP="00EB3C46">
            <w:pPr>
              <w:pStyle w:val="Tablebody"/>
              <w:rPr>
                <w:w w:val="100"/>
              </w:rPr>
            </w:pPr>
            <w:r w:rsidRPr="00A24F2F">
              <w:rPr>
                <w:rFonts w:asciiTheme="minorHAnsi" w:hAnsiTheme="minorHAnsi"/>
                <w:bCs/>
                <w:color w:val="000000"/>
                <w:w w:val="100"/>
                <w:szCs w:val="20"/>
              </w:rPr>
              <w:t>9. Access to information</w:t>
            </w:r>
          </w:p>
        </w:tc>
        <w:tc>
          <w:tcPr>
            <w:tcW w:w="3846" w:type="pct"/>
          </w:tcPr>
          <w:p w:rsidR="0057720C" w:rsidRPr="00A24F2F" w:rsidRDefault="0057720C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No significant policy change</w:t>
            </w:r>
          </w:p>
          <w:p w:rsidR="00032E8B" w:rsidRPr="00A24F2F" w:rsidRDefault="00032E8B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The policy more clearly articulates the link between personnel and information security</w:t>
            </w:r>
          </w:p>
        </w:tc>
      </w:tr>
      <w:tr w:rsidR="0057720C" w:rsidRPr="00A24F2F" w:rsidTr="009C3D76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</w:tcPr>
          <w:p w:rsidR="0057720C" w:rsidRPr="00A24F2F" w:rsidRDefault="0057720C" w:rsidP="00EB3C46">
            <w:pPr>
              <w:pStyle w:val="Tablebody"/>
              <w:rPr>
                <w:w w:val="100"/>
              </w:rPr>
            </w:pPr>
            <w:r w:rsidRPr="00A24F2F">
              <w:rPr>
                <w:rFonts w:asciiTheme="minorHAnsi" w:hAnsiTheme="minorHAnsi"/>
                <w:bCs/>
                <w:color w:val="000000"/>
                <w:w w:val="100"/>
                <w:szCs w:val="20"/>
              </w:rPr>
              <w:t>10. Safeguarding information from cyber threats</w:t>
            </w:r>
          </w:p>
        </w:tc>
        <w:tc>
          <w:tcPr>
            <w:tcW w:w="3846" w:type="pct"/>
          </w:tcPr>
          <w:p w:rsidR="009E525A" w:rsidRPr="00A24F2F" w:rsidRDefault="000A0DC7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w w:val="100"/>
              </w:rPr>
            </w:pPr>
            <w:r w:rsidRPr="00A24F2F">
              <w:rPr>
                <w:w w:val="100"/>
              </w:rPr>
              <w:t>I</w:t>
            </w:r>
            <w:r w:rsidR="009E525A" w:rsidRPr="00A24F2F">
              <w:rPr>
                <w:w w:val="100"/>
              </w:rPr>
              <w:t>ncreases the promi</w:t>
            </w:r>
            <w:r w:rsidR="00032E8B" w:rsidRPr="00A24F2F">
              <w:rPr>
                <w:w w:val="100"/>
              </w:rPr>
              <w:t>nence of cyber security matters in the PSPF.</w:t>
            </w:r>
          </w:p>
          <w:p w:rsidR="009E525A" w:rsidRPr="00A24F2F" w:rsidRDefault="00032E8B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w w:val="100"/>
              </w:rPr>
            </w:pPr>
            <w:r w:rsidRPr="00A24F2F">
              <w:rPr>
                <w:w w:val="100"/>
              </w:rPr>
              <w:t>Provides authority for</w:t>
            </w:r>
            <w:r w:rsidR="009E525A" w:rsidRPr="00A24F2F">
              <w:rPr>
                <w:w w:val="100"/>
              </w:rPr>
              <w:t xml:space="preserve"> ASD’s Strategies to mitigate cyber security incidents by explicitly requiring entities to implement four of ASD’s ‘Essential eight’ strategies:</w:t>
            </w:r>
          </w:p>
          <w:p w:rsidR="009E525A" w:rsidRPr="00A24F2F" w:rsidRDefault="009E525A" w:rsidP="000E35B9">
            <w:pPr>
              <w:pStyle w:val="ListParagraph"/>
              <w:numPr>
                <w:ilvl w:val="1"/>
                <w:numId w:val="11"/>
              </w:numPr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/>
                <w:bCs/>
                <w:color w:val="000000" w:themeColor="text1"/>
                <w:kern w:val="40"/>
                <w:sz w:val="20"/>
              </w:rPr>
            </w:pPr>
            <w:r w:rsidRPr="00A24F2F">
              <w:rPr>
                <w:rFonts w:eastAsia="Calibri" w:cs="Calibri"/>
                <w:bCs/>
                <w:color w:val="000000" w:themeColor="text1"/>
                <w:kern w:val="40"/>
                <w:sz w:val="20"/>
              </w:rPr>
              <w:t>application whitelisting</w:t>
            </w:r>
          </w:p>
          <w:p w:rsidR="009E525A" w:rsidRPr="00A24F2F" w:rsidRDefault="009E525A" w:rsidP="000E35B9">
            <w:pPr>
              <w:pStyle w:val="ListParagraph"/>
              <w:numPr>
                <w:ilvl w:val="1"/>
                <w:numId w:val="11"/>
              </w:numPr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/>
                <w:bCs/>
                <w:color w:val="000000" w:themeColor="text1"/>
                <w:kern w:val="40"/>
                <w:sz w:val="20"/>
              </w:rPr>
            </w:pPr>
            <w:r w:rsidRPr="00A24F2F">
              <w:rPr>
                <w:rFonts w:eastAsia="Calibri" w:cs="Calibri"/>
                <w:bCs/>
                <w:color w:val="000000" w:themeColor="text1"/>
                <w:kern w:val="40"/>
                <w:sz w:val="20"/>
              </w:rPr>
              <w:t>application patching</w:t>
            </w:r>
          </w:p>
          <w:p w:rsidR="009E525A" w:rsidRPr="00A24F2F" w:rsidRDefault="00B36EF7" w:rsidP="000E35B9">
            <w:pPr>
              <w:pStyle w:val="ListParagraph"/>
              <w:numPr>
                <w:ilvl w:val="1"/>
                <w:numId w:val="11"/>
              </w:numPr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/>
                <w:bCs/>
                <w:color w:val="000000" w:themeColor="text1"/>
                <w:kern w:val="40"/>
                <w:sz w:val="20"/>
              </w:rPr>
            </w:pPr>
            <w:r w:rsidRPr="00A24F2F">
              <w:rPr>
                <w:rFonts w:eastAsia="Calibri" w:cs="Calibri"/>
                <w:bCs/>
                <w:color w:val="000000" w:themeColor="text1"/>
                <w:kern w:val="40"/>
                <w:sz w:val="20"/>
              </w:rPr>
              <w:t>operating system patching</w:t>
            </w:r>
          </w:p>
          <w:p w:rsidR="0057720C" w:rsidRPr="00A24F2F" w:rsidRDefault="009E525A" w:rsidP="000E35B9">
            <w:pPr>
              <w:pStyle w:val="ListParagraph"/>
              <w:numPr>
                <w:ilvl w:val="1"/>
                <w:numId w:val="11"/>
              </w:numPr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/>
                <w:bCs/>
                <w:color w:val="000000" w:themeColor="text1"/>
                <w:kern w:val="40"/>
                <w:sz w:val="20"/>
              </w:rPr>
            </w:pPr>
            <w:r w:rsidRPr="00A24F2F">
              <w:rPr>
                <w:rFonts w:eastAsia="Calibri" w:cs="Calibri"/>
                <w:bCs/>
                <w:color w:val="000000" w:themeColor="text1"/>
                <w:kern w:val="40"/>
                <w:sz w:val="20"/>
              </w:rPr>
              <w:t>restricting administrative privileges</w:t>
            </w:r>
          </w:p>
        </w:tc>
      </w:tr>
      <w:tr w:rsidR="0057720C" w:rsidRPr="00A24F2F" w:rsidTr="009C3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</w:tcPr>
          <w:p w:rsidR="0057720C" w:rsidRPr="00A24F2F" w:rsidRDefault="0057720C" w:rsidP="00EB3C46">
            <w:pPr>
              <w:pStyle w:val="Tablebody"/>
              <w:rPr>
                <w:w w:val="100"/>
              </w:rPr>
            </w:pPr>
            <w:r w:rsidRPr="00A24F2F">
              <w:rPr>
                <w:rFonts w:asciiTheme="minorHAnsi" w:hAnsiTheme="minorHAnsi"/>
                <w:bCs/>
                <w:color w:val="000000"/>
                <w:w w:val="100"/>
                <w:szCs w:val="20"/>
              </w:rPr>
              <w:t>11. Robust ICT systems</w:t>
            </w:r>
          </w:p>
        </w:tc>
        <w:tc>
          <w:tcPr>
            <w:tcW w:w="3846" w:type="pct"/>
          </w:tcPr>
          <w:p w:rsidR="0057720C" w:rsidRPr="00A24F2F" w:rsidRDefault="000A0DC7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P</w:t>
            </w:r>
            <w:r w:rsidR="0057720C" w:rsidRPr="00A24F2F">
              <w:rPr>
                <w:w w:val="100"/>
              </w:rPr>
              <w:t>rovides policy authority for the ICT system accreditat</w:t>
            </w:r>
            <w:r w:rsidR="00032E8B" w:rsidRPr="00A24F2F">
              <w:rPr>
                <w:w w:val="100"/>
              </w:rPr>
              <w:t xml:space="preserve">ion process detailed in the ISM; this aligns with </w:t>
            </w:r>
            <w:r w:rsidR="00A24F2F">
              <w:rPr>
                <w:w w:val="100"/>
              </w:rPr>
              <w:t>previous</w:t>
            </w:r>
            <w:r w:rsidR="00032E8B" w:rsidRPr="00A24F2F">
              <w:rPr>
                <w:w w:val="100"/>
              </w:rPr>
              <w:t xml:space="preserve"> PSPF practice for accreditation of physical spaces and reflects the increased prominence of cyb</w:t>
            </w:r>
            <w:r w:rsidR="00B36EF7" w:rsidRPr="00A24F2F">
              <w:rPr>
                <w:w w:val="100"/>
              </w:rPr>
              <w:t>er security matters in the PSPF</w:t>
            </w:r>
          </w:p>
        </w:tc>
      </w:tr>
      <w:tr w:rsidR="0057720C" w:rsidRPr="00A24F2F" w:rsidTr="009C3D76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</w:tcPr>
          <w:p w:rsidR="0057720C" w:rsidRPr="00A24F2F" w:rsidRDefault="0057720C" w:rsidP="00EB3C46">
            <w:pPr>
              <w:pStyle w:val="Tablebody"/>
              <w:rPr>
                <w:w w:val="100"/>
              </w:rPr>
            </w:pPr>
            <w:r w:rsidRPr="00A24F2F">
              <w:rPr>
                <w:rFonts w:asciiTheme="minorHAnsi" w:hAnsiTheme="minorHAnsi"/>
                <w:bCs/>
                <w:color w:val="000000"/>
                <w:w w:val="100"/>
                <w:szCs w:val="20"/>
              </w:rPr>
              <w:t>12. Eligibility and suitability of personnel</w:t>
            </w:r>
          </w:p>
        </w:tc>
        <w:tc>
          <w:tcPr>
            <w:tcW w:w="3846" w:type="pct"/>
          </w:tcPr>
          <w:p w:rsidR="00E2001C" w:rsidRPr="00A24F2F" w:rsidRDefault="000A0DC7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C</w:t>
            </w:r>
            <w:r w:rsidR="00E2001C" w:rsidRPr="00A24F2F">
              <w:rPr>
                <w:w w:val="100"/>
              </w:rPr>
              <w:t>onsolidates previous employment screening and security clearance-related requirements, and policy guidance from various so</w:t>
            </w:r>
            <w:r w:rsidR="00B36EF7" w:rsidRPr="00A24F2F">
              <w:rPr>
                <w:w w:val="100"/>
              </w:rPr>
              <w:t>urces and streamlines guidance</w:t>
            </w:r>
          </w:p>
          <w:p w:rsidR="00E2001C" w:rsidRPr="00A24F2F" w:rsidRDefault="000A0DC7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I</w:t>
            </w:r>
            <w:r w:rsidR="00E2001C" w:rsidRPr="00A24F2F">
              <w:rPr>
                <w:w w:val="100"/>
              </w:rPr>
              <w:t>ntroduces a requirement for entities to verify a person’s identification documents with the issuing authority by using th</w:t>
            </w:r>
            <w:r w:rsidR="00B36EF7" w:rsidRPr="00A24F2F">
              <w:rPr>
                <w:w w:val="100"/>
              </w:rPr>
              <w:t>e Document Verification Service</w:t>
            </w:r>
          </w:p>
          <w:p w:rsidR="00E2001C" w:rsidRPr="00A24F2F" w:rsidRDefault="000A0DC7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C</w:t>
            </w:r>
            <w:r w:rsidR="00E2001C" w:rsidRPr="00A24F2F">
              <w:rPr>
                <w:w w:val="100"/>
              </w:rPr>
              <w:t>larifies roles and responsibilities in the supporting requirement</w:t>
            </w:r>
            <w:r w:rsidR="00B36EF7" w:rsidRPr="00A24F2F">
              <w:rPr>
                <w:w w:val="100"/>
              </w:rPr>
              <w:t>s</w:t>
            </w:r>
          </w:p>
          <w:p w:rsidR="00E2001C" w:rsidRPr="00A24F2F" w:rsidRDefault="000A0DC7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I</w:t>
            </w:r>
            <w:r w:rsidR="00E2001C" w:rsidRPr="00A24F2F">
              <w:rPr>
                <w:w w:val="100"/>
              </w:rPr>
              <w:t>mproves guidance on informed consent</w:t>
            </w:r>
          </w:p>
          <w:p w:rsidR="0057720C" w:rsidRPr="00A24F2F" w:rsidRDefault="000A0DC7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P</w:t>
            </w:r>
            <w:r w:rsidR="00E2001C" w:rsidRPr="00A24F2F">
              <w:rPr>
                <w:w w:val="100"/>
              </w:rPr>
              <w:t xml:space="preserve">rovides </w:t>
            </w:r>
            <w:r w:rsidR="00B36EF7" w:rsidRPr="00A24F2F">
              <w:rPr>
                <w:w w:val="100"/>
              </w:rPr>
              <w:t>definitions of key terms</w:t>
            </w:r>
          </w:p>
        </w:tc>
      </w:tr>
      <w:tr w:rsidR="0057720C" w:rsidRPr="00A24F2F" w:rsidTr="009C3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</w:tcPr>
          <w:p w:rsidR="0057720C" w:rsidRPr="00A24F2F" w:rsidRDefault="0057720C" w:rsidP="00EB3C46">
            <w:pPr>
              <w:pStyle w:val="Tablebody"/>
              <w:rPr>
                <w:w w:val="100"/>
              </w:rPr>
            </w:pPr>
            <w:r w:rsidRPr="00A24F2F">
              <w:rPr>
                <w:rFonts w:asciiTheme="minorHAnsi" w:hAnsiTheme="minorHAnsi"/>
                <w:bCs/>
                <w:color w:val="000000"/>
                <w:w w:val="100"/>
                <w:szCs w:val="20"/>
              </w:rPr>
              <w:t>13. Ongoing assessment of personnel</w:t>
            </w:r>
          </w:p>
        </w:tc>
        <w:tc>
          <w:tcPr>
            <w:tcW w:w="3846" w:type="pct"/>
          </w:tcPr>
          <w:p w:rsidR="0057720C" w:rsidRPr="00A24F2F" w:rsidRDefault="000A0DC7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R</w:t>
            </w:r>
            <w:r w:rsidR="0057720C" w:rsidRPr="00A24F2F">
              <w:rPr>
                <w:w w:val="100"/>
              </w:rPr>
              <w:t>aises the importance of c</w:t>
            </w:r>
            <w:r w:rsidR="00B36EF7" w:rsidRPr="00A24F2F">
              <w:rPr>
                <w:w w:val="100"/>
              </w:rPr>
              <w:t>onducting annual security check</w:t>
            </w:r>
          </w:p>
          <w:p w:rsidR="0057720C" w:rsidRPr="00A24F2F" w:rsidRDefault="000A0DC7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S</w:t>
            </w:r>
            <w:r w:rsidR="0057720C" w:rsidRPr="00A24F2F">
              <w:rPr>
                <w:w w:val="100"/>
              </w:rPr>
              <w:t>trengthens provisions for assessing the ongoing suitability of security-cleared personnel</w:t>
            </w:r>
          </w:p>
        </w:tc>
      </w:tr>
      <w:tr w:rsidR="0057720C" w:rsidRPr="00A24F2F" w:rsidTr="009C3D76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</w:tcPr>
          <w:p w:rsidR="0057720C" w:rsidRPr="00A24F2F" w:rsidRDefault="0057720C" w:rsidP="00EB3C46">
            <w:pPr>
              <w:pStyle w:val="Tablebody"/>
              <w:rPr>
                <w:w w:val="100"/>
              </w:rPr>
            </w:pPr>
            <w:r w:rsidRPr="00A24F2F">
              <w:rPr>
                <w:rFonts w:asciiTheme="minorHAnsi" w:hAnsiTheme="minorHAnsi"/>
                <w:bCs/>
                <w:color w:val="000000"/>
                <w:w w:val="100"/>
                <w:szCs w:val="20"/>
              </w:rPr>
              <w:t>14. Separating personnel</w:t>
            </w:r>
          </w:p>
        </w:tc>
        <w:tc>
          <w:tcPr>
            <w:tcW w:w="3846" w:type="pct"/>
          </w:tcPr>
          <w:p w:rsidR="0057720C" w:rsidRPr="00A24F2F" w:rsidRDefault="0057720C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No significant policy change</w:t>
            </w:r>
          </w:p>
        </w:tc>
      </w:tr>
      <w:tr w:rsidR="0057720C" w:rsidRPr="00A24F2F" w:rsidTr="009C3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</w:tcPr>
          <w:p w:rsidR="0057720C" w:rsidRPr="00A24F2F" w:rsidRDefault="0057720C" w:rsidP="00032E8B">
            <w:pPr>
              <w:pStyle w:val="Tablebody"/>
              <w:rPr>
                <w:w w:val="100"/>
              </w:rPr>
            </w:pPr>
            <w:r w:rsidRPr="00A24F2F">
              <w:rPr>
                <w:rFonts w:asciiTheme="minorHAnsi" w:hAnsiTheme="minorHAnsi"/>
                <w:bCs/>
                <w:color w:val="000000"/>
                <w:w w:val="100"/>
                <w:szCs w:val="20"/>
              </w:rPr>
              <w:t xml:space="preserve">15. </w:t>
            </w:r>
            <w:r w:rsidR="00032E8B" w:rsidRPr="00A24F2F">
              <w:rPr>
                <w:rFonts w:asciiTheme="minorHAnsi" w:hAnsiTheme="minorHAnsi"/>
                <w:bCs/>
                <w:color w:val="000000"/>
                <w:w w:val="100"/>
                <w:szCs w:val="20"/>
              </w:rPr>
              <w:t>Physical security for entity resources</w:t>
            </w:r>
          </w:p>
        </w:tc>
        <w:tc>
          <w:tcPr>
            <w:tcW w:w="3846" w:type="pct"/>
          </w:tcPr>
          <w:p w:rsidR="0057720C" w:rsidRPr="00A24F2F" w:rsidRDefault="0057720C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No significant policy change</w:t>
            </w:r>
          </w:p>
          <w:p w:rsidR="00032E8B" w:rsidRPr="00A24F2F" w:rsidRDefault="00032E8B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Better integration between PSPF and ASIO technical notes</w:t>
            </w:r>
          </w:p>
        </w:tc>
      </w:tr>
      <w:tr w:rsidR="0057720C" w:rsidRPr="00A24F2F" w:rsidTr="009C3D76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</w:tcPr>
          <w:p w:rsidR="0057720C" w:rsidRPr="00A24F2F" w:rsidRDefault="0057720C" w:rsidP="00EB3C46">
            <w:pPr>
              <w:pStyle w:val="Tablebody"/>
              <w:rPr>
                <w:w w:val="100"/>
              </w:rPr>
            </w:pPr>
            <w:r w:rsidRPr="00A24F2F">
              <w:rPr>
                <w:rFonts w:asciiTheme="minorHAnsi" w:hAnsiTheme="minorHAnsi"/>
                <w:bCs/>
                <w:color w:val="000000"/>
                <w:w w:val="100"/>
                <w:szCs w:val="20"/>
              </w:rPr>
              <w:t>16. Entity facilities</w:t>
            </w:r>
          </w:p>
        </w:tc>
        <w:tc>
          <w:tcPr>
            <w:tcW w:w="3846" w:type="pct"/>
          </w:tcPr>
          <w:p w:rsidR="0057720C" w:rsidRPr="00A24F2F" w:rsidRDefault="0057720C" w:rsidP="000E35B9">
            <w:pPr>
              <w:pStyle w:val="Tablebody"/>
              <w:numPr>
                <w:ilvl w:val="0"/>
                <w:numId w:val="11"/>
              </w:numPr>
              <w:spacing w:after="40"/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 xml:space="preserve">Retains </w:t>
            </w:r>
            <w:r w:rsidR="00A24F2F">
              <w:rPr>
                <w:w w:val="100"/>
              </w:rPr>
              <w:t>existing</w:t>
            </w:r>
            <w:r w:rsidRPr="00A24F2F">
              <w:rPr>
                <w:w w:val="100"/>
              </w:rPr>
              <w:t xml:space="preserve"> ‘zones’ approach to physical </w:t>
            </w:r>
            <w:r w:rsidR="00B36EF7" w:rsidRPr="00A24F2F">
              <w:rPr>
                <w:w w:val="100"/>
              </w:rPr>
              <w:t>security for entity facilities</w:t>
            </w:r>
          </w:p>
          <w:p w:rsidR="00032E8B" w:rsidRPr="00A24F2F" w:rsidRDefault="00032E8B" w:rsidP="000E35B9">
            <w:pPr>
              <w:pStyle w:val="Tablebody"/>
              <w:numPr>
                <w:ilvl w:val="0"/>
                <w:numId w:val="11"/>
              </w:numPr>
              <w:spacing w:after="40" w:line="216" w:lineRule="auto"/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0"/>
              </w:rPr>
            </w:pPr>
            <w:r w:rsidRPr="00A24F2F">
              <w:rPr>
                <w:w w:val="100"/>
              </w:rPr>
              <w:t>Better integration between PSPF and ASIO technical notes</w:t>
            </w:r>
          </w:p>
        </w:tc>
      </w:tr>
    </w:tbl>
    <w:p w:rsidR="00693A88" w:rsidRPr="00A24F2F" w:rsidRDefault="00693A88" w:rsidP="00777128">
      <w:pPr>
        <w:pStyle w:val="Annextext"/>
        <w:spacing w:after="0"/>
        <w:rPr>
          <w:w w:val="100"/>
          <w:sz w:val="2"/>
        </w:rPr>
      </w:pPr>
    </w:p>
    <w:sectPr w:rsidR="00693A88" w:rsidRPr="00A24F2F" w:rsidSect="006B1B9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66" w:right="720" w:bottom="720" w:left="720" w:header="0" w:footer="28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672" w:rsidRDefault="00EA7672" w:rsidP="007D070A">
      <w:pPr>
        <w:spacing w:after="0"/>
      </w:pPr>
      <w:r>
        <w:separator/>
      </w:r>
    </w:p>
  </w:endnote>
  <w:endnote w:type="continuationSeparator" w:id="0">
    <w:p w:rsidR="00EA7672" w:rsidRDefault="00EA7672" w:rsidP="007D07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w w:val="100"/>
        <w:sz w:val="20"/>
        <w:szCs w:val="20"/>
      </w:rPr>
      <w:id w:val="-17427829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27AD" w:rsidRPr="000E35B9" w:rsidRDefault="006F61B7" w:rsidP="009C3D76">
        <w:pPr>
          <w:pStyle w:val="Footer"/>
          <w:tabs>
            <w:tab w:val="clear" w:pos="4513"/>
            <w:tab w:val="clear" w:pos="9026"/>
            <w:tab w:val="center" w:pos="5529"/>
            <w:tab w:val="right" w:pos="10490"/>
          </w:tabs>
          <w:ind w:right="-23"/>
          <w:jc w:val="both"/>
          <w:rPr>
            <w:w w:val="100"/>
            <w:sz w:val="20"/>
            <w:szCs w:val="20"/>
          </w:rPr>
        </w:pPr>
        <w:r w:rsidRPr="000E35B9">
          <w:rPr>
            <w:noProof/>
            <w:w w:val="100"/>
            <w:sz w:val="20"/>
            <w:szCs w:val="20"/>
            <w:lang w:eastAsia="en-AU"/>
          </w:rPr>
          <mc:AlternateContent>
            <mc:Choice Requires="wps">
              <w:drawing>
                <wp:anchor distT="0" distB="0" distL="114300" distR="114300" simplePos="0" relativeHeight="251698176" behindDoc="0" locked="0" layoutInCell="1" allowOverlap="1" wp14:anchorId="49076E15" wp14:editId="3D16FE2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-73660</wp:posOffset>
                  </wp:positionV>
                  <wp:extent cx="6648450" cy="47625"/>
                  <wp:effectExtent l="0" t="0" r="0" b="9525"/>
                  <wp:wrapNone/>
                  <wp:docPr id="32" name="Rectangle 3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648450" cy="47625"/>
                          </a:xfrm>
                          <a:prstGeom prst="rect">
                            <a:avLst/>
                          </a:prstGeom>
                          <a:solidFill>
                            <a:srgbClr val="483A7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ect w14:anchorId="6B75B7A0" id="Rectangle 32" o:spid="_x0000_s1026" style="position:absolute;margin-left:0;margin-top:-5.8pt;width:523.5pt;height:3.7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" fillcolor="#483a70" stroked="f" strokeweight="2pt"/>
              </w:pict>
            </mc:Fallback>
          </mc:AlternateContent>
        </w:r>
        <w:r w:rsidRPr="000E35B9">
          <w:rPr>
            <w:noProof/>
            <w:w w:val="100"/>
            <w:sz w:val="20"/>
            <w:szCs w:val="20"/>
            <w:lang w:eastAsia="en-AU"/>
          </w:rPr>
          <mc:AlternateContent>
            <mc:Choice Requires="wps">
              <w:drawing>
                <wp:anchor distT="0" distB="0" distL="114300" distR="114300" simplePos="0" relativeHeight="251699200" behindDoc="0" locked="0" layoutInCell="1" allowOverlap="1" wp14:anchorId="36213F44" wp14:editId="3484DB6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-73660</wp:posOffset>
                  </wp:positionV>
                  <wp:extent cx="6648450" cy="47625"/>
                  <wp:effectExtent l="0" t="0" r="0" b="9525"/>
                  <wp:wrapNone/>
                  <wp:docPr id="33" name="Rectangle 3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648450" cy="47625"/>
                          </a:xfrm>
                          <a:prstGeom prst="rect">
                            <a:avLst/>
                          </a:prstGeom>
                          <a:solidFill>
                            <a:srgbClr val="483A7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ect w14:anchorId="5DE90B2C" id="Rectangle 33" o:spid="_x0000_s1026" style="position:absolute;margin-left:0;margin-top:-5.8pt;width:523.5pt;height:3.7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" fillcolor="#483a70" stroked="f" strokeweight="2pt"/>
              </w:pict>
            </mc:Fallback>
          </mc:AlternateContent>
        </w:r>
        <w:r w:rsidR="00E127AD" w:rsidRPr="000E35B9">
          <w:rPr>
            <w:noProof/>
            <w:w w:val="100"/>
            <w:sz w:val="20"/>
            <w:szCs w:val="20"/>
            <w:lang w:eastAsia="en-AU"/>
          </w:rPr>
          <mc:AlternateContent>
            <mc:Choice Requires="wps">
              <w:drawing>
                <wp:anchor distT="0" distB="0" distL="114300" distR="114300" simplePos="0" relativeHeight="251685888" behindDoc="0" locked="0" layoutInCell="1" allowOverlap="1" wp14:anchorId="67E21E76" wp14:editId="68B7947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-73660</wp:posOffset>
                  </wp:positionV>
                  <wp:extent cx="6648450" cy="47625"/>
                  <wp:effectExtent l="0" t="0" r="0" b="9525"/>
                  <wp:wrapNone/>
                  <wp:docPr id="24" name="Rectangle 2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648450" cy="47625"/>
                          </a:xfrm>
                          <a:prstGeom prst="rect">
                            <a:avLst/>
                          </a:prstGeom>
                          <a:solidFill>
                            <a:srgbClr val="483A7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ect w14:anchorId="0277EB3D" id="Rectangle 24" o:spid="_x0000_s1026" style="position:absolute;margin-left:0;margin-top:-5.8pt;width:523.5pt;height:3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" fillcolor="#483a70" stroked="f" strokeweight="2pt"/>
              </w:pict>
            </mc:Fallback>
          </mc:AlternateContent>
        </w:r>
        <w:r w:rsidR="00E127AD" w:rsidRPr="000E35B9">
          <w:rPr>
            <w:noProof/>
            <w:w w:val="100"/>
            <w:sz w:val="20"/>
            <w:szCs w:val="20"/>
            <w:lang w:eastAsia="en-AU"/>
          </w:rPr>
          <mc:AlternateContent>
            <mc:Choice Requires="wps">
              <w:drawing>
                <wp:anchor distT="0" distB="0" distL="114300" distR="114300" simplePos="0" relativeHeight="251686912" behindDoc="0" locked="0" layoutInCell="1" allowOverlap="1" wp14:anchorId="65C7A63E" wp14:editId="374192E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-73660</wp:posOffset>
                  </wp:positionV>
                  <wp:extent cx="6648450" cy="47625"/>
                  <wp:effectExtent l="0" t="0" r="0" b="9525"/>
                  <wp:wrapNone/>
                  <wp:docPr id="25" name="Rectangle 2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648450" cy="47625"/>
                          </a:xfrm>
                          <a:prstGeom prst="rect">
                            <a:avLst/>
                          </a:prstGeom>
                          <a:solidFill>
                            <a:srgbClr val="483A7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ect w14:anchorId="0A3DA374" id="Rectangle 25" o:spid="_x0000_s1026" style="position:absolute;margin-left:0;margin-top:-5.8pt;width:523.5pt;height:3.7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" fillcolor="#483a70" stroked="f" strokeweight="2pt"/>
              </w:pict>
            </mc:Fallback>
          </mc:AlternateContent>
        </w:r>
        <w:r w:rsidR="008F616C">
          <w:rPr>
            <w:w w:val="100"/>
            <w:sz w:val="20"/>
            <w:szCs w:val="20"/>
          </w:rPr>
          <w:t>V2018.1</w:t>
        </w:r>
        <w:sdt>
          <w:sdtPr>
            <w:rPr>
              <w:w w:val="100"/>
              <w:sz w:val="20"/>
              <w:szCs w:val="20"/>
            </w:rPr>
            <w:id w:val="483133675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AF4F26" w:rsidRPr="000E35B9">
              <w:rPr>
                <w:w w:val="100"/>
                <w:sz w:val="20"/>
                <w:szCs w:val="20"/>
              </w:rPr>
              <w:tab/>
            </w:r>
            <w:r w:rsidR="00AF4F26" w:rsidRPr="000E35B9">
              <w:rPr>
                <w:noProof/>
                <w:w w:val="100"/>
                <w:sz w:val="20"/>
                <w:szCs w:val="2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9ACB354" wp14:editId="2168857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621705F" id="Rectangle 1" o:spid="_x0000_s1026" style="position:absolute;margin-left:0;margin-top:-5.8pt;width:523.5pt;height:3.7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" fillcolor="#483a70" stroked="f" strokeweight="2pt"/>
                  </w:pict>
                </mc:Fallback>
              </mc:AlternateContent>
            </w:r>
            <w:r w:rsidR="00AF4F26" w:rsidRPr="000E35B9">
              <w:rPr>
                <w:noProof/>
                <w:w w:val="100"/>
                <w:sz w:val="20"/>
                <w:szCs w:val="2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1D4176B" wp14:editId="009335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9CE4002" id="Rectangle 4" o:spid="_x0000_s1026" style="position:absolute;margin-left:0;margin-top:-5.8pt;width:523.5pt;height:3.7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" fillcolor="#483a70" stroked="f" strokeweight="2pt"/>
                  </w:pict>
                </mc:Fallback>
              </mc:AlternateContent>
            </w:r>
            <w:r w:rsidR="00AF4F26" w:rsidRPr="000E35B9">
              <w:rPr>
                <w:noProof/>
                <w:w w:val="100"/>
                <w:sz w:val="20"/>
                <w:szCs w:val="2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A828E80" wp14:editId="6DA1865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DC1C695" id="Rectangle 5" o:spid="_x0000_s1026" style="position:absolute;margin-left:0;margin-top:-5.8pt;width:523.5pt;height:3.7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" fillcolor="#483a70" stroked="f" strokeweight="2pt"/>
                  </w:pict>
                </mc:Fallback>
              </mc:AlternateContent>
            </w:r>
            <w:r w:rsidR="00AF4F26" w:rsidRPr="000E35B9">
              <w:rPr>
                <w:noProof/>
                <w:w w:val="100"/>
                <w:sz w:val="20"/>
                <w:szCs w:val="2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C7629" wp14:editId="3B3DF95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FE3B37" id="Rectangle 6" o:spid="_x0000_s1026" style="position:absolute;margin-left:0;margin-top:-5.8pt;width:523.5pt;height:3.7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" fillcolor="#483a70" stroked="f" strokeweight="2pt"/>
                  </w:pict>
                </mc:Fallback>
              </mc:AlternateContent>
            </w:r>
            <w:r w:rsidR="00AF4F26" w:rsidRPr="000E35B9">
              <w:rPr>
                <w:w w:val="100"/>
                <w:sz w:val="20"/>
                <w:szCs w:val="20"/>
              </w:rPr>
              <w:t>PSPF fact sheet: Summary of key changes</w:t>
            </w:r>
            <w:r w:rsidR="00AF4F26" w:rsidRPr="000E35B9">
              <w:rPr>
                <w:w w:val="100"/>
                <w:sz w:val="20"/>
                <w:szCs w:val="20"/>
              </w:rPr>
              <w:tab/>
            </w:r>
            <w:r w:rsidR="00AF4F26" w:rsidRPr="000E35B9">
              <w:rPr>
                <w:w w:val="100"/>
                <w:sz w:val="20"/>
                <w:szCs w:val="20"/>
              </w:rPr>
              <w:fldChar w:fldCharType="begin"/>
            </w:r>
            <w:r w:rsidR="00AF4F26" w:rsidRPr="000E35B9">
              <w:rPr>
                <w:w w:val="100"/>
                <w:sz w:val="20"/>
                <w:szCs w:val="20"/>
              </w:rPr>
              <w:instrText xml:space="preserve"> PAGE   \* MERGEFORMAT </w:instrText>
            </w:r>
            <w:r w:rsidR="00AF4F26" w:rsidRPr="000E35B9">
              <w:rPr>
                <w:w w:val="100"/>
                <w:sz w:val="20"/>
                <w:szCs w:val="20"/>
              </w:rPr>
              <w:fldChar w:fldCharType="separate"/>
            </w:r>
            <w:r w:rsidR="002B3DBF">
              <w:rPr>
                <w:noProof/>
                <w:w w:val="100"/>
                <w:sz w:val="20"/>
                <w:szCs w:val="20"/>
              </w:rPr>
              <w:t>2</w:t>
            </w:r>
            <w:r w:rsidR="00AF4F26" w:rsidRPr="000E35B9">
              <w:rPr>
                <w:noProof/>
                <w:w w:val="100"/>
                <w:sz w:val="20"/>
                <w:szCs w:val="20"/>
              </w:rPr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B91" w:rsidRPr="000E35B9" w:rsidRDefault="002B3DBF" w:rsidP="000E35B9">
    <w:pPr>
      <w:pStyle w:val="Footer"/>
      <w:tabs>
        <w:tab w:val="clear" w:pos="4513"/>
        <w:tab w:val="clear" w:pos="9026"/>
        <w:tab w:val="center" w:pos="5245"/>
        <w:tab w:val="right" w:pos="10490"/>
      </w:tabs>
      <w:rPr>
        <w:w w:val="100"/>
      </w:rPr>
    </w:pPr>
    <w:sdt>
      <w:sdtPr>
        <w:rPr>
          <w:w w:val="100"/>
          <w:sz w:val="20"/>
          <w:szCs w:val="20"/>
        </w:rPr>
        <w:id w:val="46216337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82F3E">
          <w:rPr>
            <w:w w:val="100"/>
            <w:sz w:val="20"/>
            <w:szCs w:val="20"/>
          </w:rPr>
          <w:t>V2018.1</w:t>
        </w:r>
        <w:r w:rsidR="006B1B91" w:rsidRPr="000E35B9">
          <w:rPr>
            <w:w w:val="100"/>
            <w:sz w:val="20"/>
            <w:szCs w:val="20"/>
          </w:rPr>
          <w:tab/>
        </w:r>
        <w:r w:rsidR="006B1B91" w:rsidRPr="000E35B9">
          <w:rPr>
            <w:noProof/>
            <w:w w:val="100"/>
            <w:sz w:val="20"/>
            <w:szCs w:val="20"/>
            <w:lang w:eastAsia="en-AU"/>
          </w:rPr>
          <mc:AlternateContent>
            <mc:Choice Requires="wps">
              <w:drawing>
                <wp:anchor distT="0" distB="0" distL="114300" distR="114300" simplePos="0" relativeHeight="251709440" behindDoc="0" locked="0" layoutInCell="1" allowOverlap="1" wp14:anchorId="3597FE4E" wp14:editId="2303B50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-73660</wp:posOffset>
                  </wp:positionV>
                  <wp:extent cx="6648450" cy="47625"/>
                  <wp:effectExtent l="0" t="0" r="0" b="9525"/>
                  <wp:wrapNone/>
                  <wp:docPr id="38" name="Rectangle 3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648450" cy="47625"/>
                          </a:xfrm>
                          <a:prstGeom prst="rect">
                            <a:avLst/>
                          </a:prstGeom>
                          <a:solidFill>
                            <a:srgbClr val="483A7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ect w14:anchorId="1B6ED7CD" id="Rectangle 38" o:spid="_x0000_s1026" style="position:absolute;margin-left:0;margin-top:-5.8pt;width:523.5pt;height:3.7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" fillcolor="#483a70" stroked="f" strokeweight="2pt"/>
              </w:pict>
            </mc:Fallback>
          </mc:AlternateContent>
        </w:r>
        <w:r w:rsidR="006B1B91" w:rsidRPr="000E35B9">
          <w:rPr>
            <w:noProof/>
            <w:w w:val="100"/>
            <w:sz w:val="20"/>
            <w:szCs w:val="20"/>
            <w:lang w:eastAsia="en-AU"/>
          </w:rPr>
          <mc:AlternateContent>
            <mc:Choice Requires="wps">
              <w:drawing>
                <wp:anchor distT="0" distB="0" distL="114300" distR="114300" simplePos="0" relativeHeight="251710464" behindDoc="0" locked="0" layoutInCell="1" allowOverlap="1" wp14:anchorId="60458ED5" wp14:editId="67857CC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-73660</wp:posOffset>
                  </wp:positionV>
                  <wp:extent cx="6648450" cy="47625"/>
                  <wp:effectExtent l="0" t="0" r="0" b="9525"/>
                  <wp:wrapNone/>
                  <wp:docPr id="39" name="Rectangle 3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648450" cy="47625"/>
                          </a:xfrm>
                          <a:prstGeom prst="rect">
                            <a:avLst/>
                          </a:prstGeom>
                          <a:solidFill>
                            <a:srgbClr val="483A7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ect w14:anchorId="3CC4E247" id="Rectangle 39" o:spid="_x0000_s1026" style="position:absolute;margin-left:0;margin-top:-5.8pt;width:523.5pt;height:3.7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" fillcolor="#483a70" stroked="f" strokeweight="2pt"/>
              </w:pict>
            </mc:Fallback>
          </mc:AlternateContent>
        </w:r>
        <w:r w:rsidR="006B1B91" w:rsidRPr="000E35B9">
          <w:rPr>
            <w:noProof/>
            <w:w w:val="100"/>
            <w:sz w:val="20"/>
            <w:szCs w:val="20"/>
            <w:lang w:eastAsia="en-AU"/>
          </w:rPr>
          <mc:AlternateContent>
            <mc:Choice Requires="wps">
              <w:drawing>
                <wp:anchor distT="0" distB="0" distL="114300" distR="114300" simplePos="0" relativeHeight="251707392" behindDoc="0" locked="0" layoutInCell="1" allowOverlap="1" wp14:anchorId="07110B15" wp14:editId="33E2D2D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-73660</wp:posOffset>
                  </wp:positionV>
                  <wp:extent cx="6648450" cy="47625"/>
                  <wp:effectExtent l="0" t="0" r="0" b="9525"/>
                  <wp:wrapNone/>
                  <wp:docPr id="40" name="Rectangle 4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648450" cy="47625"/>
                          </a:xfrm>
                          <a:prstGeom prst="rect">
                            <a:avLst/>
                          </a:prstGeom>
                          <a:solidFill>
                            <a:srgbClr val="483A7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ect w14:anchorId="6858D655" id="Rectangle 40" o:spid="_x0000_s1026" style="position:absolute;margin-left:0;margin-top:-5.8pt;width:523.5pt;height:3.7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" fillcolor="#483a70" stroked="f" strokeweight="2pt"/>
              </w:pict>
            </mc:Fallback>
          </mc:AlternateContent>
        </w:r>
        <w:r w:rsidR="006B1B91" w:rsidRPr="000E35B9">
          <w:rPr>
            <w:noProof/>
            <w:w w:val="100"/>
            <w:sz w:val="20"/>
            <w:szCs w:val="20"/>
            <w:lang w:eastAsia="en-AU"/>
          </w:rPr>
          <mc:AlternateContent>
            <mc:Choice Requires="wps">
              <w:drawing>
                <wp:anchor distT="0" distB="0" distL="114300" distR="114300" simplePos="0" relativeHeight="251708416" behindDoc="0" locked="0" layoutInCell="1" allowOverlap="1" wp14:anchorId="1FC01E89" wp14:editId="286034B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-73660</wp:posOffset>
                  </wp:positionV>
                  <wp:extent cx="6648450" cy="47625"/>
                  <wp:effectExtent l="0" t="0" r="0" b="9525"/>
                  <wp:wrapNone/>
                  <wp:docPr id="41" name="Rectangle 4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648450" cy="47625"/>
                          </a:xfrm>
                          <a:prstGeom prst="rect">
                            <a:avLst/>
                          </a:prstGeom>
                          <a:solidFill>
                            <a:srgbClr val="483A7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ect w14:anchorId="7B03C239" id="Rectangle 41" o:spid="_x0000_s1026" style="position:absolute;margin-left:0;margin-top:-5.8pt;width:523.5pt;height:3.7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" fillcolor="#483a70" stroked="f" strokeweight="2pt"/>
              </w:pict>
            </mc:Fallback>
          </mc:AlternateContent>
        </w:r>
        <w:r w:rsidR="006B1B91" w:rsidRPr="000E35B9">
          <w:rPr>
            <w:w w:val="100"/>
            <w:sz w:val="20"/>
            <w:szCs w:val="20"/>
          </w:rPr>
          <w:t>PSPF fact sheet: Summary of key changes</w:t>
        </w:r>
        <w:r w:rsidR="006B1B91" w:rsidRPr="000E35B9">
          <w:rPr>
            <w:w w:val="100"/>
            <w:sz w:val="20"/>
            <w:szCs w:val="20"/>
          </w:rPr>
          <w:tab/>
        </w:r>
        <w:r w:rsidR="006B1B91" w:rsidRPr="000E35B9">
          <w:rPr>
            <w:w w:val="100"/>
            <w:sz w:val="20"/>
            <w:szCs w:val="20"/>
          </w:rPr>
          <w:fldChar w:fldCharType="begin"/>
        </w:r>
        <w:r w:rsidR="006B1B91" w:rsidRPr="000E35B9">
          <w:rPr>
            <w:w w:val="100"/>
            <w:sz w:val="20"/>
            <w:szCs w:val="20"/>
          </w:rPr>
          <w:instrText xml:space="preserve"> PAGE   \* MERGEFORMAT </w:instrText>
        </w:r>
        <w:r w:rsidR="006B1B91" w:rsidRPr="000E35B9">
          <w:rPr>
            <w:w w:val="100"/>
            <w:sz w:val="20"/>
            <w:szCs w:val="20"/>
          </w:rPr>
          <w:fldChar w:fldCharType="separate"/>
        </w:r>
        <w:r>
          <w:rPr>
            <w:noProof/>
            <w:w w:val="100"/>
            <w:sz w:val="20"/>
            <w:szCs w:val="20"/>
          </w:rPr>
          <w:t>1</w:t>
        </w:r>
        <w:r w:rsidR="006B1B91" w:rsidRPr="000E35B9">
          <w:rPr>
            <w:noProof/>
            <w:w w:val="100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672" w:rsidRDefault="00EA7672" w:rsidP="007D070A">
      <w:pPr>
        <w:spacing w:after="0"/>
      </w:pPr>
      <w:r>
        <w:separator/>
      </w:r>
    </w:p>
  </w:footnote>
  <w:footnote w:type="continuationSeparator" w:id="0">
    <w:p w:rsidR="00EA7672" w:rsidRDefault="00EA7672" w:rsidP="007D07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DC7" w:rsidRDefault="000A0DC7" w:rsidP="000A0DC7">
    <w:pPr>
      <w:pStyle w:val="Header"/>
    </w:pPr>
    <w:r w:rsidRPr="002240A9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48643653" wp14:editId="4784ECDD">
              <wp:simplePos x="0" y="0"/>
              <wp:positionH relativeFrom="column">
                <wp:posOffset>2171700</wp:posOffset>
              </wp:positionH>
              <wp:positionV relativeFrom="paragraph">
                <wp:posOffset>1171575</wp:posOffset>
              </wp:positionV>
              <wp:extent cx="5200650" cy="666750"/>
              <wp:effectExtent l="0" t="0" r="0" b="0"/>
              <wp:wrapNone/>
              <wp:docPr id="36" name="Text 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0650" cy="666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A0DC7" w:rsidRPr="00361D34" w:rsidRDefault="000A0DC7" w:rsidP="000A0DC7">
                          <w:pPr>
                            <w:suppressAutoHyphens/>
                            <w:spacing w:after="113"/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pacing w:val="-13"/>
                              <w:w w:val="104"/>
                              <w:sz w:val="40"/>
                              <w:szCs w:val="40"/>
                            </w:rPr>
                          </w:pPr>
                          <w:r w:rsidRPr="00361D34"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pacing w:val="-13"/>
                              <w:w w:val="104"/>
                              <w:sz w:val="40"/>
                              <w:szCs w:val="40"/>
                            </w:rPr>
                            <w:t>Protective Security Policy Framework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8643653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6" type="#_x0000_t202" style="position:absolute;margin-left:171pt;margin-top:92.25pt;width:409.5pt;height:52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" filled="f" stroked="f" strokeweight=".5pt">
              <v:textbox>
                <w:txbxContent>
                  <w:p w:rsidR="000A0DC7" w:rsidRPr="00361D34" w:rsidRDefault="000A0DC7" w:rsidP="000A0DC7">
                    <w:pPr>
                      <w:suppressAutoHyphens/>
                      <w:spacing w:after="113"/>
                      <w:rPr>
                        <w:rFonts w:cstheme="minorHAnsi"/>
                        <w:b/>
                        <w:bCs/>
                        <w:color w:val="FFFFFF" w:themeColor="background1"/>
                        <w:spacing w:val="-13"/>
                        <w:w w:val="104"/>
                        <w:sz w:val="40"/>
                        <w:szCs w:val="40"/>
                      </w:rPr>
                    </w:pPr>
                    <w:r w:rsidRPr="00361D34">
                      <w:rPr>
                        <w:rFonts w:cstheme="minorHAnsi"/>
                        <w:b/>
                        <w:bCs/>
                        <w:color w:val="FFFFFF" w:themeColor="background1"/>
                        <w:spacing w:val="-13"/>
                        <w:w w:val="104"/>
                        <w:sz w:val="40"/>
                        <w:szCs w:val="40"/>
                      </w:rPr>
                      <w:t>Protective Security Policy Framework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DC7" w:rsidRDefault="000A0DC7">
    <w:pPr>
      <w:pStyle w:val="Header"/>
    </w:pPr>
    <w:r w:rsidRPr="002240A9">
      <w:rPr>
        <w:noProof/>
        <w:lang w:eastAsia="en-AU"/>
      </w:rPr>
      <w:drawing>
        <wp:anchor distT="0" distB="0" distL="114300" distR="114300" simplePos="0" relativeHeight="251704320" behindDoc="1" locked="0" layoutInCell="1" allowOverlap="1" wp14:anchorId="2647A6E1" wp14:editId="25D9DCA8">
          <wp:simplePos x="0" y="0"/>
          <wp:positionH relativeFrom="column">
            <wp:posOffset>0</wp:posOffset>
          </wp:positionH>
          <wp:positionV relativeFrom="paragraph">
            <wp:posOffset>342900</wp:posOffset>
          </wp:positionV>
          <wp:extent cx="6645275" cy="1288415"/>
          <wp:effectExtent l="0" t="0" r="3175" b="6985"/>
          <wp:wrapTight wrapText="bothSides">
            <wp:wrapPolygon edited="0">
              <wp:start x="0" y="0"/>
              <wp:lineTo x="0" y="21398"/>
              <wp:lineTo x="21548" y="21398"/>
              <wp:lineTo x="21548" y="0"/>
              <wp:lineTo x="0" y="0"/>
            </wp:wrapPolygon>
          </wp:wrapTight>
          <wp:docPr id="3" name="Picture 3" descr="Protective Security Policy Framework banner graphic" title="Banner graph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275" cy="1288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240A9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31F2E77B" wp14:editId="4EA73A57">
              <wp:simplePos x="0" y="0"/>
              <wp:positionH relativeFrom="column">
                <wp:posOffset>2171700</wp:posOffset>
              </wp:positionH>
              <wp:positionV relativeFrom="paragraph">
                <wp:posOffset>1171575</wp:posOffset>
              </wp:positionV>
              <wp:extent cx="5200650" cy="66675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0650" cy="666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A0DC7" w:rsidRPr="00361D34" w:rsidRDefault="000A0DC7" w:rsidP="000A0DC7">
                          <w:pPr>
                            <w:suppressAutoHyphens/>
                            <w:spacing w:after="113"/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pacing w:val="-13"/>
                              <w:w w:val="104"/>
                              <w:sz w:val="40"/>
                              <w:szCs w:val="40"/>
                            </w:rPr>
                          </w:pPr>
                          <w:r w:rsidRPr="00361D34"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pacing w:val="-13"/>
                              <w:w w:val="104"/>
                              <w:sz w:val="40"/>
                              <w:szCs w:val="40"/>
                            </w:rPr>
                            <w:t>Protective Security Policy Framework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1F2E77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171pt;margin-top:92.25pt;width:409.5pt;height:52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" filled="f" stroked="f" strokeweight=".5pt">
              <v:textbox>
                <w:txbxContent>
                  <w:p w:rsidR="000A0DC7" w:rsidRPr="00361D34" w:rsidRDefault="000A0DC7" w:rsidP="000A0DC7">
                    <w:pPr>
                      <w:suppressAutoHyphens/>
                      <w:spacing w:after="113"/>
                      <w:rPr>
                        <w:rFonts w:cstheme="minorHAnsi"/>
                        <w:b/>
                        <w:bCs/>
                        <w:color w:val="FFFFFF" w:themeColor="background1"/>
                        <w:spacing w:val="-13"/>
                        <w:w w:val="104"/>
                        <w:sz w:val="40"/>
                        <w:szCs w:val="40"/>
                      </w:rPr>
                    </w:pPr>
                    <w:r w:rsidRPr="00361D34">
                      <w:rPr>
                        <w:rFonts w:cstheme="minorHAnsi"/>
                        <w:b/>
                        <w:bCs/>
                        <w:color w:val="FFFFFF" w:themeColor="background1"/>
                        <w:spacing w:val="-13"/>
                        <w:w w:val="104"/>
                        <w:sz w:val="40"/>
                        <w:szCs w:val="40"/>
                      </w:rPr>
                      <w:t>Protective Security Policy Framework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49B"/>
    <w:multiLevelType w:val="hybridMultilevel"/>
    <w:tmpl w:val="DEC6DEB8"/>
    <w:lvl w:ilvl="0" w:tplc="F9142DD0">
      <w:start w:val="1"/>
      <w:numFmt w:val="lowerRoman"/>
      <w:pStyle w:val="Tablebodybullet2"/>
      <w:lvlText w:val="%1."/>
      <w:lvlJc w:val="right"/>
      <w:pPr>
        <w:ind w:left="1440" w:hanging="360"/>
      </w:pPr>
    </w:lvl>
    <w:lvl w:ilvl="1" w:tplc="E840913E">
      <w:start w:val="1"/>
      <w:numFmt w:val="upperLetter"/>
      <w:pStyle w:val="Tablebodybullet3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E14EA4"/>
    <w:multiLevelType w:val="multilevel"/>
    <w:tmpl w:val="93AE02CE"/>
    <w:styleLink w:val="Style1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color w:val="5C5C5C"/>
        <w:sz w:val="22"/>
      </w:rPr>
    </w:lvl>
    <w:lvl w:ilvl="1">
      <w:start w:val="1"/>
      <w:numFmt w:val="lowerLetter"/>
      <w:lvlText w:val="%2"/>
      <w:lvlJc w:val="left"/>
      <w:pPr>
        <w:ind w:left="786" w:hanging="360"/>
      </w:pPr>
      <w:rPr>
        <w:rFonts w:asciiTheme="minorHAnsi" w:hAnsiTheme="minorHAnsi" w:hint="default"/>
        <w:color w:val="463A70"/>
        <w:sz w:val="22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asciiTheme="minorHAnsi" w:hAnsiTheme="minorHAnsi" w:hint="default"/>
        <w:sz w:val="22"/>
      </w:rPr>
    </w:lvl>
    <w:lvl w:ilvl="3">
      <w:start w:val="1"/>
      <w:numFmt w:val="upperLetter"/>
      <w:lvlText w:val="%4"/>
      <w:lvlJc w:val="left"/>
      <w:pPr>
        <w:ind w:left="2880" w:hanging="360"/>
      </w:pPr>
      <w:rPr>
        <w:rFonts w:asciiTheme="minorHAnsi" w:hAnsiTheme="minorHAnsi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E94E0A"/>
    <w:multiLevelType w:val="hybridMultilevel"/>
    <w:tmpl w:val="F8E8647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40C7DA0">
      <w:numFmt w:val="bullet"/>
      <w:lvlText w:val="•"/>
      <w:lvlJc w:val="left"/>
      <w:pPr>
        <w:ind w:left="1440" w:hanging="720"/>
      </w:pPr>
      <w:rPr>
        <w:rFonts w:ascii="Calibri" w:eastAsia="Calibri" w:hAnsi="Calibri" w:cs="Calibri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790E11"/>
    <w:multiLevelType w:val="hybridMultilevel"/>
    <w:tmpl w:val="433EEBFA"/>
    <w:lvl w:ilvl="0" w:tplc="53148620">
      <w:start w:val="1"/>
      <w:numFmt w:val="lowerLetter"/>
      <w:pStyle w:val="intensequotenumbered"/>
      <w:lvlText w:val="%1."/>
      <w:lvlJc w:val="left"/>
      <w:pPr>
        <w:ind w:left="1656" w:hanging="360"/>
      </w:pPr>
    </w:lvl>
    <w:lvl w:ilvl="1" w:tplc="0C090019" w:tentative="1">
      <w:start w:val="1"/>
      <w:numFmt w:val="lowerLetter"/>
      <w:lvlText w:val="%2."/>
      <w:lvlJc w:val="left"/>
      <w:pPr>
        <w:ind w:left="2376" w:hanging="360"/>
      </w:pPr>
    </w:lvl>
    <w:lvl w:ilvl="2" w:tplc="0C09001B" w:tentative="1">
      <w:start w:val="1"/>
      <w:numFmt w:val="lowerRoman"/>
      <w:lvlText w:val="%3."/>
      <w:lvlJc w:val="right"/>
      <w:pPr>
        <w:ind w:left="3096" w:hanging="180"/>
      </w:pPr>
    </w:lvl>
    <w:lvl w:ilvl="3" w:tplc="0C09000F" w:tentative="1">
      <w:start w:val="1"/>
      <w:numFmt w:val="decimal"/>
      <w:lvlText w:val="%4."/>
      <w:lvlJc w:val="left"/>
      <w:pPr>
        <w:ind w:left="3816" w:hanging="360"/>
      </w:pPr>
    </w:lvl>
    <w:lvl w:ilvl="4" w:tplc="0C090019" w:tentative="1">
      <w:start w:val="1"/>
      <w:numFmt w:val="lowerLetter"/>
      <w:lvlText w:val="%5."/>
      <w:lvlJc w:val="left"/>
      <w:pPr>
        <w:ind w:left="4536" w:hanging="360"/>
      </w:pPr>
    </w:lvl>
    <w:lvl w:ilvl="5" w:tplc="0C09001B" w:tentative="1">
      <w:start w:val="1"/>
      <w:numFmt w:val="lowerRoman"/>
      <w:lvlText w:val="%6."/>
      <w:lvlJc w:val="right"/>
      <w:pPr>
        <w:ind w:left="5256" w:hanging="180"/>
      </w:pPr>
    </w:lvl>
    <w:lvl w:ilvl="6" w:tplc="0C09000F" w:tentative="1">
      <w:start w:val="1"/>
      <w:numFmt w:val="decimal"/>
      <w:lvlText w:val="%7."/>
      <w:lvlJc w:val="left"/>
      <w:pPr>
        <w:ind w:left="5976" w:hanging="360"/>
      </w:pPr>
    </w:lvl>
    <w:lvl w:ilvl="7" w:tplc="0C090019" w:tentative="1">
      <w:start w:val="1"/>
      <w:numFmt w:val="lowerLetter"/>
      <w:lvlText w:val="%8."/>
      <w:lvlJc w:val="left"/>
      <w:pPr>
        <w:ind w:left="6696" w:hanging="360"/>
      </w:pPr>
    </w:lvl>
    <w:lvl w:ilvl="8" w:tplc="0C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>
    <w:nsid w:val="2B3E1CA6"/>
    <w:multiLevelType w:val="hybridMultilevel"/>
    <w:tmpl w:val="78CEEEA8"/>
    <w:lvl w:ilvl="0" w:tplc="539E59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A9E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E67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AF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7C35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108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3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609D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062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5E47A96"/>
    <w:multiLevelType w:val="hybridMultilevel"/>
    <w:tmpl w:val="281E8C8A"/>
    <w:lvl w:ilvl="0" w:tplc="03E6D220">
      <w:start w:val="1"/>
      <w:numFmt w:val="lowerRoman"/>
      <w:pStyle w:val="ListBullet3"/>
      <w:lvlText w:val="%1."/>
      <w:lvlJc w:val="right"/>
      <w:pPr>
        <w:ind w:left="1494" w:hanging="360"/>
      </w:pPr>
    </w:lvl>
    <w:lvl w:ilvl="1" w:tplc="0C090019" w:tentative="1">
      <w:start w:val="1"/>
      <w:numFmt w:val="lowerLetter"/>
      <w:lvlText w:val="%2."/>
      <w:lvlJc w:val="left"/>
      <w:pPr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504E7A51"/>
    <w:multiLevelType w:val="hybridMultilevel"/>
    <w:tmpl w:val="F1F4C648"/>
    <w:lvl w:ilvl="0" w:tplc="694AD408">
      <w:start w:val="1"/>
      <w:numFmt w:val="lowerLetter"/>
      <w:pStyle w:val="ListBullet2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929FF"/>
    <w:multiLevelType w:val="hybridMultilevel"/>
    <w:tmpl w:val="BB44BB70"/>
    <w:lvl w:ilvl="0" w:tplc="A530B300">
      <w:start w:val="1"/>
      <w:numFmt w:val="upperLetter"/>
      <w:pStyle w:val="ListBullet4"/>
      <w:lvlText w:val="%1."/>
      <w:lvlJc w:val="left"/>
      <w:pPr>
        <w:ind w:left="1854" w:hanging="360"/>
      </w:pPr>
    </w:lvl>
    <w:lvl w:ilvl="1" w:tplc="0C090019" w:tentative="1">
      <w:start w:val="1"/>
      <w:numFmt w:val="lowerLetter"/>
      <w:lvlText w:val="%2."/>
      <w:lvlJc w:val="left"/>
      <w:pPr>
        <w:ind w:left="2574" w:hanging="360"/>
      </w:pPr>
    </w:lvl>
    <w:lvl w:ilvl="2" w:tplc="0C09001B" w:tentative="1">
      <w:start w:val="1"/>
      <w:numFmt w:val="lowerRoman"/>
      <w:lvlText w:val="%3."/>
      <w:lvlJc w:val="right"/>
      <w:pPr>
        <w:ind w:left="3294" w:hanging="180"/>
      </w:pPr>
    </w:lvl>
    <w:lvl w:ilvl="3" w:tplc="0C09000F" w:tentative="1">
      <w:start w:val="1"/>
      <w:numFmt w:val="decimal"/>
      <w:lvlText w:val="%4."/>
      <w:lvlJc w:val="left"/>
      <w:pPr>
        <w:ind w:left="4014" w:hanging="360"/>
      </w:pPr>
    </w:lvl>
    <w:lvl w:ilvl="4" w:tplc="0C090019" w:tentative="1">
      <w:start w:val="1"/>
      <w:numFmt w:val="lowerLetter"/>
      <w:lvlText w:val="%5."/>
      <w:lvlJc w:val="left"/>
      <w:pPr>
        <w:ind w:left="4734" w:hanging="360"/>
      </w:pPr>
    </w:lvl>
    <w:lvl w:ilvl="5" w:tplc="0C09001B" w:tentative="1">
      <w:start w:val="1"/>
      <w:numFmt w:val="lowerRoman"/>
      <w:lvlText w:val="%6."/>
      <w:lvlJc w:val="right"/>
      <w:pPr>
        <w:ind w:left="5454" w:hanging="180"/>
      </w:pPr>
    </w:lvl>
    <w:lvl w:ilvl="6" w:tplc="0C09000F" w:tentative="1">
      <w:start w:val="1"/>
      <w:numFmt w:val="decimal"/>
      <w:lvlText w:val="%7."/>
      <w:lvlJc w:val="left"/>
      <w:pPr>
        <w:ind w:left="6174" w:hanging="360"/>
      </w:pPr>
    </w:lvl>
    <w:lvl w:ilvl="7" w:tplc="0C090019" w:tentative="1">
      <w:start w:val="1"/>
      <w:numFmt w:val="lowerLetter"/>
      <w:lvlText w:val="%8."/>
      <w:lvlJc w:val="left"/>
      <w:pPr>
        <w:ind w:left="6894" w:hanging="360"/>
      </w:pPr>
    </w:lvl>
    <w:lvl w:ilvl="8" w:tplc="0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>
    <w:nsid w:val="60084E3F"/>
    <w:multiLevelType w:val="hybridMultilevel"/>
    <w:tmpl w:val="0B10CF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A15FB9"/>
    <w:multiLevelType w:val="multilevel"/>
    <w:tmpl w:val="BFE0A2D2"/>
    <w:lvl w:ilvl="0">
      <w:start w:val="1"/>
      <w:numFmt w:val="decimal"/>
      <w:pStyle w:val="Listbullet1"/>
      <w:lvlText w:val="%1."/>
      <w:lvlJc w:val="left"/>
      <w:pPr>
        <w:ind w:left="360" w:hanging="360"/>
      </w:pPr>
      <w:rPr>
        <w:rFonts w:hint="default"/>
        <w:color w:val="5C5C5C"/>
      </w:rPr>
    </w:lvl>
    <w:lvl w:ilvl="1">
      <w:start w:val="1"/>
      <w:numFmt w:val="lowerLetter"/>
      <w:lvlText w:val="%2"/>
      <w:lvlJc w:val="left"/>
      <w:pPr>
        <w:ind w:left="426" w:hanging="360"/>
      </w:pPr>
      <w:rPr>
        <w:rFonts w:hint="default"/>
        <w:color w:val="463A70"/>
      </w:rPr>
    </w:lvl>
    <w:lvl w:ilvl="2">
      <w:start w:val="1"/>
      <w:numFmt w:val="lowerRoman"/>
      <w:lvlText w:val="%3"/>
      <w:lvlJc w:val="left"/>
      <w:pPr>
        <w:ind w:left="1800" w:hanging="360"/>
      </w:pPr>
      <w:rPr>
        <w:rFonts w:hint="default"/>
      </w:rPr>
    </w:lvl>
    <w:lvl w:ilvl="3">
      <w:start w:val="1"/>
      <w:numFmt w:val="upperLetter"/>
      <w:lvlText w:val="%4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5A77CC3"/>
    <w:multiLevelType w:val="multilevel"/>
    <w:tmpl w:val="FF42316C"/>
    <w:lvl w:ilvl="0">
      <w:start w:val="1"/>
      <w:numFmt w:val="upperLetter"/>
      <w:pStyle w:val="Heading2"/>
      <w:lvlText w:val="%1."/>
      <w:lvlJc w:val="left"/>
      <w:pPr>
        <w:ind w:left="432" w:hanging="432"/>
      </w:pPr>
    </w:lvl>
    <w:lvl w:ilvl="1">
      <w:start w:val="1"/>
      <w:numFmt w:val="decimal"/>
      <w:pStyle w:val="Heading3"/>
      <w:lvlText w:val="%1.%2"/>
      <w:lvlJc w:val="left"/>
      <w:pPr>
        <w:ind w:left="576" w:hanging="576"/>
      </w:pPr>
    </w:lvl>
    <w:lvl w:ilvl="2">
      <w:start w:val="1"/>
      <w:numFmt w:val="decimal"/>
      <w:pStyle w:val="Heading4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>
    <w:nsid w:val="68F70CE5"/>
    <w:multiLevelType w:val="hybridMultilevel"/>
    <w:tmpl w:val="92FEBAC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5686220"/>
    <w:multiLevelType w:val="hybridMultilevel"/>
    <w:tmpl w:val="461AA046"/>
    <w:lvl w:ilvl="0" w:tplc="0F348542">
      <w:start w:val="1"/>
      <w:numFmt w:val="lowerLetter"/>
      <w:pStyle w:val="Tablebodybullet1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2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7"/>
  </w:num>
  <w:num w:numId="10">
    <w:abstractNumId w:val="2"/>
  </w:num>
  <w:num w:numId="11">
    <w:abstractNumId w:val="11"/>
  </w:num>
  <w:num w:numId="12">
    <w:abstractNumId w:val="4"/>
  </w:num>
  <w:num w:numId="13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D23"/>
    <w:rsid w:val="00002211"/>
    <w:rsid w:val="00032AA3"/>
    <w:rsid w:val="00032E8B"/>
    <w:rsid w:val="0005582F"/>
    <w:rsid w:val="00073BDF"/>
    <w:rsid w:val="000A0DC7"/>
    <w:rsid w:val="000A7699"/>
    <w:rsid w:val="000B60A9"/>
    <w:rsid w:val="000E35B9"/>
    <w:rsid w:val="00100918"/>
    <w:rsid w:val="00104039"/>
    <w:rsid w:val="00116E26"/>
    <w:rsid w:val="00127B2C"/>
    <w:rsid w:val="00141B5A"/>
    <w:rsid w:val="001A66C9"/>
    <w:rsid w:val="001B4405"/>
    <w:rsid w:val="001E6085"/>
    <w:rsid w:val="002002FE"/>
    <w:rsid w:val="00214A4C"/>
    <w:rsid w:val="002240A9"/>
    <w:rsid w:val="00227A31"/>
    <w:rsid w:val="002653F3"/>
    <w:rsid w:val="0028047D"/>
    <w:rsid w:val="002B3DBF"/>
    <w:rsid w:val="002B74C0"/>
    <w:rsid w:val="002D0D7F"/>
    <w:rsid w:val="002E38D6"/>
    <w:rsid w:val="002F6FC7"/>
    <w:rsid w:val="0032000A"/>
    <w:rsid w:val="00321AAA"/>
    <w:rsid w:val="00361D34"/>
    <w:rsid w:val="003C1CC8"/>
    <w:rsid w:val="003C7947"/>
    <w:rsid w:val="003F39BA"/>
    <w:rsid w:val="00433F9A"/>
    <w:rsid w:val="0044340A"/>
    <w:rsid w:val="004540EF"/>
    <w:rsid w:val="00460ABB"/>
    <w:rsid w:val="004906A1"/>
    <w:rsid w:val="00494ED2"/>
    <w:rsid w:val="004B2E14"/>
    <w:rsid w:val="004D0C20"/>
    <w:rsid w:val="00555668"/>
    <w:rsid w:val="00563082"/>
    <w:rsid w:val="0057720C"/>
    <w:rsid w:val="00583024"/>
    <w:rsid w:val="00591C10"/>
    <w:rsid w:val="005B028C"/>
    <w:rsid w:val="005F46FF"/>
    <w:rsid w:val="0068552B"/>
    <w:rsid w:val="00693A88"/>
    <w:rsid w:val="006A63C7"/>
    <w:rsid w:val="006B1B91"/>
    <w:rsid w:val="006C4952"/>
    <w:rsid w:val="006C6589"/>
    <w:rsid w:val="006F2DBA"/>
    <w:rsid w:val="006F61B7"/>
    <w:rsid w:val="006F6F46"/>
    <w:rsid w:val="00731243"/>
    <w:rsid w:val="007335FD"/>
    <w:rsid w:val="007423F9"/>
    <w:rsid w:val="00777128"/>
    <w:rsid w:val="00790637"/>
    <w:rsid w:val="00794775"/>
    <w:rsid w:val="007A01AA"/>
    <w:rsid w:val="007A0D74"/>
    <w:rsid w:val="007B450D"/>
    <w:rsid w:val="007D070A"/>
    <w:rsid w:val="007D7EE6"/>
    <w:rsid w:val="007E2110"/>
    <w:rsid w:val="00804067"/>
    <w:rsid w:val="00813764"/>
    <w:rsid w:val="00874ED0"/>
    <w:rsid w:val="00896715"/>
    <w:rsid w:val="008B3F3E"/>
    <w:rsid w:val="008F616C"/>
    <w:rsid w:val="00942581"/>
    <w:rsid w:val="00944990"/>
    <w:rsid w:val="00967787"/>
    <w:rsid w:val="00971C30"/>
    <w:rsid w:val="009C3D76"/>
    <w:rsid w:val="009E525A"/>
    <w:rsid w:val="00A013AF"/>
    <w:rsid w:val="00A01CB4"/>
    <w:rsid w:val="00A05362"/>
    <w:rsid w:val="00A24F2F"/>
    <w:rsid w:val="00A36443"/>
    <w:rsid w:val="00A742F1"/>
    <w:rsid w:val="00AD72A9"/>
    <w:rsid w:val="00AF0947"/>
    <w:rsid w:val="00AF4F26"/>
    <w:rsid w:val="00B12627"/>
    <w:rsid w:val="00B36B29"/>
    <w:rsid w:val="00B36EF7"/>
    <w:rsid w:val="00B5653A"/>
    <w:rsid w:val="00B649DD"/>
    <w:rsid w:val="00B66F79"/>
    <w:rsid w:val="00B95357"/>
    <w:rsid w:val="00BA27D1"/>
    <w:rsid w:val="00BC1D2F"/>
    <w:rsid w:val="00C070D0"/>
    <w:rsid w:val="00C166C3"/>
    <w:rsid w:val="00C6333F"/>
    <w:rsid w:val="00C7529B"/>
    <w:rsid w:val="00C82F3E"/>
    <w:rsid w:val="00CC29E2"/>
    <w:rsid w:val="00CC5A08"/>
    <w:rsid w:val="00CE1D87"/>
    <w:rsid w:val="00D06CDC"/>
    <w:rsid w:val="00D24E4D"/>
    <w:rsid w:val="00D27E9C"/>
    <w:rsid w:val="00D43179"/>
    <w:rsid w:val="00D47E88"/>
    <w:rsid w:val="00D575DF"/>
    <w:rsid w:val="00D61220"/>
    <w:rsid w:val="00D9331D"/>
    <w:rsid w:val="00DA5924"/>
    <w:rsid w:val="00DC1251"/>
    <w:rsid w:val="00DC4297"/>
    <w:rsid w:val="00DE000A"/>
    <w:rsid w:val="00E127AD"/>
    <w:rsid w:val="00E2001C"/>
    <w:rsid w:val="00E56A7A"/>
    <w:rsid w:val="00E75D3F"/>
    <w:rsid w:val="00E86D23"/>
    <w:rsid w:val="00EA7672"/>
    <w:rsid w:val="00EB3C46"/>
    <w:rsid w:val="00EE0CF7"/>
    <w:rsid w:val="00EE58BF"/>
    <w:rsid w:val="00F147FD"/>
    <w:rsid w:val="00F271D6"/>
    <w:rsid w:val="00F552E9"/>
    <w:rsid w:val="00F5763E"/>
    <w:rsid w:val="00F60BF2"/>
    <w:rsid w:val="00F62A59"/>
    <w:rsid w:val="00F81F31"/>
    <w:rsid w:val="00FB5CFE"/>
    <w:rsid w:val="00FD4A3C"/>
    <w:rsid w:val="00FF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 Bullet 2" w:qFormat="1"/>
    <w:lsdException w:name="List Bullet 3" w:qFormat="1"/>
    <w:lsdException w:name="List Bullet 4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A013AF"/>
    <w:pPr>
      <w:spacing w:after="120" w:line="240" w:lineRule="auto"/>
    </w:pPr>
    <w:rPr>
      <w:rFonts w:ascii="Calibri" w:eastAsia="Calibri" w:hAnsi="Calibri" w:cs="Calibri"/>
      <w:w w:val="105"/>
      <w:kern w:val="40"/>
    </w:rPr>
  </w:style>
  <w:style w:type="paragraph" w:styleId="Heading1">
    <w:name w:val="heading 1"/>
    <w:aliases w:val="Policy Name"/>
    <w:basedOn w:val="Normal"/>
    <w:next w:val="Normal"/>
    <w:link w:val="Heading1Char"/>
    <w:uiPriority w:val="9"/>
    <w:qFormat/>
    <w:rsid w:val="00B12627"/>
    <w:pPr>
      <w:keepNext/>
      <w:spacing w:after="0"/>
      <w:outlineLvl w:val="0"/>
    </w:pPr>
    <w:rPr>
      <w:rFonts w:eastAsia="SimSun" w:cs="Angsana New"/>
      <w:b/>
      <w:bCs/>
      <w:color w:val="404040"/>
      <w:kern w:val="32"/>
      <w:sz w:val="52"/>
      <w:szCs w:val="52"/>
    </w:rPr>
  </w:style>
  <w:style w:type="paragraph" w:styleId="Heading2">
    <w:name w:val="heading 2"/>
    <w:aliases w:val="Content Heading 1 Section name"/>
    <w:basedOn w:val="Normal"/>
    <w:next w:val="Normal"/>
    <w:link w:val="Heading2Char"/>
    <w:uiPriority w:val="9"/>
    <w:unhideWhenUsed/>
    <w:qFormat/>
    <w:rsid w:val="00B12627"/>
    <w:pPr>
      <w:keepNext/>
      <w:numPr>
        <w:numId w:val="3"/>
      </w:numPr>
      <w:spacing w:before="240" w:after="60"/>
      <w:outlineLvl w:val="1"/>
    </w:pPr>
    <w:rPr>
      <w:rFonts w:eastAsia="SimSun" w:cs="Angsana New"/>
      <w:b/>
      <w:bCs/>
      <w:iCs/>
      <w:color w:val="463A70"/>
      <w:sz w:val="40"/>
      <w:szCs w:val="48"/>
    </w:rPr>
  </w:style>
  <w:style w:type="paragraph" w:styleId="Heading3">
    <w:name w:val="heading 3"/>
    <w:aliases w:val="Content Heading 2"/>
    <w:basedOn w:val="Normal"/>
    <w:next w:val="Normal"/>
    <w:link w:val="Heading3Char"/>
    <w:uiPriority w:val="9"/>
    <w:unhideWhenUsed/>
    <w:qFormat/>
    <w:rsid w:val="00116E26"/>
    <w:pPr>
      <w:keepNext/>
      <w:numPr>
        <w:ilvl w:val="1"/>
        <w:numId w:val="3"/>
      </w:numPr>
      <w:spacing w:before="240" w:after="60"/>
      <w:outlineLvl w:val="2"/>
    </w:pPr>
    <w:rPr>
      <w:rFonts w:eastAsia="SimSun" w:cs="Angsana New"/>
      <w:b/>
      <w:bCs/>
      <w:color w:val="404040"/>
      <w:sz w:val="32"/>
      <w:szCs w:val="32"/>
    </w:rPr>
  </w:style>
  <w:style w:type="paragraph" w:styleId="Heading4">
    <w:name w:val="heading 4"/>
    <w:aliases w:val="Content Heading 3 Sub-heading"/>
    <w:basedOn w:val="Heading3"/>
    <w:next w:val="Normal"/>
    <w:link w:val="Heading4Char"/>
    <w:uiPriority w:val="9"/>
    <w:unhideWhenUsed/>
    <w:qFormat/>
    <w:rsid w:val="00B12627"/>
    <w:pPr>
      <w:numPr>
        <w:ilvl w:val="2"/>
      </w:numPr>
      <w:outlineLvl w:val="3"/>
    </w:pPr>
    <w:rPr>
      <w:color w:val="595959" w:themeColor="text1" w:themeTint="A6"/>
      <w:sz w:val="26"/>
      <w:szCs w:val="26"/>
    </w:rPr>
  </w:style>
  <w:style w:type="paragraph" w:styleId="Heading5">
    <w:name w:val="heading 5"/>
    <w:aliases w:val="Content heading 4 Minor heading"/>
    <w:basedOn w:val="Normal"/>
    <w:next w:val="Normal"/>
    <w:link w:val="Heading5Char"/>
    <w:uiPriority w:val="9"/>
    <w:unhideWhenUsed/>
    <w:qFormat/>
    <w:rsid w:val="00FD4A3C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inorHAnsi" w:eastAsiaTheme="majorEastAsia" w:hAnsiTheme="min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B12627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2627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2627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2627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070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D070A"/>
  </w:style>
  <w:style w:type="paragraph" w:styleId="Footer">
    <w:name w:val="footer"/>
    <w:basedOn w:val="Normal"/>
    <w:link w:val="FooterChar"/>
    <w:uiPriority w:val="99"/>
    <w:unhideWhenUsed/>
    <w:qFormat/>
    <w:rsid w:val="007D070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D070A"/>
  </w:style>
  <w:style w:type="character" w:customStyle="1" w:styleId="Heading1Char">
    <w:name w:val="Heading 1 Char"/>
    <w:aliases w:val="Policy Name Char"/>
    <w:basedOn w:val="DefaultParagraphFont"/>
    <w:link w:val="Heading1"/>
    <w:uiPriority w:val="9"/>
    <w:rsid w:val="00B12627"/>
    <w:rPr>
      <w:rFonts w:ascii="Calibri" w:eastAsia="SimSun" w:hAnsi="Calibri" w:cs="Angsana New"/>
      <w:b/>
      <w:bCs/>
      <w:color w:val="404040"/>
      <w:w w:val="105"/>
      <w:kern w:val="32"/>
      <w:sz w:val="52"/>
      <w:szCs w:val="52"/>
    </w:rPr>
  </w:style>
  <w:style w:type="character" w:customStyle="1" w:styleId="Heading2Char">
    <w:name w:val="Heading 2 Char"/>
    <w:aliases w:val="Content Heading 1 Section name Char"/>
    <w:basedOn w:val="DefaultParagraphFont"/>
    <w:link w:val="Heading2"/>
    <w:uiPriority w:val="9"/>
    <w:rsid w:val="00B12627"/>
    <w:rPr>
      <w:rFonts w:ascii="Calibri" w:eastAsia="SimSun" w:hAnsi="Calibri" w:cs="Angsana New"/>
      <w:b/>
      <w:bCs/>
      <w:iCs/>
      <w:color w:val="463A70"/>
      <w:w w:val="105"/>
      <w:kern w:val="40"/>
      <w:sz w:val="40"/>
      <w:szCs w:val="48"/>
    </w:rPr>
  </w:style>
  <w:style w:type="character" w:customStyle="1" w:styleId="Heading3Char">
    <w:name w:val="Heading 3 Char"/>
    <w:aliases w:val="Content Heading 2 Char"/>
    <w:basedOn w:val="DefaultParagraphFont"/>
    <w:link w:val="Heading3"/>
    <w:uiPriority w:val="9"/>
    <w:rsid w:val="00116E26"/>
    <w:rPr>
      <w:rFonts w:ascii="Calibri" w:eastAsia="SimSun" w:hAnsi="Calibri" w:cs="Angsana New"/>
      <w:b/>
      <w:bCs/>
      <w:color w:val="404040"/>
      <w:w w:val="105"/>
      <w:kern w:val="40"/>
      <w:sz w:val="32"/>
      <w:szCs w:val="32"/>
    </w:rPr>
  </w:style>
  <w:style w:type="character" w:customStyle="1" w:styleId="Heading4Char">
    <w:name w:val="Heading 4 Char"/>
    <w:aliases w:val="Content Heading 3 Sub-heading Char"/>
    <w:basedOn w:val="DefaultParagraphFont"/>
    <w:link w:val="Heading4"/>
    <w:uiPriority w:val="9"/>
    <w:rsid w:val="00B12627"/>
    <w:rPr>
      <w:rFonts w:ascii="Calibri" w:eastAsia="SimSun" w:hAnsi="Calibri" w:cs="Angsana New"/>
      <w:b/>
      <w:bCs/>
      <w:color w:val="595959" w:themeColor="text1" w:themeTint="A6"/>
      <w:w w:val="105"/>
      <w:kern w:val="40"/>
      <w:sz w:val="26"/>
      <w:szCs w:val="26"/>
    </w:rPr>
  </w:style>
  <w:style w:type="paragraph" w:styleId="Subtitle">
    <w:name w:val="Subtitle"/>
    <w:basedOn w:val="Title"/>
    <w:next w:val="Normal"/>
    <w:link w:val="SubtitleChar"/>
    <w:uiPriority w:val="11"/>
    <w:rsid w:val="007D070A"/>
    <w:pPr>
      <w:pBdr>
        <w:bottom w:val="none" w:sz="0" w:space="0" w:color="auto"/>
      </w:pBdr>
      <w:spacing w:before="240" w:after="60"/>
      <w:contextualSpacing w:val="0"/>
      <w:jc w:val="right"/>
      <w:outlineLvl w:val="0"/>
    </w:pPr>
    <w:rPr>
      <w:rFonts w:ascii="Calibri" w:eastAsia="SimSun" w:hAnsi="Calibri" w:cs="Angsana New"/>
      <w:b/>
      <w:bCs/>
      <w:noProof/>
      <w:color w:val="auto"/>
      <w:spacing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070A"/>
    <w:rPr>
      <w:rFonts w:ascii="Calibri" w:eastAsia="SimSun" w:hAnsi="Calibri" w:cs="Angsana New"/>
      <w:b/>
      <w:bCs/>
      <w:noProof/>
      <w:w w:val="105"/>
      <w:kern w:val="28"/>
      <w:sz w:val="28"/>
      <w:szCs w:val="28"/>
    </w:rPr>
  </w:style>
  <w:style w:type="paragraph" w:customStyle="1" w:styleId="Listbullet1">
    <w:name w:val="List bullet 1"/>
    <w:basedOn w:val="ListBullet2"/>
    <w:autoRedefine/>
    <w:qFormat/>
    <w:rsid w:val="00BC1D2F"/>
    <w:pPr>
      <w:numPr>
        <w:numId w:val="1"/>
      </w:numPr>
    </w:pPr>
  </w:style>
  <w:style w:type="paragraph" w:styleId="ListBullet2">
    <w:name w:val="List Bullet 2"/>
    <w:basedOn w:val="ListBullet"/>
    <w:autoRedefine/>
    <w:uiPriority w:val="99"/>
    <w:unhideWhenUsed/>
    <w:qFormat/>
    <w:rsid w:val="00BC1D2F"/>
    <w:pPr>
      <w:numPr>
        <w:numId w:val="7"/>
      </w:numPr>
      <w:contextualSpacing w:val="0"/>
    </w:pPr>
  </w:style>
  <w:style w:type="paragraph" w:styleId="ListBullet">
    <w:name w:val="List Bullet"/>
    <w:aliases w:val="List Bullet 1"/>
    <w:basedOn w:val="Normal"/>
    <w:uiPriority w:val="99"/>
    <w:unhideWhenUsed/>
    <w:rsid w:val="007D070A"/>
    <w:pPr>
      <w:contextualSpacing/>
    </w:pPr>
  </w:style>
  <w:style w:type="paragraph" w:styleId="Title">
    <w:name w:val="Title"/>
    <w:basedOn w:val="Normal"/>
    <w:next w:val="Normal"/>
    <w:link w:val="TitleChar"/>
    <w:uiPriority w:val="10"/>
    <w:rsid w:val="007D070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D070A"/>
    <w:rPr>
      <w:rFonts w:asciiTheme="majorHAnsi" w:eastAsiaTheme="majorEastAsia" w:hAnsiTheme="majorHAnsi" w:cstheme="majorBidi"/>
      <w:color w:val="17365D" w:themeColor="text2" w:themeShade="BF"/>
      <w:spacing w:val="5"/>
      <w:w w:val="10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66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668"/>
    <w:rPr>
      <w:rFonts w:ascii="Tahoma" w:eastAsia="Calibri" w:hAnsi="Tahoma" w:cs="Tahoma"/>
      <w:w w:val="105"/>
      <w:kern w:val="40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361D3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HAnsi" w:hAnsi="Times New Roman" w:cs="Times New Roman"/>
      <w:color w:val="000000"/>
      <w:w w:val="100"/>
      <w:kern w:val="0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A01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A01CB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A01CB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List2-Accent4">
    <w:name w:val="Medium List 2 Accent 4"/>
    <w:basedOn w:val="TableNormal"/>
    <w:uiPriority w:val="66"/>
    <w:rsid w:val="00A01CB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4">
    <w:name w:val="Light Shading Accent 4"/>
    <w:basedOn w:val="TableNormal"/>
    <w:uiPriority w:val="60"/>
    <w:rsid w:val="00A01CB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numbering" w:customStyle="1" w:styleId="Style1">
    <w:name w:val="Style1"/>
    <w:uiPriority w:val="99"/>
    <w:rsid w:val="00494ED2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qFormat/>
    <w:rsid w:val="00C166C3"/>
    <w:pPr>
      <w:numPr>
        <w:numId w:val="8"/>
      </w:numPr>
    </w:pPr>
  </w:style>
  <w:style w:type="paragraph" w:styleId="ListBullet4">
    <w:name w:val="List Bullet 4"/>
    <w:basedOn w:val="Normal"/>
    <w:uiPriority w:val="99"/>
    <w:unhideWhenUsed/>
    <w:qFormat/>
    <w:rsid w:val="00C166C3"/>
    <w:pPr>
      <w:numPr>
        <w:numId w:val="9"/>
      </w:numPr>
    </w:pPr>
  </w:style>
  <w:style w:type="character" w:customStyle="1" w:styleId="Heading5Char">
    <w:name w:val="Heading 5 Char"/>
    <w:aliases w:val="Content heading 4 Minor heading Char"/>
    <w:basedOn w:val="DefaultParagraphFont"/>
    <w:link w:val="Heading5"/>
    <w:uiPriority w:val="9"/>
    <w:rsid w:val="00FD4A3C"/>
    <w:rPr>
      <w:rFonts w:eastAsiaTheme="majorEastAsia" w:cstheme="majorBidi"/>
      <w:color w:val="243F60" w:themeColor="accent1" w:themeShade="7F"/>
      <w:w w:val="105"/>
      <w:kern w:val="4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2627"/>
    <w:rPr>
      <w:rFonts w:asciiTheme="majorHAnsi" w:eastAsiaTheme="majorEastAsia" w:hAnsiTheme="majorHAnsi" w:cstheme="majorBidi"/>
      <w:i/>
      <w:iCs/>
      <w:color w:val="243F60" w:themeColor="accent1" w:themeShade="7F"/>
      <w:w w:val="105"/>
      <w:kern w:val="4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2627"/>
    <w:rPr>
      <w:rFonts w:asciiTheme="majorHAnsi" w:eastAsiaTheme="majorEastAsia" w:hAnsiTheme="majorHAnsi" w:cstheme="majorBidi"/>
      <w:i/>
      <w:iCs/>
      <w:color w:val="404040" w:themeColor="text1" w:themeTint="BF"/>
      <w:w w:val="105"/>
      <w:kern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2627"/>
    <w:rPr>
      <w:rFonts w:asciiTheme="majorHAnsi" w:eastAsiaTheme="majorEastAsia" w:hAnsiTheme="majorHAnsi" w:cstheme="majorBidi"/>
      <w:color w:val="404040" w:themeColor="text1" w:themeTint="BF"/>
      <w:w w:val="105"/>
      <w:kern w:val="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2627"/>
    <w:rPr>
      <w:rFonts w:asciiTheme="majorHAnsi" w:eastAsiaTheme="majorEastAsia" w:hAnsiTheme="majorHAnsi" w:cstheme="majorBidi"/>
      <w:i/>
      <w:iCs/>
      <w:color w:val="404040" w:themeColor="text1" w:themeTint="BF"/>
      <w:w w:val="105"/>
      <w:kern w:val="40"/>
      <w:sz w:val="20"/>
      <w:szCs w:val="20"/>
    </w:rPr>
  </w:style>
  <w:style w:type="paragraph" w:styleId="Quote">
    <w:name w:val="Quote"/>
    <w:basedOn w:val="Listbullet1"/>
    <w:next w:val="Normal"/>
    <w:link w:val="QuoteChar"/>
    <w:uiPriority w:val="29"/>
    <w:rsid w:val="00B12627"/>
    <w:pPr>
      <w:numPr>
        <w:numId w:val="0"/>
      </w:numPr>
      <w:ind w:left="864"/>
    </w:pPr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B12627"/>
    <w:rPr>
      <w:rFonts w:ascii="Calibri" w:eastAsia="Calibri" w:hAnsi="Calibri" w:cs="Calibri"/>
      <w:i/>
      <w:w w:val="105"/>
      <w:kern w:val="40"/>
    </w:rPr>
  </w:style>
  <w:style w:type="paragraph" w:styleId="IntenseQuote">
    <w:name w:val="Intense Quote"/>
    <w:basedOn w:val="Normal"/>
    <w:next w:val="Normal"/>
    <w:link w:val="IntenseQuoteChar"/>
    <w:uiPriority w:val="30"/>
    <w:rsid w:val="00DA5924"/>
    <w:pPr>
      <w:spacing w:after="0"/>
      <w:ind w:left="936" w:right="936"/>
      <w:contextualSpacing/>
    </w:pPr>
    <w:rPr>
      <w:b/>
      <w:bCs/>
      <w:i/>
      <w:iCs/>
      <w:color w:val="463A7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5924"/>
    <w:rPr>
      <w:rFonts w:ascii="Calibri" w:eastAsia="Calibri" w:hAnsi="Calibri" w:cs="Calibri"/>
      <w:b/>
      <w:bCs/>
      <w:i/>
      <w:iCs/>
      <w:color w:val="463A70"/>
      <w:w w:val="105"/>
      <w:kern w:val="40"/>
    </w:rPr>
  </w:style>
  <w:style w:type="paragraph" w:styleId="Caption">
    <w:name w:val="caption"/>
    <w:basedOn w:val="Normal"/>
    <w:next w:val="Normal"/>
    <w:uiPriority w:val="35"/>
    <w:unhideWhenUsed/>
    <w:qFormat/>
    <w:rsid w:val="00C166C3"/>
    <w:pPr>
      <w:keepNext/>
      <w:spacing w:before="120" w:after="0"/>
    </w:pPr>
    <w:rPr>
      <w:b/>
      <w:bCs/>
      <w:color w:val="463A70"/>
      <w:sz w:val="18"/>
      <w:szCs w:val="18"/>
    </w:rPr>
  </w:style>
  <w:style w:type="character" w:styleId="Strong">
    <w:name w:val="Strong"/>
    <w:aliases w:val="Table column-row heading"/>
    <w:uiPriority w:val="22"/>
    <w:qFormat/>
    <w:rsid w:val="00D61220"/>
    <w:rPr>
      <w:b/>
      <w:color w:val="000000" w:themeColor="text1"/>
      <w:sz w:val="20"/>
    </w:rPr>
  </w:style>
  <w:style w:type="paragraph" w:customStyle="1" w:styleId="Tablebody">
    <w:name w:val="Table body"/>
    <w:basedOn w:val="Normal"/>
    <w:qFormat/>
    <w:rsid w:val="00D61220"/>
    <w:pPr>
      <w:spacing w:after="0"/>
    </w:pPr>
    <w:rPr>
      <w:bCs/>
      <w:color w:val="000000" w:themeColor="text1"/>
      <w:sz w:val="20"/>
    </w:rPr>
  </w:style>
  <w:style w:type="paragraph" w:customStyle="1" w:styleId="Tablebodybullet1">
    <w:name w:val="Table body bullet 1"/>
    <w:basedOn w:val="Tablebody"/>
    <w:qFormat/>
    <w:rsid w:val="00A742F1"/>
    <w:pPr>
      <w:numPr>
        <w:numId w:val="4"/>
      </w:numPr>
    </w:pPr>
    <w:rPr>
      <w:bCs w:val="0"/>
    </w:rPr>
  </w:style>
  <w:style w:type="paragraph" w:customStyle="1" w:styleId="Tablebodybullet2">
    <w:name w:val="Table body bullet 2"/>
    <w:basedOn w:val="Tablebodybullet1"/>
    <w:qFormat/>
    <w:rsid w:val="00A742F1"/>
    <w:pPr>
      <w:numPr>
        <w:numId w:val="5"/>
      </w:numPr>
    </w:pPr>
  </w:style>
  <w:style w:type="paragraph" w:customStyle="1" w:styleId="Tablebodybullet3">
    <w:name w:val="Table body bullet 3"/>
    <w:basedOn w:val="Tablebodybullet2"/>
    <w:qFormat/>
    <w:rsid w:val="00A742F1"/>
    <w:pPr>
      <w:numPr>
        <w:ilvl w:val="1"/>
      </w:numPr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16E26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6E26"/>
    <w:rPr>
      <w:rFonts w:ascii="Calibri" w:eastAsia="Calibri" w:hAnsi="Calibri" w:cs="Calibri"/>
      <w:w w:val="105"/>
      <w:kern w:val="4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6E26"/>
    <w:rPr>
      <w:vertAlign w:val="superscript"/>
    </w:rPr>
  </w:style>
  <w:style w:type="paragraph" w:customStyle="1" w:styleId="Footnote">
    <w:name w:val="Footnote"/>
    <w:basedOn w:val="FootnoteText"/>
    <w:qFormat/>
    <w:rsid w:val="005B028C"/>
    <w:rPr>
      <w:w w:val="100"/>
      <w:kern w:val="0"/>
    </w:rPr>
  </w:style>
  <w:style w:type="paragraph" w:customStyle="1" w:styleId="Basictext">
    <w:name w:val="Basic text"/>
    <w:basedOn w:val="Tablebody"/>
    <w:rsid w:val="00EE0CF7"/>
    <w:rPr>
      <w:vertAlign w:val="superscript"/>
    </w:rPr>
  </w:style>
  <w:style w:type="character" w:styleId="Hyperlink">
    <w:name w:val="Hyperlink"/>
    <w:basedOn w:val="DefaultParagraphFont"/>
    <w:uiPriority w:val="99"/>
    <w:unhideWhenUsed/>
    <w:qFormat/>
    <w:rsid w:val="00EE0CF7"/>
    <w:rPr>
      <w:color w:val="0000FF" w:themeColor="hyperlink"/>
      <w:u w:val="single"/>
    </w:rPr>
  </w:style>
  <w:style w:type="paragraph" w:customStyle="1" w:styleId="requirementcrossreference">
    <w:name w:val="requirement cross reference"/>
    <w:basedOn w:val="Listbullet1"/>
    <w:qFormat/>
    <w:rsid w:val="00FB5CFE"/>
    <w:rPr>
      <w:b/>
    </w:rPr>
  </w:style>
  <w:style w:type="paragraph" w:customStyle="1" w:styleId="Figuretext">
    <w:name w:val="Figure text"/>
    <w:basedOn w:val="Normal"/>
    <w:qFormat/>
    <w:rsid w:val="00E127AD"/>
    <w:pPr>
      <w:spacing w:after="0"/>
      <w:jc w:val="center"/>
    </w:pPr>
    <w:rPr>
      <w:bCs/>
      <w:color w:val="5F497A" w:themeColor="accent4" w:themeShade="BF"/>
      <w:sz w:val="20"/>
      <w:szCs w:val="20"/>
    </w:rPr>
  </w:style>
  <w:style w:type="paragraph" w:customStyle="1" w:styleId="Casestudytitle">
    <w:name w:val="Case study title"/>
    <w:basedOn w:val="Figuretext"/>
    <w:rsid w:val="00E127AD"/>
    <w:pPr>
      <w:keepNext/>
      <w:jc w:val="left"/>
    </w:pPr>
    <w:rPr>
      <w:b/>
    </w:rPr>
  </w:style>
  <w:style w:type="paragraph" w:customStyle="1" w:styleId="Casestudytext">
    <w:name w:val="Case study text"/>
    <w:basedOn w:val="Figuretext"/>
    <w:rsid w:val="00E127AD"/>
    <w:pPr>
      <w:pBdr>
        <w:top w:val="single" w:sz="12" w:space="1" w:color="463A70"/>
        <w:left w:val="single" w:sz="12" w:space="4" w:color="463A70"/>
        <w:bottom w:val="single" w:sz="12" w:space="1" w:color="463A70"/>
        <w:right w:val="single" w:sz="12" w:space="4" w:color="463A70"/>
      </w:pBdr>
      <w:spacing w:after="240"/>
      <w:jc w:val="left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32AA3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32AA3"/>
    <w:rPr>
      <w:rFonts w:ascii="Calibri" w:eastAsia="Calibri" w:hAnsi="Calibri" w:cs="Calibri"/>
      <w:w w:val="105"/>
      <w:kern w:val="4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32AA3"/>
    <w:rPr>
      <w:vertAlign w:val="superscript"/>
    </w:rPr>
  </w:style>
  <w:style w:type="paragraph" w:customStyle="1" w:styleId="Tablenotes">
    <w:name w:val="Table notes"/>
    <w:basedOn w:val="EndnoteText"/>
    <w:rsid w:val="00032AA3"/>
    <w:rPr>
      <w:color w:val="463A70"/>
    </w:rPr>
  </w:style>
  <w:style w:type="paragraph" w:customStyle="1" w:styleId="Annexheading">
    <w:name w:val="Annex heading"/>
    <w:basedOn w:val="Heading2"/>
    <w:rsid w:val="006C4952"/>
    <w:pPr>
      <w:numPr>
        <w:numId w:val="0"/>
      </w:numPr>
      <w:ind w:left="432" w:hanging="432"/>
    </w:pPr>
  </w:style>
  <w:style w:type="paragraph" w:customStyle="1" w:styleId="Annextext">
    <w:name w:val="Annex text"/>
    <w:basedOn w:val="Listbullet1"/>
    <w:rsid w:val="006C4952"/>
    <w:pPr>
      <w:numPr>
        <w:numId w:val="0"/>
      </w:numPr>
    </w:pPr>
  </w:style>
  <w:style w:type="paragraph" w:customStyle="1" w:styleId="intensequotenumbered">
    <w:name w:val="intense quote numbered"/>
    <w:basedOn w:val="IntenseQuote"/>
    <w:rsid w:val="00AF0947"/>
    <w:pPr>
      <w:numPr>
        <w:numId w:val="6"/>
      </w:numPr>
    </w:pPr>
  </w:style>
  <w:style w:type="paragraph" w:styleId="PlainText">
    <w:name w:val="Plain Text"/>
    <w:basedOn w:val="Normal"/>
    <w:link w:val="PlainTextChar"/>
    <w:uiPriority w:val="99"/>
    <w:semiHidden/>
    <w:unhideWhenUsed/>
    <w:rsid w:val="00E86D23"/>
    <w:pPr>
      <w:spacing w:after="0"/>
    </w:pPr>
    <w:rPr>
      <w:rFonts w:eastAsiaTheme="minorHAnsi" w:cs="Times New Roman"/>
      <w:w w:val="100"/>
      <w:kern w:val="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86D23"/>
    <w:rPr>
      <w:rFonts w:ascii="Calibri" w:hAnsi="Calibri" w:cs="Times New Roman"/>
    </w:rPr>
  </w:style>
  <w:style w:type="character" w:customStyle="1" w:styleId="ListParagraphChar">
    <w:name w:val="List Paragraph Char"/>
    <w:aliases w:val="List Paragraph1 Char,List Paragraph11 Char,Bullet point Char,NFP GP Bulleted List Char,L Char,bullet point list Char,1 heading Char,Bulleted Para Char,Bullet points Char,Content descriptions Char,Bullet Point Char,NAST Quote Char"/>
    <w:basedOn w:val="DefaultParagraphFont"/>
    <w:link w:val="ListParagraph"/>
    <w:uiPriority w:val="34"/>
    <w:locked/>
    <w:rsid w:val="00E86D23"/>
    <w:rPr>
      <w:rFonts w:ascii="Calibri" w:hAnsi="Calibri"/>
    </w:rPr>
  </w:style>
  <w:style w:type="paragraph" w:styleId="ListParagraph">
    <w:name w:val="List Paragraph"/>
    <w:aliases w:val="List Paragraph1,List Paragraph11,Bullet point,NFP GP Bulleted List,L,bullet point list,1 heading,Bulleted Para,Bullet points,Content descriptions,Bullet Point,NAST Quote,FooterText,numbered,Paragraphe de liste1,列出段落,列出段落1"/>
    <w:basedOn w:val="Normal"/>
    <w:link w:val="ListParagraphChar"/>
    <w:uiPriority w:val="34"/>
    <w:qFormat/>
    <w:rsid w:val="00E86D23"/>
    <w:pPr>
      <w:spacing w:after="0"/>
      <w:ind w:left="720"/>
    </w:pPr>
    <w:rPr>
      <w:rFonts w:eastAsiaTheme="minorHAnsi" w:cstheme="minorBidi"/>
      <w:w w:val="100"/>
      <w:kern w:val="0"/>
    </w:rPr>
  </w:style>
  <w:style w:type="paragraph" w:customStyle="1" w:styleId="Numberedlevel2">
    <w:name w:val="Numbered level 2"/>
    <w:basedOn w:val="Normal"/>
    <w:link w:val="Numberedlevel2Char"/>
    <w:qFormat/>
    <w:rsid w:val="006B1B91"/>
    <w:pPr>
      <w:tabs>
        <w:tab w:val="left" w:pos="851"/>
      </w:tabs>
      <w:spacing w:before="120"/>
      <w:contextualSpacing/>
    </w:pPr>
    <w:rPr>
      <w:rFonts w:ascii="Arial Narrow" w:hAnsi="Arial Narrow" w:cstheme="minorHAnsi"/>
      <w:w w:val="100"/>
      <w:kern w:val="0"/>
      <w:sz w:val="20"/>
      <w:szCs w:val="20"/>
    </w:rPr>
  </w:style>
  <w:style w:type="character" w:customStyle="1" w:styleId="Numberedlevel2Char">
    <w:name w:val="Numbered level 2 Char"/>
    <w:basedOn w:val="DefaultParagraphFont"/>
    <w:link w:val="Numberedlevel2"/>
    <w:rsid w:val="006B1B91"/>
    <w:rPr>
      <w:rFonts w:ascii="Arial Narrow" w:eastAsia="Calibri" w:hAnsi="Arial Narrow" w:cstheme="minorHAns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2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5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581"/>
    <w:rPr>
      <w:rFonts w:ascii="Calibri" w:eastAsia="Calibri" w:hAnsi="Calibri" w:cs="Calibri"/>
      <w:w w:val="105"/>
      <w:kern w:val="4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 Bullet 2" w:qFormat="1"/>
    <w:lsdException w:name="List Bullet 3" w:qFormat="1"/>
    <w:lsdException w:name="List Bullet 4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A013AF"/>
    <w:pPr>
      <w:spacing w:after="120" w:line="240" w:lineRule="auto"/>
    </w:pPr>
    <w:rPr>
      <w:rFonts w:ascii="Calibri" w:eastAsia="Calibri" w:hAnsi="Calibri" w:cs="Calibri"/>
      <w:w w:val="105"/>
      <w:kern w:val="40"/>
    </w:rPr>
  </w:style>
  <w:style w:type="paragraph" w:styleId="Heading1">
    <w:name w:val="heading 1"/>
    <w:aliases w:val="Policy Name"/>
    <w:basedOn w:val="Normal"/>
    <w:next w:val="Normal"/>
    <w:link w:val="Heading1Char"/>
    <w:uiPriority w:val="9"/>
    <w:qFormat/>
    <w:rsid w:val="00B12627"/>
    <w:pPr>
      <w:keepNext/>
      <w:spacing w:after="0"/>
      <w:outlineLvl w:val="0"/>
    </w:pPr>
    <w:rPr>
      <w:rFonts w:eastAsia="SimSun" w:cs="Angsana New"/>
      <w:b/>
      <w:bCs/>
      <w:color w:val="404040"/>
      <w:kern w:val="32"/>
      <w:sz w:val="52"/>
      <w:szCs w:val="52"/>
    </w:rPr>
  </w:style>
  <w:style w:type="paragraph" w:styleId="Heading2">
    <w:name w:val="heading 2"/>
    <w:aliases w:val="Content Heading 1 Section name"/>
    <w:basedOn w:val="Normal"/>
    <w:next w:val="Normal"/>
    <w:link w:val="Heading2Char"/>
    <w:uiPriority w:val="9"/>
    <w:unhideWhenUsed/>
    <w:qFormat/>
    <w:rsid w:val="00B12627"/>
    <w:pPr>
      <w:keepNext/>
      <w:numPr>
        <w:numId w:val="3"/>
      </w:numPr>
      <w:spacing w:before="240" w:after="60"/>
      <w:outlineLvl w:val="1"/>
    </w:pPr>
    <w:rPr>
      <w:rFonts w:eastAsia="SimSun" w:cs="Angsana New"/>
      <w:b/>
      <w:bCs/>
      <w:iCs/>
      <w:color w:val="463A70"/>
      <w:sz w:val="40"/>
      <w:szCs w:val="48"/>
    </w:rPr>
  </w:style>
  <w:style w:type="paragraph" w:styleId="Heading3">
    <w:name w:val="heading 3"/>
    <w:aliases w:val="Content Heading 2"/>
    <w:basedOn w:val="Normal"/>
    <w:next w:val="Normal"/>
    <w:link w:val="Heading3Char"/>
    <w:uiPriority w:val="9"/>
    <w:unhideWhenUsed/>
    <w:qFormat/>
    <w:rsid w:val="00116E26"/>
    <w:pPr>
      <w:keepNext/>
      <w:numPr>
        <w:ilvl w:val="1"/>
        <w:numId w:val="3"/>
      </w:numPr>
      <w:spacing w:before="240" w:after="60"/>
      <w:outlineLvl w:val="2"/>
    </w:pPr>
    <w:rPr>
      <w:rFonts w:eastAsia="SimSun" w:cs="Angsana New"/>
      <w:b/>
      <w:bCs/>
      <w:color w:val="404040"/>
      <w:sz w:val="32"/>
      <w:szCs w:val="32"/>
    </w:rPr>
  </w:style>
  <w:style w:type="paragraph" w:styleId="Heading4">
    <w:name w:val="heading 4"/>
    <w:aliases w:val="Content Heading 3 Sub-heading"/>
    <w:basedOn w:val="Heading3"/>
    <w:next w:val="Normal"/>
    <w:link w:val="Heading4Char"/>
    <w:uiPriority w:val="9"/>
    <w:unhideWhenUsed/>
    <w:qFormat/>
    <w:rsid w:val="00B12627"/>
    <w:pPr>
      <w:numPr>
        <w:ilvl w:val="2"/>
      </w:numPr>
      <w:outlineLvl w:val="3"/>
    </w:pPr>
    <w:rPr>
      <w:color w:val="595959" w:themeColor="text1" w:themeTint="A6"/>
      <w:sz w:val="26"/>
      <w:szCs w:val="26"/>
    </w:rPr>
  </w:style>
  <w:style w:type="paragraph" w:styleId="Heading5">
    <w:name w:val="heading 5"/>
    <w:aliases w:val="Content heading 4 Minor heading"/>
    <w:basedOn w:val="Normal"/>
    <w:next w:val="Normal"/>
    <w:link w:val="Heading5Char"/>
    <w:uiPriority w:val="9"/>
    <w:unhideWhenUsed/>
    <w:qFormat/>
    <w:rsid w:val="00FD4A3C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inorHAnsi" w:eastAsiaTheme="majorEastAsia" w:hAnsiTheme="min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B12627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2627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2627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2627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070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D070A"/>
  </w:style>
  <w:style w:type="paragraph" w:styleId="Footer">
    <w:name w:val="footer"/>
    <w:basedOn w:val="Normal"/>
    <w:link w:val="FooterChar"/>
    <w:uiPriority w:val="99"/>
    <w:unhideWhenUsed/>
    <w:qFormat/>
    <w:rsid w:val="007D070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D070A"/>
  </w:style>
  <w:style w:type="character" w:customStyle="1" w:styleId="Heading1Char">
    <w:name w:val="Heading 1 Char"/>
    <w:aliases w:val="Policy Name Char"/>
    <w:basedOn w:val="DefaultParagraphFont"/>
    <w:link w:val="Heading1"/>
    <w:uiPriority w:val="9"/>
    <w:rsid w:val="00B12627"/>
    <w:rPr>
      <w:rFonts w:ascii="Calibri" w:eastAsia="SimSun" w:hAnsi="Calibri" w:cs="Angsana New"/>
      <w:b/>
      <w:bCs/>
      <w:color w:val="404040"/>
      <w:w w:val="105"/>
      <w:kern w:val="32"/>
      <w:sz w:val="52"/>
      <w:szCs w:val="52"/>
    </w:rPr>
  </w:style>
  <w:style w:type="character" w:customStyle="1" w:styleId="Heading2Char">
    <w:name w:val="Heading 2 Char"/>
    <w:aliases w:val="Content Heading 1 Section name Char"/>
    <w:basedOn w:val="DefaultParagraphFont"/>
    <w:link w:val="Heading2"/>
    <w:uiPriority w:val="9"/>
    <w:rsid w:val="00B12627"/>
    <w:rPr>
      <w:rFonts w:ascii="Calibri" w:eastAsia="SimSun" w:hAnsi="Calibri" w:cs="Angsana New"/>
      <w:b/>
      <w:bCs/>
      <w:iCs/>
      <w:color w:val="463A70"/>
      <w:w w:val="105"/>
      <w:kern w:val="40"/>
      <w:sz w:val="40"/>
      <w:szCs w:val="48"/>
    </w:rPr>
  </w:style>
  <w:style w:type="character" w:customStyle="1" w:styleId="Heading3Char">
    <w:name w:val="Heading 3 Char"/>
    <w:aliases w:val="Content Heading 2 Char"/>
    <w:basedOn w:val="DefaultParagraphFont"/>
    <w:link w:val="Heading3"/>
    <w:uiPriority w:val="9"/>
    <w:rsid w:val="00116E26"/>
    <w:rPr>
      <w:rFonts w:ascii="Calibri" w:eastAsia="SimSun" w:hAnsi="Calibri" w:cs="Angsana New"/>
      <w:b/>
      <w:bCs/>
      <w:color w:val="404040"/>
      <w:w w:val="105"/>
      <w:kern w:val="40"/>
      <w:sz w:val="32"/>
      <w:szCs w:val="32"/>
    </w:rPr>
  </w:style>
  <w:style w:type="character" w:customStyle="1" w:styleId="Heading4Char">
    <w:name w:val="Heading 4 Char"/>
    <w:aliases w:val="Content Heading 3 Sub-heading Char"/>
    <w:basedOn w:val="DefaultParagraphFont"/>
    <w:link w:val="Heading4"/>
    <w:uiPriority w:val="9"/>
    <w:rsid w:val="00B12627"/>
    <w:rPr>
      <w:rFonts w:ascii="Calibri" w:eastAsia="SimSun" w:hAnsi="Calibri" w:cs="Angsana New"/>
      <w:b/>
      <w:bCs/>
      <w:color w:val="595959" w:themeColor="text1" w:themeTint="A6"/>
      <w:w w:val="105"/>
      <w:kern w:val="40"/>
      <w:sz w:val="26"/>
      <w:szCs w:val="26"/>
    </w:rPr>
  </w:style>
  <w:style w:type="paragraph" w:styleId="Subtitle">
    <w:name w:val="Subtitle"/>
    <w:basedOn w:val="Title"/>
    <w:next w:val="Normal"/>
    <w:link w:val="SubtitleChar"/>
    <w:uiPriority w:val="11"/>
    <w:rsid w:val="007D070A"/>
    <w:pPr>
      <w:pBdr>
        <w:bottom w:val="none" w:sz="0" w:space="0" w:color="auto"/>
      </w:pBdr>
      <w:spacing w:before="240" w:after="60"/>
      <w:contextualSpacing w:val="0"/>
      <w:jc w:val="right"/>
      <w:outlineLvl w:val="0"/>
    </w:pPr>
    <w:rPr>
      <w:rFonts w:ascii="Calibri" w:eastAsia="SimSun" w:hAnsi="Calibri" w:cs="Angsana New"/>
      <w:b/>
      <w:bCs/>
      <w:noProof/>
      <w:color w:val="auto"/>
      <w:spacing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070A"/>
    <w:rPr>
      <w:rFonts w:ascii="Calibri" w:eastAsia="SimSun" w:hAnsi="Calibri" w:cs="Angsana New"/>
      <w:b/>
      <w:bCs/>
      <w:noProof/>
      <w:w w:val="105"/>
      <w:kern w:val="28"/>
      <w:sz w:val="28"/>
      <w:szCs w:val="28"/>
    </w:rPr>
  </w:style>
  <w:style w:type="paragraph" w:customStyle="1" w:styleId="Listbullet1">
    <w:name w:val="List bullet 1"/>
    <w:basedOn w:val="ListBullet2"/>
    <w:autoRedefine/>
    <w:qFormat/>
    <w:rsid w:val="00BC1D2F"/>
    <w:pPr>
      <w:numPr>
        <w:numId w:val="1"/>
      </w:numPr>
    </w:pPr>
  </w:style>
  <w:style w:type="paragraph" w:styleId="ListBullet2">
    <w:name w:val="List Bullet 2"/>
    <w:basedOn w:val="ListBullet"/>
    <w:autoRedefine/>
    <w:uiPriority w:val="99"/>
    <w:unhideWhenUsed/>
    <w:qFormat/>
    <w:rsid w:val="00BC1D2F"/>
    <w:pPr>
      <w:numPr>
        <w:numId w:val="7"/>
      </w:numPr>
      <w:contextualSpacing w:val="0"/>
    </w:pPr>
  </w:style>
  <w:style w:type="paragraph" w:styleId="ListBullet">
    <w:name w:val="List Bullet"/>
    <w:aliases w:val="List Bullet 1"/>
    <w:basedOn w:val="Normal"/>
    <w:uiPriority w:val="99"/>
    <w:unhideWhenUsed/>
    <w:rsid w:val="007D070A"/>
    <w:pPr>
      <w:contextualSpacing/>
    </w:pPr>
  </w:style>
  <w:style w:type="paragraph" w:styleId="Title">
    <w:name w:val="Title"/>
    <w:basedOn w:val="Normal"/>
    <w:next w:val="Normal"/>
    <w:link w:val="TitleChar"/>
    <w:uiPriority w:val="10"/>
    <w:rsid w:val="007D070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D070A"/>
    <w:rPr>
      <w:rFonts w:asciiTheme="majorHAnsi" w:eastAsiaTheme="majorEastAsia" w:hAnsiTheme="majorHAnsi" w:cstheme="majorBidi"/>
      <w:color w:val="17365D" w:themeColor="text2" w:themeShade="BF"/>
      <w:spacing w:val="5"/>
      <w:w w:val="10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66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668"/>
    <w:rPr>
      <w:rFonts w:ascii="Tahoma" w:eastAsia="Calibri" w:hAnsi="Tahoma" w:cs="Tahoma"/>
      <w:w w:val="105"/>
      <w:kern w:val="40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361D3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HAnsi" w:hAnsi="Times New Roman" w:cs="Times New Roman"/>
      <w:color w:val="000000"/>
      <w:w w:val="100"/>
      <w:kern w:val="0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A01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A01CB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A01CB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List2-Accent4">
    <w:name w:val="Medium List 2 Accent 4"/>
    <w:basedOn w:val="TableNormal"/>
    <w:uiPriority w:val="66"/>
    <w:rsid w:val="00A01CB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4">
    <w:name w:val="Light Shading Accent 4"/>
    <w:basedOn w:val="TableNormal"/>
    <w:uiPriority w:val="60"/>
    <w:rsid w:val="00A01CB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numbering" w:customStyle="1" w:styleId="Style1">
    <w:name w:val="Style1"/>
    <w:uiPriority w:val="99"/>
    <w:rsid w:val="00494ED2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qFormat/>
    <w:rsid w:val="00C166C3"/>
    <w:pPr>
      <w:numPr>
        <w:numId w:val="8"/>
      </w:numPr>
    </w:pPr>
  </w:style>
  <w:style w:type="paragraph" w:styleId="ListBullet4">
    <w:name w:val="List Bullet 4"/>
    <w:basedOn w:val="Normal"/>
    <w:uiPriority w:val="99"/>
    <w:unhideWhenUsed/>
    <w:qFormat/>
    <w:rsid w:val="00C166C3"/>
    <w:pPr>
      <w:numPr>
        <w:numId w:val="9"/>
      </w:numPr>
    </w:pPr>
  </w:style>
  <w:style w:type="character" w:customStyle="1" w:styleId="Heading5Char">
    <w:name w:val="Heading 5 Char"/>
    <w:aliases w:val="Content heading 4 Minor heading Char"/>
    <w:basedOn w:val="DefaultParagraphFont"/>
    <w:link w:val="Heading5"/>
    <w:uiPriority w:val="9"/>
    <w:rsid w:val="00FD4A3C"/>
    <w:rPr>
      <w:rFonts w:eastAsiaTheme="majorEastAsia" w:cstheme="majorBidi"/>
      <w:color w:val="243F60" w:themeColor="accent1" w:themeShade="7F"/>
      <w:w w:val="105"/>
      <w:kern w:val="4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2627"/>
    <w:rPr>
      <w:rFonts w:asciiTheme="majorHAnsi" w:eastAsiaTheme="majorEastAsia" w:hAnsiTheme="majorHAnsi" w:cstheme="majorBidi"/>
      <w:i/>
      <w:iCs/>
      <w:color w:val="243F60" w:themeColor="accent1" w:themeShade="7F"/>
      <w:w w:val="105"/>
      <w:kern w:val="4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2627"/>
    <w:rPr>
      <w:rFonts w:asciiTheme="majorHAnsi" w:eastAsiaTheme="majorEastAsia" w:hAnsiTheme="majorHAnsi" w:cstheme="majorBidi"/>
      <w:i/>
      <w:iCs/>
      <w:color w:val="404040" w:themeColor="text1" w:themeTint="BF"/>
      <w:w w:val="105"/>
      <w:kern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2627"/>
    <w:rPr>
      <w:rFonts w:asciiTheme="majorHAnsi" w:eastAsiaTheme="majorEastAsia" w:hAnsiTheme="majorHAnsi" w:cstheme="majorBidi"/>
      <w:color w:val="404040" w:themeColor="text1" w:themeTint="BF"/>
      <w:w w:val="105"/>
      <w:kern w:val="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2627"/>
    <w:rPr>
      <w:rFonts w:asciiTheme="majorHAnsi" w:eastAsiaTheme="majorEastAsia" w:hAnsiTheme="majorHAnsi" w:cstheme="majorBidi"/>
      <w:i/>
      <w:iCs/>
      <w:color w:val="404040" w:themeColor="text1" w:themeTint="BF"/>
      <w:w w:val="105"/>
      <w:kern w:val="40"/>
      <w:sz w:val="20"/>
      <w:szCs w:val="20"/>
    </w:rPr>
  </w:style>
  <w:style w:type="paragraph" w:styleId="Quote">
    <w:name w:val="Quote"/>
    <w:basedOn w:val="Listbullet1"/>
    <w:next w:val="Normal"/>
    <w:link w:val="QuoteChar"/>
    <w:uiPriority w:val="29"/>
    <w:rsid w:val="00B12627"/>
    <w:pPr>
      <w:numPr>
        <w:numId w:val="0"/>
      </w:numPr>
      <w:ind w:left="864"/>
    </w:pPr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B12627"/>
    <w:rPr>
      <w:rFonts w:ascii="Calibri" w:eastAsia="Calibri" w:hAnsi="Calibri" w:cs="Calibri"/>
      <w:i/>
      <w:w w:val="105"/>
      <w:kern w:val="40"/>
    </w:rPr>
  </w:style>
  <w:style w:type="paragraph" w:styleId="IntenseQuote">
    <w:name w:val="Intense Quote"/>
    <w:basedOn w:val="Normal"/>
    <w:next w:val="Normal"/>
    <w:link w:val="IntenseQuoteChar"/>
    <w:uiPriority w:val="30"/>
    <w:rsid w:val="00DA5924"/>
    <w:pPr>
      <w:spacing w:after="0"/>
      <w:ind w:left="936" w:right="936"/>
      <w:contextualSpacing/>
    </w:pPr>
    <w:rPr>
      <w:b/>
      <w:bCs/>
      <w:i/>
      <w:iCs/>
      <w:color w:val="463A7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5924"/>
    <w:rPr>
      <w:rFonts w:ascii="Calibri" w:eastAsia="Calibri" w:hAnsi="Calibri" w:cs="Calibri"/>
      <w:b/>
      <w:bCs/>
      <w:i/>
      <w:iCs/>
      <w:color w:val="463A70"/>
      <w:w w:val="105"/>
      <w:kern w:val="40"/>
    </w:rPr>
  </w:style>
  <w:style w:type="paragraph" w:styleId="Caption">
    <w:name w:val="caption"/>
    <w:basedOn w:val="Normal"/>
    <w:next w:val="Normal"/>
    <w:uiPriority w:val="35"/>
    <w:unhideWhenUsed/>
    <w:qFormat/>
    <w:rsid w:val="00C166C3"/>
    <w:pPr>
      <w:keepNext/>
      <w:spacing w:before="120" w:after="0"/>
    </w:pPr>
    <w:rPr>
      <w:b/>
      <w:bCs/>
      <w:color w:val="463A70"/>
      <w:sz w:val="18"/>
      <w:szCs w:val="18"/>
    </w:rPr>
  </w:style>
  <w:style w:type="character" w:styleId="Strong">
    <w:name w:val="Strong"/>
    <w:aliases w:val="Table column-row heading"/>
    <w:uiPriority w:val="22"/>
    <w:qFormat/>
    <w:rsid w:val="00D61220"/>
    <w:rPr>
      <w:b/>
      <w:color w:val="000000" w:themeColor="text1"/>
      <w:sz w:val="20"/>
    </w:rPr>
  </w:style>
  <w:style w:type="paragraph" w:customStyle="1" w:styleId="Tablebody">
    <w:name w:val="Table body"/>
    <w:basedOn w:val="Normal"/>
    <w:qFormat/>
    <w:rsid w:val="00D61220"/>
    <w:pPr>
      <w:spacing w:after="0"/>
    </w:pPr>
    <w:rPr>
      <w:bCs/>
      <w:color w:val="000000" w:themeColor="text1"/>
      <w:sz w:val="20"/>
    </w:rPr>
  </w:style>
  <w:style w:type="paragraph" w:customStyle="1" w:styleId="Tablebodybullet1">
    <w:name w:val="Table body bullet 1"/>
    <w:basedOn w:val="Tablebody"/>
    <w:qFormat/>
    <w:rsid w:val="00A742F1"/>
    <w:pPr>
      <w:numPr>
        <w:numId w:val="4"/>
      </w:numPr>
    </w:pPr>
    <w:rPr>
      <w:bCs w:val="0"/>
    </w:rPr>
  </w:style>
  <w:style w:type="paragraph" w:customStyle="1" w:styleId="Tablebodybullet2">
    <w:name w:val="Table body bullet 2"/>
    <w:basedOn w:val="Tablebodybullet1"/>
    <w:qFormat/>
    <w:rsid w:val="00A742F1"/>
    <w:pPr>
      <w:numPr>
        <w:numId w:val="5"/>
      </w:numPr>
    </w:pPr>
  </w:style>
  <w:style w:type="paragraph" w:customStyle="1" w:styleId="Tablebodybullet3">
    <w:name w:val="Table body bullet 3"/>
    <w:basedOn w:val="Tablebodybullet2"/>
    <w:qFormat/>
    <w:rsid w:val="00A742F1"/>
    <w:pPr>
      <w:numPr>
        <w:ilvl w:val="1"/>
      </w:numPr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16E26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6E26"/>
    <w:rPr>
      <w:rFonts w:ascii="Calibri" w:eastAsia="Calibri" w:hAnsi="Calibri" w:cs="Calibri"/>
      <w:w w:val="105"/>
      <w:kern w:val="4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6E26"/>
    <w:rPr>
      <w:vertAlign w:val="superscript"/>
    </w:rPr>
  </w:style>
  <w:style w:type="paragraph" w:customStyle="1" w:styleId="Footnote">
    <w:name w:val="Footnote"/>
    <w:basedOn w:val="FootnoteText"/>
    <w:qFormat/>
    <w:rsid w:val="005B028C"/>
    <w:rPr>
      <w:w w:val="100"/>
      <w:kern w:val="0"/>
    </w:rPr>
  </w:style>
  <w:style w:type="paragraph" w:customStyle="1" w:styleId="Basictext">
    <w:name w:val="Basic text"/>
    <w:basedOn w:val="Tablebody"/>
    <w:rsid w:val="00EE0CF7"/>
    <w:rPr>
      <w:vertAlign w:val="superscript"/>
    </w:rPr>
  </w:style>
  <w:style w:type="character" w:styleId="Hyperlink">
    <w:name w:val="Hyperlink"/>
    <w:basedOn w:val="DefaultParagraphFont"/>
    <w:uiPriority w:val="99"/>
    <w:unhideWhenUsed/>
    <w:qFormat/>
    <w:rsid w:val="00EE0CF7"/>
    <w:rPr>
      <w:color w:val="0000FF" w:themeColor="hyperlink"/>
      <w:u w:val="single"/>
    </w:rPr>
  </w:style>
  <w:style w:type="paragraph" w:customStyle="1" w:styleId="requirementcrossreference">
    <w:name w:val="requirement cross reference"/>
    <w:basedOn w:val="Listbullet1"/>
    <w:qFormat/>
    <w:rsid w:val="00FB5CFE"/>
    <w:rPr>
      <w:b/>
    </w:rPr>
  </w:style>
  <w:style w:type="paragraph" w:customStyle="1" w:styleId="Figuretext">
    <w:name w:val="Figure text"/>
    <w:basedOn w:val="Normal"/>
    <w:qFormat/>
    <w:rsid w:val="00E127AD"/>
    <w:pPr>
      <w:spacing w:after="0"/>
      <w:jc w:val="center"/>
    </w:pPr>
    <w:rPr>
      <w:bCs/>
      <w:color w:val="5F497A" w:themeColor="accent4" w:themeShade="BF"/>
      <w:sz w:val="20"/>
      <w:szCs w:val="20"/>
    </w:rPr>
  </w:style>
  <w:style w:type="paragraph" w:customStyle="1" w:styleId="Casestudytitle">
    <w:name w:val="Case study title"/>
    <w:basedOn w:val="Figuretext"/>
    <w:rsid w:val="00E127AD"/>
    <w:pPr>
      <w:keepNext/>
      <w:jc w:val="left"/>
    </w:pPr>
    <w:rPr>
      <w:b/>
    </w:rPr>
  </w:style>
  <w:style w:type="paragraph" w:customStyle="1" w:styleId="Casestudytext">
    <w:name w:val="Case study text"/>
    <w:basedOn w:val="Figuretext"/>
    <w:rsid w:val="00E127AD"/>
    <w:pPr>
      <w:pBdr>
        <w:top w:val="single" w:sz="12" w:space="1" w:color="463A70"/>
        <w:left w:val="single" w:sz="12" w:space="4" w:color="463A70"/>
        <w:bottom w:val="single" w:sz="12" w:space="1" w:color="463A70"/>
        <w:right w:val="single" w:sz="12" w:space="4" w:color="463A70"/>
      </w:pBdr>
      <w:spacing w:after="240"/>
      <w:jc w:val="left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32AA3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32AA3"/>
    <w:rPr>
      <w:rFonts w:ascii="Calibri" w:eastAsia="Calibri" w:hAnsi="Calibri" w:cs="Calibri"/>
      <w:w w:val="105"/>
      <w:kern w:val="4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32AA3"/>
    <w:rPr>
      <w:vertAlign w:val="superscript"/>
    </w:rPr>
  </w:style>
  <w:style w:type="paragraph" w:customStyle="1" w:styleId="Tablenotes">
    <w:name w:val="Table notes"/>
    <w:basedOn w:val="EndnoteText"/>
    <w:rsid w:val="00032AA3"/>
    <w:rPr>
      <w:color w:val="463A70"/>
    </w:rPr>
  </w:style>
  <w:style w:type="paragraph" w:customStyle="1" w:styleId="Annexheading">
    <w:name w:val="Annex heading"/>
    <w:basedOn w:val="Heading2"/>
    <w:rsid w:val="006C4952"/>
    <w:pPr>
      <w:numPr>
        <w:numId w:val="0"/>
      </w:numPr>
      <w:ind w:left="432" w:hanging="432"/>
    </w:pPr>
  </w:style>
  <w:style w:type="paragraph" w:customStyle="1" w:styleId="Annextext">
    <w:name w:val="Annex text"/>
    <w:basedOn w:val="Listbullet1"/>
    <w:rsid w:val="006C4952"/>
    <w:pPr>
      <w:numPr>
        <w:numId w:val="0"/>
      </w:numPr>
    </w:pPr>
  </w:style>
  <w:style w:type="paragraph" w:customStyle="1" w:styleId="intensequotenumbered">
    <w:name w:val="intense quote numbered"/>
    <w:basedOn w:val="IntenseQuote"/>
    <w:rsid w:val="00AF0947"/>
    <w:pPr>
      <w:numPr>
        <w:numId w:val="6"/>
      </w:numPr>
    </w:pPr>
  </w:style>
  <w:style w:type="paragraph" w:styleId="PlainText">
    <w:name w:val="Plain Text"/>
    <w:basedOn w:val="Normal"/>
    <w:link w:val="PlainTextChar"/>
    <w:uiPriority w:val="99"/>
    <w:semiHidden/>
    <w:unhideWhenUsed/>
    <w:rsid w:val="00E86D23"/>
    <w:pPr>
      <w:spacing w:after="0"/>
    </w:pPr>
    <w:rPr>
      <w:rFonts w:eastAsiaTheme="minorHAnsi" w:cs="Times New Roman"/>
      <w:w w:val="100"/>
      <w:kern w:val="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86D23"/>
    <w:rPr>
      <w:rFonts w:ascii="Calibri" w:hAnsi="Calibri" w:cs="Times New Roman"/>
    </w:rPr>
  </w:style>
  <w:style w:type="character" w:customStyle="1" w:styleId="ListParagraphChar">
    <w:name w:val="List Paragraph Char"/>
    <w:aliases w:val="List Paragraph1 Char,List Paragraph11 Char,Bullet point Char,NFP GP Bulleted List Char,L Char,bullet point list Char,1 heading Char,Bulleted Para Char,Bullet points Char,Content descriptions Char,Bullet Point Char,NAST Quote Char"/>
    <w:basedOn w:val="DefaultParagraphFont"/>
    <w:link w:val="ListParagraph"/>
    <w:uiPriority w:val="34"/>
    <w:locked/>
    <w:rsid w:val="00E86D23"/>
    <w:rPr>
      <w:rFonts w:ascii="Calibri" w:hAnsi="Calibri"/>
    </w:rPr>
  </w:style>
  <w:style w:type="paragraph" w:styleId="ListParagraph">
    <w:name w:val="List Paragraph"/>
    <w:aliases w:val="List Paragraph1,List Paragraph11,Bullet point,NFP GP Bulleted List,L,bullet point list,1 heading,Bulleted Para,Bullet points,Content descriptions,Bullet Point,NAST Quote,FooterText,numbered,Paragraphe de liste1,列出段落,列出段落1"/>
    <w:basedOn w:val="Normal"/>
    <w:link w:val="ListParagraphChar"/>
    <w:uiPriority w:val="34"/>
    <w:qFormat/>
    <w:rsid w:val="00E86D23"/>
    <w:pPr>
      <w:spacing w:after="0"/>
      <w:ind w:left="720"/>
    </w:pPr>
    <w:rPr>
      <w:rFonts w:eastAsiaTheme="minorHAnsi" w:cstheme="minorBidi"/>
      <w:w w:val="100"/>
      <w:kern w:val="0"/>
    </w:rPr>
  </w:style>
  <w:style w:type="paragraph" w:customStyle="1" w:styleId="Numberedlevel2">
    <w:name w:val="Numbered level 2"/>
    <w:basedOn w:val="Normal"/>
    <w:link w:val="Numberedlevel2Char"/>
    <w:qFormat/>
    <w:rsid w:val="006B1B91"/>
    <w:pPr>
      <w:tabs>
        <w:tab w:val="left" w:pos="851"/>
      </w:tabs>
      <w:spacing w:before="120"/>
      <w:contextualSpacing/>
    </w:pPr>
    <w:rPr>
      <w:rFonts w:ascii="Arial Narrow" w:hAnsi="Arial Narrow" w:cstheme="minorHAnsi"/>
      <w:w w:val="100"/>
      <w:kern w:val="0"/>
      <w:sz w:val="20"/>
      <w:szCs w:val="20"/>
    </w:rPr>
  </w:style>
  <w:style w:type="character" w:customStyle="1" w:styleId="Numberedlevel2Char">
    <w:name w:val="Numbered level 2 Char"/>
    <w:basedOn w:val="DefaultParagraphFont"/>
    <w:link w:val="Numberedlevel2"/>
    <w:rsid w:val="006B1B91"/>
    <w:rPr>
      <w:rFonts w:ascii="Arial Narrow" w:eastAsia="Calibri" w:hAnsi="Arial Narrow" w:cstheme="minorHAns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2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5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581"/>
    <w:rPr>
      <w:rFonts w:ascii="Calibri" w:eastAsia="Calibri" w:hAnsi="Calibri" w:cs="Calibri"/>
      <w:w w:val="105"/>
      <w:kern w:val="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25400">
          <a:solidFill>
            <a:srgbClr val="8064A2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A059C3C1A38E4C89BA7B7B86C9D948" ma:contentTypeVersion="1" ma:contentTypeDescription="Create a new document." ma:contentTypeScope="" ma:versionID="5b48ea201f6d13921c97c8660fdbe79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f9746fe128b0ca74698fd9d7c13d39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internalName="PublishingStartDate">
      <xsd:simpleType>
        <xsd:restriction base="dms:Unknown"/>
      </xsd:simpleType>
    </xsd:element>
    <xsd:element name="PublishingExpirationDate" ma:index="9" nillable="true" ma:displayName="Scheduling End Dat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7708B94-F707-4312-B355-B119734A3EBE}"/>
</file>

<file path=customXml/itemProps2.xml><?xml version="1.0" encoding="utf-8"?>
<ds:datastoreItem xmlns:ds="http://schemas.openxmlformats.org/officeDocument/2006/customXml" ds:itemID="{0D40C691-E8D5-4CD0-A161-3BD8D28ECEBC}"/>
</file>

<file path=customXml/itemProps3.xml><?xml version="1.0" encoding="utf-8"?>
<ds:datastoreItem xmlns:ds="http://schemas.openxmlformats.org/officeDocument/2006/customXml" ds:itemID="{69EE99D1-06BE-483C-BADE-CB03E7020B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858</Words>
  <Characters>5415</Characters>
  <Application>Microsoft Office Word</Application>
  <DocSecurity>0</DocSecurity>
  <Lines>159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PSPF fact sheet - Summary of key changes</dc:title>
  <dc:subject/>
  <dc:creator/>
  <cp:keywords/>
  <cp:lastModifiedBy/>
  <cp:revision>1</cp:revision>
  <dcterms:created xsi:type="dcterms:W3CDTF">2018-12-12T23:19:00Z</dcterms:created>
  <dcterms:modified xsi:type="dcterms:W3CDTF">2018-12-12T23:19:00Z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0x0101007EA059C3C1A38E4C89BA7B7B86C9D948</vt:lpwstr>
  </property>
  <property fmtid="{D5CDD505-2E9C-101B-9397-08002B2CF9AE}" pid="3" name="TemplateUrl">
    <vt:lpwstr/>
  </property>
  <property fmtid="{D5CDD505-2E9C-101B-9397-08002B2CF9AE}" pid="4" name="Order">
    <vt:r8>1900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</Properties>
</file>