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0A" w:rsidRPr="00B12627" w:rsidRDefault="00F156B4" w:rsidP="00B12627">
      <w:pPr>
        <w:pStyle w:val="Heading1"/>
      </w:pPr>
      <w:bookmarkStart w:id="0" w:name="_Ref513635588"/>
      <w:r>
        <w:t xml:space="preserve">4 </w:t>
      </w:r>
      <w:r w:rsidRPr="00F156B4">
        <w:t>Security maturity monitoring</w:t>
      </w:r>
      <w:bookmarkEnd w:id="0"/>
    </w:p>
    <w:p w:rsidR="007D070A" w:rsidRDefault="00F60BF2" w:rsidP="00B12627">
      <w:pPr>
        <w:pStyle w:val="Heading2"/>
      </w:pPr>
      <w:r>
        <w:t>Purpose</w:t>
      </w:r>
    </w:p>
    <w:p w:rsidR="00A05362" w:rsidRPr="00A013AF" w:rsidRDefault="00F156B4" w:rsidP="0053596B">
      <w:pPr>
        <w:pStyle w:val="Listbullet1"/>
      </w:pPr>
      <w:r>
        <w:t>This policy describes how an entity monitors and assesses the maturity of its security capability and risk culture. This includes an entity’s capability to actively respond to emerging threats and changes in its security environment, while maintaining the protection of its people, information and assets.</w:t>
      </w:r>
    </w:p>
    <w:p w:rsidR="00A05362" w:rsidRDefault="00F60BF2" w:rsidP="00A05362">
      <w:pPr>
        <w:pStyle w:val="Heading2"/>
      </w:pPr>
      <w:bookmarkStart w:id="1" w:name="_Requirements"/>
      <w:bookmarkEnd w:id="1"/>
      <w:r>
        <w:t>Requirements</w:t>
      </w:r>
    </w:p>
    <w:p w:rsidR="00A05362" w:rsidRDefault="004D0C20" w:rsidP="004D0C20">
      <w:pPr>
        <w:pStyle w:val="Heading3"/>
      </w:pPr>
      <w:r>
        <w:t>Core requirement</w:t>
      </w:r>
    </w:p>
    <w:p w:rsidR="00A05362" w:rsidRPr="00DA5924" w:rsidRDefault="00F156B4" w:rsidP="005F46FF">
      <w:pPr>
        <w:pStyle w:val="IntenseQuote"/>
        <w:spacing w:after="120"/>
      </w:pPr>
      <w:r w:rsidRPr="002C3D3E">
        <w:rPr>
          <w:rFonts w:cstheme="minorHAnsi"/>
          <w:szCs w:val="20"/>
        </w:rPr>
        <w:t>Each entity must assess the maturity of its security capability and risk culture by considering its progress against the goals and strategi</w:t>
      </w:r>
      <w:r>
        <w:rPr>
          <w:rFonts w:cstheme="minorHAnsi"/>
          <w:szCs w:val="20"/>
        </w:rPr>
        <w:t>c objectives identified in its</w:t>
      </w:r>
      <w:r w:rsidRPr="002C3D3E">
        <w:rPr>
          <w:rFonts w:cstheme="minorHAnsi"/>
          <w:szCs w:val="20"/>
        </w:rPr>
        <w:t xml:space="preserve"> security plan.</w:t>
      </w:r>
    </w:p>
    <w:p w:rsidR="004D0C20" w:rsidRDefault="004D0C20" w:rsidP="004D0C20">
      <w:pPr>
        <w:pStyle w:val="Heading3"/>
      </w:pPr>
      <w:r>
        <w:t>Supporting requirements</w:t>
      </w:r>
    </w:p>
    <w:p w:rsidR="00A05362" w:rsidRDefault="00F60BF2" w:rsidP="00FB5CFE">
      <w:pPr>
        <w:pStyle w:val="Caption"/>
      </w:pPr>
      <w:r>
        <w:t xml:space="preserve">Supporting requirements for </w:t>
      </w:r>
      <w:r w:rsidR="00F156B4">
        <w:t>security maturity monitoring</w:t>
      </w:r>
    </w:p>
    <w:tbl>
      <w:tblPr>
        <w:tblStyle w:val="LightShading-Accent4"/>
        <w:tblW w:w="0" w:type="auto"/>
        <w:jc w:val="center"/>
        <w:tblLook w:val="04A0" w:firstRow="1" w:lastRow="0" w:firstColumn="1" w:lastColumn="0" w:noHBand="0" w:noVBand="1"/>
        <w:tblCaption w:val="Supporting requirements for security maturity monitoring"/>
        <w:tblDescription w:val="This table has two columns. Column one identifies the requirement number and name. Column two describes the supporting requirement.&#10;&#10;There is one supporting requirement for security maturity monitoring.&#10;&#10;Requirement 1: Security maturity records&#10;Entities must document and evidence their assessment of the entity's security maturity."/>
      </w:tblPr>
      <w:tblGrid>
        <w:gridCol w:w="1644"/>
        <w:gridCol w:w="9038"/>
      </w:tblGrid>
      <w:tr w:rsidR="00FF1BD3" w:rsidTr="00F156B4">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44" w:type="dxa"/>
          </w:tcPr>
          <w:p w:rsidR="00FF1BD3" w:rsidRPr="00AF0947" w:rsidRDefault="005F46FF" w:rsidP="00F60BF2">
            <w:pPr>
              <w:spacing w:after="0"/>
              <w:rPr>
                <w:rStyle w:val="Strong"/>
                <w:b/>
              </w:rPr>
            </w:pPr>
            <w:r>
              <w:rPr>
                <w:rStyle w:val="Strong"/>
                <w:b/>
              </w:rPr>
              <w:t>#</w:t>
            </w:r>
          </w:p>
        </w:tc>
        <w:tc>
          <w:tcPr>
            <w:tcW w:w="9038" w:type="dxa"/>
          </w:tcPr>
          <w:p w:rsidR="00FF1BD3" w:rsidRPr="00F60BF2" w:rsidRDefault="005F46FF" w:rsidP="00F60BF2">
            <w:pPr>
              <w:spacing w:after="0"/>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Supporting requirements</w:t>
            </w:r>
          </w:p>
        </w:tc>
      </w:tr>
      <w:tr w:rsidR="00FF1BD3" w:rsidTr="00F156B4">
        <w:trPr>
          <w:cnfStyle w:val="000000100000" w:firstRow="0" w:lastRow="0" w:firstColumn="0" w:lastColumn="0" w:oddVBand="0" w:evenVBand="0" w:oddHBand="1" w:evenHBand="0" w:firstRowFirstColumn="0" w:firstRowLastColumn="0" w:lastRowFirstColumn="0" w:lastRowLastColumn="0"/>
          <w:trHeight w:val="898"/>
          <w:jc w:val="center"/>
        </w:trPr>
        <w:tc>
          <w:tcPr>
            <w:cnfStyle w:val="001000000000" w:firstRow="0" w:lastRow="0" w:firstColumn="1" w:lastColumn="0" w:oddVBand="0" w:evenVBand="0" w:oddHBand="0" w:evenHBand="0" w:firstRowFirstColumn="0" w:firstRowLastColumn="0" w:lastRowFirstColumn="0" w:lastRowLastColumn="0"/>
            <w:tcW w:w="1644" w:type="dxa"/>
          </w:tcPr>
          <w:p w:rsidR="00F60BF2" w:rsidRPr="0068552B" w:rsidRDefault="00F60BF2" w:rsidP="00F60BF2">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rsidR="00FF1BD3" w:rsidRPr="00F156B4" w:rsidRDefault="00F156B4" w:rsidP="00F60BF2">
            <w:pPr>
              <w:spacing w:after="0"/>
              <w:rPr>
                <w:rStyle w:val="Strong"/>
                <w:b/>
              </w:rPr>
            </w:pPr>
            <w:r w:rsidRPr="00F156B4">
              <w:rPr>
                <w:rStyle w:val="Strong"/>
                <w:b/>
              </w:rPr>
              <w:t>Security maturity records</w:t>
            </w:r>
          </w:p>
        </w:tc>
        <w:tc>
          <w:tcPr>
            <w:tcW w:w="9038" w:type="dxa"/>
          </w:tcPr>
          <w:p w:rsidR="00FF1BD3" w:rsidRPr="0068552B" w:rsidRDefault="005A311A" w:rsidP="005A311A">
            <w:pPr>
              <w:pStyle w:val="Tablebodybullet1"/>
              <w:numPr>
                <w:ilvl w:val="0"/>
                <w:numId w:val="0"/>
              </w:numPr>
              <w:cnfStyle w:val="000000100000" w:firstRow="0" w:lastRow="0" w:firstColumn="0" w:lastColumn="0" w:oddVBand="0" w:evenVBand="0" w:oddHBand="1" w:evenHBand="0" w:firstRowFirstColumn="0" w:firstRowLastColumn="0" w:lastRowFirstColumn="0" w:lastRowLastColumn="0"/>
            </w:pPr>
            <w:r>
              <w:t>Entities</w:t>
            </w:r>
            <w:r w:rsidR="00F156B4" w:rsidRPr="00F156B4">
              <w:t xml:space="preserve"> </w:t>
            </w:r>
            <w:r w:rsidR="00F156B4" w:rsidRPr="00F156B4">
              <w:rPr>
                <w:b/>
              </w:rPr>
              <w:t>must</w:t>
            </w:r>
            <w:r w:rsidR="00F156B4" w:rsidRPr="00F156B4">
              <w:t xml:space="preserve"> document and evidence </w:t>
            </w:r>
            <w:r>
              <w:t>their</w:t>
            </w:r>
            <w:r w:rsidRPr="00F156B4">
              <w:t xml:space="preserve"> </w:t>
            </w:r>
            <w:r w:rsidR="00F156B4" w:rsidRPr="00F156B4">
              <w:t>assessment of the entity’s security maturity.</w:t>
            </w:r>
          </w:p>
        </w:tc>
      </w:tr>
    </w:tbl>
    <w:p w:rsidR="00B95357" w:rsidRDefault="00E127AD" w:rsidP="00B95357">
      <w:pPr>
        <w:pStyle w:val="Heading2"/>
      </w:pPr>
      <w:r>
        <w:t>Guidance</w:t>
      </w:r>
    </w:p>
    <w:p w:rsidR="007D070A" w:rsidRPr="00116E26" w:rsidRDefault="00F156B4" w:rsidP="00116E26">
      <w:pPr>
        <w:pStyle w:val="Heading3"/>
      </w:pPr>
      <w:r w:rsidRPr="00F156B4">
        <w:t>Security capability maturity</w:t>
      </w:r>
    </w:p>
    <w:p w:rsidR="00F156B4" w:rsidRDefault="00F156B4" w:rsidP="0053596B">
      <w:pPr>
        <w:pStyle w:val="Listbullet1"/>
      </w:pPr>
      <w:r>
        <w:t xml:space="preserve">Security capability maturity refers to an entity's security position in relation to its specific risk environment and risk tolerances. This includes </w:t>
      </w:r>
      <w:r w:rsidR="005A311A">
        <w:t xml:space="preserve">acknowledging </w:t>
      </w:r>
      <w:r>
        <w:t>the success</w:t>
      </w:r>
      <w:r w:rsidR="005A311A">
        <w:t>es</w:t>
      </w:r>
      <w:r>
        <w:t xml:space="preserve"> and effective</w:t>
      </w:r>
      <w:r w:rsidR="005A311A">
        <w:t>ness of</w:t>
      </w:r>
      <w:r>
        <w:t xml:space="preserve"> PSPF implementation, </w:t>
      </w:r>
      <w:r w:rsidR="005A311A">
        <w:t xml:space="preserve">as well as </w:t>
      </w:r>
      <w:r>
        <w:t>highlighting areas for improvement.</w:t>
      </w:r>
    </w:p>
    <w:p w:rsidR="00F156B4" w:rsidRDefault="00F156B4" w:rsidP="0053596B">
      <w:pPr>
        <w:pStyle w:val="Listbullet1"/>
      </w:pPr>
      <w:r>
        <w:t>Maturity of security capability considers how holistically and effectively each entity:</w:t>
      </w:r>
    </w:p>
    <w:p w:rsidR="00F156B4" w:rsidRDefault="00F156B4" w:rsidP="0053596B">
      <w:pPr>
        <w:pStyle w:val="ListBullet2"/>
      </w:pPr>
      <w:r>
        <w:t>implements and meets the intent of the PSPF core and supporting requirements</w:t>
      </w:r>
    </w:p>
    <w:p w:rsidR="00F156B4" w:rsidRDefault="00F156B4" w:rsidP="0053596B">
      <w:pPr>
        <w:pStyle w:val="ListBullet2"/>
      </w:pPr>
      <w:r>
        <w:t xml:space="preserve">minimises harm to the government's people </w:t>
      </w:r>
      <w:r w:rsidR="005A311A">
        <w:t>information and assets</w:t>
      </w:r>
    </w:p>
    <w:p w:rsidR="00F156B4" w:rsidRDefault="00F156B4" w:rsidP="0053596B">
      <w:pPr>
        <w:pStyle w:val="ListBullet2"/>
      </w:pPr>
      <w:r>
        <w:t xml:space="preserve">fosters a positive security culture </w:t>
      </w:r>
    </w:p>
    <w:p w:rsidR="00F156B4" w:rsidRDefault="00F156B4" w:rsidP="0053596B">
      <w:pPr>
        <w:pStyle w:val="ListBullet2"/>
      </w:pPr>
      <w:r>
        <w:t>responds to and learns from security incidents</w:t>
      </w:r>
    </w:p>
    <w:p w:rsidR="00F156B4" w:rsidRDefault="00F156B4" w:rsidP="0053596B">
      <w:pPr>
        <w:pStyle w:val="ListBullet2"/>
      </w:pPr>
      <w:r>
        <w:t xml:space="preserve">understands and manages its security risks </w:t>
      </w:r>
    </w:p>
    <w:p w:rsidR="00F156B4" w:rsidRDefault="00F156B4" w:rsidP="0053596B">
      <w:pPr>
        <w:pStyle w:val="ListBullet2"/>
      </w:pPr>
      <w:r>
        <w:t>achieves security outcomes while delivering business objectives.</w:t>
      </w:r>
    </w:p>
    <w:p w:rsidR="00F156B4" w:rsidRDefault="00F156B4" w:rsidP="00F156B4">
      <w:pPr>
        <w:pStyle w:val="Heading3"/>
      </w:pPr>
      <w:r>
        <w:t>Security risk culture</w:t>
      </w:r>
    </w:p>
    <w:p w:rsidR="00F156B4" w:rsidRDefault="00F156B4" w:rsidP="0053596B">
      <w:pPr>
        <w:pStyle w:val="Listbullet1"/>
      </w:pPr>
      <w:r>
        <w:t>Security risk culture is the entity's system of values</w:t>
      </w:r>
      <w:r w:rsidR="005A311A">
        <w:t xml:space="preserve"> and its </w:t>
      </w:r>
      <w:r>
        <w:t>personnel</w:t>
      </w:r>
      <w:r w:rsidR="005A311A">
        <w:t>’s</w:t>
      </w:r>
      <w:r>
        <w:t xml:space="preserve"> behaviours, attitudes and understanding </w:t>
      </w:r>
      <w:r w:rsidR="005A311A">
        <w:t xml:space="preserve">that are </w:t>
      </w:r>
      <w:r>
        <w:t xml:space="preserve">related to security risk that shapes </w:t>
      </w:r>
      <w:r w:rsidR="005A311A">
        <w:t xml:space="preserve">the </w:t>
      </w:r>
      <w:r>
        <w:t xml:space="preserve">risk decisions </w:t>
      </w:r>
      <w:r w:rsidR="005A311A">
        <w:t xml:space="preserve">of the </w:t>
      </w:r>
      <w:r>
        <w:t xml:space="preserve">entity leadership and personnel. Having a mature risk culture is a fundamental </w:t>
      </w:r>
      <w:r w:rsidR="005A311A">
        <w:t>enabler of</w:t>
      </w:r>
      <w:r>
        <w:t xml:space="preserve"> good government business. Maturity </w:t>
      </w:r>
      <w:r w:rsidR="005A311A">
        <w:t xml:space="preserve">of </w:t>
      </w:r>
      <w:r w:rsidR="005A311A">
        <w:lastRenderedPageBreak/>
        <w:t xml:space="preserve">risk culture </w:t>
      </w:r>
      <w:r>
        <w:t xml:space="preserve">is driven by the accountable authority and is underpinned by the PSPF policy: </w:t>
      </w:r>
      <w:hyperlink r:id="rId8" w:history="1">
        <w:r w:rsidRPr="00CD0D29">
          <w:rPr>
            <w:rStyle w:val="Hyperlink"/>
          </w:rPr>
          <w:t>Role of accountable authority</w:t>
        </w:r>
      </w:hyperlink>
      <w:r>
        <w:t xml:space="preserve">. </w:t>
      </w:r>
    </w:p>
    <w:p w:rsidR="00F156B4" w:rsidRDefault="00F156B4" w:rsidP="0053596B">
      <w:pPr>
        <w:pStyle w:val="Listbullet1"/>
      </w:pPr>
      <w:r>
        <w:t xml:space="preserve">An entity with a mature security risk culture is one where </w:t>
      </w:r>
      <w:r w:rsidR="0051519C">
        <w:t xml:space="preserve">the </w:t>
      </w:r>
      <w:r>
        <w:t>leadership team and personnel:</w:t>
      </w:r>
    </w:p>
    <w:p w:rsidR="00F156B4" w:rsidRDefault="00F156B4" w:rsidP="0053596B">
      <w:pPr>
        <w:pStyle w:val="ListBullet2"/>
        <w:numPr>
          <w:ilvl w:val="0"/>
          <w:numId w:val="23"/>
        </w:numPr>
      </w:pPr>
      <w:r>
        <w:t>comprehensively understand security risks</w:t>
      </w:r>
    </w:p>
    <w:p w:rsidR="00F156B4" w:rsidRDefault="00F156B4" w:rsidP="0053596B">
      <w:pPr>
        <w:pStyle w:val="ListBullet2"/>
      </w:pPr>
      <w:r>
        <w:t>appropriately manage security risks in their operational environments</w:t>
      </w:r>
    </w:p>
    <w:p w:rsidR="00F156B4" w:rsidRDefault="00F156B4" w:rsidP="0053596B">
      <w:pPr>
        <w:pStyle w:val="ListBullet2"/>
      </w:pPr>
      <w:r>
        <w:t xml:space="preserve">prioritise security risk management in their everyday practices </w:t>
      </w:r>
    </w:p>
    <w:p w:rsidR="00F156B4" w:rsidRDefault="00F156B4" w:rsidP="0053596B">
      <w:pPr>
        <w:pStyle w:val="ListBullet2"/>
      </w:pPr>
      <w:r>
        <w:t>make informed decisions on risks within agreed entity security risk tolerances</w:t>
      </w:r>
    </w:p>
    <w:p w:rsidR="00F156B4" w:rsidRDefault="00F156B4" w:rsidP="0053596B">
      <w:pPr>
        <w:pStyle w:val="ListBullet2"/>
      </w:pPr>
      <w:r>
        <w:t>react and respond to changes in the security risk environment.</w:t>
      </w:r>
    </w:p>
    <w:p w:rsidR="00F156B4" w:rsidRDefault="00F156B4" w:rsidP="0053596B">
      <w:pPr>
        <w:pStyle w:val="Listbullet1"/>
      </w:pPr>
      <w:r>
        <w:t xml:space="preserve">For information see the PSPF policy: </w:t>
      </w:r>
      <w:hyperlink r:id="rId9" w:history="1">
        <w:r>
          <w:rPr>
            <w:rStyle w:val="Hyperlink"/>
          </w:rPr>
          <w:t>Security planning and risk management</w:t>
        </w:r>
      </w:hyperlink>
      <w:r>
        <w:t>.</w:t>
      </w:r>
    </w:p>
    <w:p w:rsidR="00F156B4" w:rsidRDefault="00F156B4" w:rsidP="00F156B4">
      <w:pPr>
        <w:pStyle w:val="Heading3"/>
      </w:pPr>
      <w:r>
        <w:t xml:space="preserve">Monitoring security maturity </w:t>
      </w:r>
    </w:p>
    <w:p w:rsidR="00F156B4" w:rsidRDefault="00F156B4" w:rsidP="0053596B">
      <w:pPr>
        <w:pStyle w:val="Listbullet1"/>
      </w:pPr>
      <w:r>
        <w:t xml:space="preserve">Monitoring security maturity is an ongoing process and involves routine assessment of the entity's security capability and risk culture against a set of indicators.  </w:t>
      </w:r>
    </w:p>
    <w:p w:rsidR="00F156B4" w:rsidRDefault="00F156B4" w:rsidP="0053596B">
      <w:pPr>
        <w:pStyle w:val="Listbullet1"/>
      </w:pPr>
      <w:r>
        <w:t>The benefits of effective security maturity monitoring include improved:</w:t>
      </w:r>
    </w:p>
    <w:p w:rsidR="00F156B4" w:rsidRDefault="00F156B4" w:rsidP="0053596B">
      <w:pPr>
        <w:pStyle w:val="ListBullet2"/>
        <w:numPr>
          <w:ilvl w:val="0"/>
          <w:numId w:val="24"/>
        </w:numPr>
      </w:pPr>
      <w:r>
        <w:t>understanding of the entity's security risks and risk mitigation strategies</w:t>
      </w:r>
    </w:p>
    <w:p w:rsidR="00F156B4" w:rsidRDefault="00F156B4" w:rsidP="0053596B">
      <w:pPr>
        <w:pStyle w:val="ListBullet2"/>
      </w:pPr>
      <w:r>
        <w:t>performance of the entity in:</w:t>
      </w:r>
    </w:p>
    <w:p w:rsidR="00F156B4" w:rsidRDefault="00F156B4" w:rsidP="00F156B4">
      <w:pPr>
        <w:pStyle w:val="ListBullet3"/>
      </w:pPr>
      <w:r>
        <w:t>implementing the minimum core and supporting PSPF requirements in relation to its risk environment</w:t>
      </w:r>
    </w:p>
    <w:p w:rsidR="00F156B4" w:rsidRDefault="00F156B4" w:rsidP="00F156B4">
      <w:pPr>
        <w:pStyle w:val="ListBullet3"/>
      </w:pPr>
      <w:r>
        <w:t>driving a strong security culture through awareness of agreed security behaviours</w:t>
      </w:r>
    </w:p>
    <w:p w:rsidR="00F156B4" w:rsidRDefault="00F156B4" w:rsidP="00F156B4">
      <w:pPr>
        <w:pStyle w:val="ListBullet3"/>
      </w:pPr>
      <w:r>
        <w:t xml:space="preserve">identifying and implementing changes that achieve robust security outcomes </w:t>
      </w:r>
    </w:p>
    <w:p w:rsidR="00F156B4" w:rsidRDefault="00F156B4" w:rsidP="00F156B4">
      <w:pPr>
        <w:pStyle w:val="ListBullet3"/>
      </w:pPr>
      <w:r>
        <w:t>using resources efficiently and effectively to protect people, information and assets</w:t>
      </w:r>
    </w:p>
    <w:p w:rsidR="00F156B4" w:rsidRDefault="00F156B4" w:rsidP="0053596B">
      <w:pPr>
        <w:pStyle w:val="ListBullet2"/>
      </w:pPr>
      <w:r>
        <w:t>assurance that the entity's:</w:t>
      </w:r>
    </w:p>
    <w:p w:rsidR="00F156B4" w:rsidRDefault="006D23A5" w:rsidP="00F156B4">
      <w:pPr>
        <w:pStyle w:val="ListBullet3"/>
        <w:numPr>
          <w:ilvl w:val="0"/>
          <w:numId w:val="25"/>
        </w:numPr>
      </w:pPr>
      <w:r>
        <w:t xml:space="preserve">people, </w:t>
      </w:r>
      <w:r w:rsidR="00F156B4">
        <w:t>information and assets are adequately protected consistent with government policy</w:t>
      </w:r>
    </w:p>
    <w:p w:rsidR="00F156B4" w:rsidRDefault="00F156B4" w:rsidP="00F156B4">
      <w:pPr>
        <w:pStyle w:val="ListBullet3"/>
      </w:pPr>
      <w:r>
        <w:t xml:space="preserve">security risks are managed appropriately (including security incidents) and clear lines of accountability and sound planning and proportionate reporting are undertaken. </w:t>
      </w:r>
    </w:p>
    <w:p w:rsidR="00F156B4" w:rsidRDefault="00F156B4" w:rsidP="0053596B">
      <w:pPr>
        <w:pStyle w:val="Listbullet1"/>
      </w:pPr>
      <w:r>
        <w:t>The Attorney-General's Department recommends entities develop their security maturity monitoring plan as part of their overarching security plan. This includes:</w:t>
      </w:r>
    </w:p>
    <w:p w:rsidR="00F156B4" w:rsidRDefault="00F156B4" w:rsidP="0053596B">
      <w:pPr>
        <w:pStyle w:val="ListBullet2"/>
        <w:numPr>
          <w:ilvl w:val="0"/>
          <w:numId w:val="26"/>
        </w:numPr>
      </w:pPr>
      <w:r>
        <w:t xml:space="preserve">using security maturity indicators as detailed in the PSPF Maturity Self-Assessment Model (Annex A to the PSPF policy: </w:t>
      </w:r>
      <w:hyperlink r:id="rId10" w:history="1">
        <w:r>
          <w:rPr>
            <w:rStyle w:val="Hyperlink"/>
          </w:rPr>
          <w:t>Reporting on security</w:t>
        </w:r>
      </w:hyperlink>
      <w:r>
        <w:t>)</w:t>
      </w:r>
    </w:p>
    <w:p w:rsidR="00F156B4" w:rsidRDefault="006D23A5" w:rsidP="0053596B">
      <w:pPr>
        <w:pStyle w:val="ListBullet2"/>
      </w:pPr>
      <w:r>
        <w:t xml:space="preserve">setting goals and objectives and </w:t>
      </w:r>
      <w:r w:rsidR="00F156B4">
        <w:t xml:space="preserve">identifying the impact on security of any goals and objectives detailed in the entity security plan </w:t>
      </w:r>
    </w:p>
    <w:p w:rsidR="00F156B4" w:rsidRDefault="006D23A5" w:rsidP="0053596B">
      <w:pPr>
        <w:pStyle w:val="ListBullet2"/>
      </w:pPr>
      <w:r>
        <w:t xml:space="preserve">developing methodologies to manage </w:t>
      </w:r>
      <w:r w:rsidR="00F156B4">
        <w:t xml:space="preserve">the collection, measurement and analysis of data in relation to the entity's security maturity indicators </w:t>
      </w:r>
    </w:p>
    <w:p w:rsidR="00F156B4" w:rsidRDefault="00F156B4" w:rsidP="0053596B">
      <w:pPr>
        <w:pStyle w:val="ListBullet2"/>
      </w:pPr>
      <w:r>
        <w:t xml:space="preserve">determining the frequency of security monitoring advice to be given to the accountable authority, Chief Security Officer, audit committee (see the PSPF policy: </w:t>
      </w:r>
      <w:hyperlink r:id="rId11" w:history="1">
        <w:r>
          <w:rPr>
            <w:rStyle w:val="Hyperlink"/>
          </w:rPr>
          <w:t>Management structure</w:t>
        </w:r>
        <w:r w:rsidR="00B25707">
          <w:rPr>
            <w:rStyle w:val="Hyperlink"/>
          </w:rPr>
          <w:t>s</w:t>
        </w:r>
        <w:r>
          <w:rPr>
            <w:rStyle w:val="Hyperlink"/>
          </w:rPr>
          <w:t xml:space="preserve"> and responsibilities</w:t>
        </w:r>
      </w:hyperlink>
      <w:r>
        <w:t xml:space="preserve">) and relevant security governance committee (if established in the entity) </w:t>
      </w:r>
    </w:p>
    <w:p w:rsidR="00F156B4" w:rsidRDefault="00F156B4" w:rsidP="0053596B">
      <w:pPr>
        <w:pStyle w:val="ListBullet2"/>
      </w:pPr>
      <w:r>
        <w:t>setting pre-determined levels of change in security maturity metrics that trigger escalation to the accountable authority, Chief Security Officer, audit committee and relevant security governance committees</w:t>
      </w:r>
    </w:p>
    <w:p w:rsidR="00F156B4" w:rsidRDefault="00F156B4" w:rsidP="0053596B">
      <w:pPr>
        <w:pStyle w:val="ListBullet2"/>
      </w:pPr>
      <w:r>
        <w:t>where applicable, identifying the responsible area and timeframes to:</w:t>
      </w:r>
    </w:p>
    <w:p w:rsidR="00F156B4" w:rsidRDefault="00F156B4" w:rsidP="00F156B4">
      <w:pPr>
        <w:pStyle w:val="ListBullet3"/>
        <w:numPr>
          <w:ilvl w:val="0"/>
          <w:numId w:val="27"/>
        </w:numPr>
      </w:pPr>
      <w:r>
        <w:t xml:space="preserve">manage implementation of PSPF core and supporting requirements </w:t>
      </w:r>
    </w:p>
    <w:p w:rsidR="00F156B4" w:rsidRDefault="00F156B4" w:rsidP="00F156B4">
      <w:pPr>
        <w:pStyle w:val="ListBullet3"/>
      </w:pPr>
      <w:r>
        <w:t xml:space="preserve">implement strategies </w:t>
      </w:r>
      <w:r w:rsidR="006D23A5">
        <w:t xml:space="preserve">that </w:t>
      </w:r>
      <w:r>
        <w:t>achieve improvements in security culture.</w:t>
      </w:r>
    </w:p>
    <w:p w:rsidR="00F156B4" w:rsidRDefault="0081005F" w:rsidP="0053596B">
      <w:pPr>
        <w:pStyle w:val="Listbullet1"/>
      </w:pPr>
      <w:hyperlink w:anchor="_Requirements" w:history="1">
        <w:r w:rsidR="00F156B4" w:rsidRPr="00F156B4">
          <w:rPr>
            <w:b/>
          </w:rPr>
          <w:t>Requirement 1</w:t>
        </w:r>
      </w:hyperlink>
      <w:r w:rsidR="00F156B4">
        <w:t xml:space="preserve"> mandates that an entity must document and evidence its assessment of its security maturity. This can be part of the security maturity monitoring plan where the entity records its progress against the goals and objectives of the security plan.</w:t>
      </w:r>
    </w:p>
    <w:p w:rsidR="00F156B4" w:rsidRDefault="00F156B4" w:rsidP="0053596B">
      <w:pPr>
        <w:pStyle w:val="Listbullet1"/>
      </w:pPr>
      <w:r>
        <w:fldChar w:fldCharType="begin"/>
      </w:r>
      <w:r>
        <w:instrText xml:space="preserve"> REF _Ref519850151 \h </w:instrText>
      </w:r>
      <w:r>
        <w:fldChar w:fldCharType="separate"/>
      </w:r>
      <w:r w:rsidR="00DD5ABD">
        <w:t xml:space="preserve">Figure </w:t>
      </w:r>
      <w:r w:rsidR="00DD5ABD">
        <w:rPr>
          <w:noProof/>
        </w:rPr>
        <w:t>1</w:t>
      </w:r>
      <w:r>
        <w:fldChar w:fldCharType="end"/>
      </w:r>
      <w:r>
        <w:t xml:space="preserve"> illustrates the stages of effective security maturity monitoring as a continuous improvement cycle. This can assist an entity to respond to changes in its security environment and emerging security risks. It can help entities implement the PSPF core and supporting requirements necessary to protect people, information and assets.</w:t>
      </w:r>
    </w:p>
    <w:p w:rsidR="00F156B4" w:rsidRDefault="00F156B4" w:rsidP="00F156B4">
      <w:pPr>
        <w:pStyle w:val="Caption"/>
      </w:pPr>
      <w:bookmarkStart w:id="2" w:name="_Ref519850151"/>
      <w:r>
        <w:t xml:space="preserve">Figure </w:t>
      </w:r>
      <w:fldSimple w:instr=" SEQ Figure \* ARABIC ">
        <w:r w:rsidR="00DD5ABD">
          <w:rPr>
            <w:noProof/>
          </w:rPr>
          <w:t>1</w:t>
        </w:r>
      </w:fldSimple>
      <w:bookmarkEnd w:id="2"/>
      <w:r>
        <w:t xml:space="preserve"> Security maturity monitoring cycle</w:t>
      </w:r>
    </w:p>
    <w:p w:rsidR="000417CA" w:rsidRPr="000417CA" w:rsidRDefault="004E3F39" w:rsidP="004E3F39">
      <w:r>
        <w:rPr>
          <w:noProof/>
          <w:lang w:eastAsia="en-AU"/>
        </w:rPr>
        <w:drawing>
          <wp:inline distT="0" distB="0" distL="0" distR="0" wp14:anchorId="4BAF08C1" wp14:editId="14EFB260">
            <wp:extent cx="6645600" cy="6440945"/>
            <wp:effectExtent l="0" t="0" r="3175" b="0"/>
            <wp:docPr id="6" name="Picture 6" descr="The key elements of monitor and review and based on three considerations of: understanding, performance and assurance.  &#10;&#10;Understanding is achieved through:&#10;- continual awareness of changes and circumstances&#10;- learning from experience, mistakes and others&#10;- entity's culture and context&#10;&#10;Performance is achieved through:&#10;- measuring effectiveness of managing risks&#10;- performance indicators&#10;- clear expectations&#10;- security is integrated in the entity and its procedures&#10;- improvements are actively pursued&#10;- security capability&#10;&#10;Assurance is achieved through:&#10;- maturity of PSPF core and supporting requirements&#10;- other requirements are embedded such as operational, regulatory and legislative requirements&#10;- supported by internal reivew or audit" title="Security maturity monitoring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anst\AppData\Local\Microsoft\Windows\Temporary Internet Files\Content.Outlook\6LZ6EJ71\govsec04-fig1_prpl (2).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6645600" cy="6440945"/>
                    </a:xfrm>
                    <a:prstGeom prst="rect">
                      <a:avLst/>
                    </a:prstGeom>
                    <a:noFill/>
                    <a:ln>
                      <a:noFill/>
                    </a:ln>
                    <a:extLst>
                      <a:ext uri="{53640926-AAD7-44D8-BBD7-CCE9431645EC}">
                        <a14:shadowObscured xmlns:a14="http://schemas.microsoft.com/office/drawing/2010/main"/>
                      </a:ext>
                    </a:extLst>
                  </pic:spPr>
                </pic:pic>
              </a:graphicData>
            </a:graphic>
          </wp:inline>
        </w:drawing>
      </w:r>
    </w:p>
    <w:p w:rsidR="00C166C3" w:rsidRPr="002D0D7F" w:rsidRDefault="00F156B4" w:rsidP="00C166C3">
      <w:pPr>
        <w:pStyle w:val="Tablenotes"/>
      </w:pPr>
      <w:r>
        <w:fldChar w:fldCharType="begin"/>
      </w:r>
      <w:r>
        <w:instrText xml:space="preserve"> REF _Ref519850151 \h </w:instrText>
      </w:r>
      <w:r>
        <w:fldChar w:fldCharType="separate"/>
      </w:r>
      <w:r w:rsidR="00DD5ABD">
        <w:t xml:space="preserve">Figure </w:t>
      </w:r>
      <w:r w:rsidR="00DD5ABD">
        <w:rPr>
          <w:noProof/>
        </w:rPr>
        <w:t>1</w:t>
      </w:r>
      <w:r>
        <w:fldChar w:fldCharType="end"/>
      </w:r>
      <w:r w:rsidR="00C166C3" w:rsidRPr="002D0D7F">
        <w:t xml:space="preserve"> notes:</w:t>
      </w:r>
      <w:r w:rsidR="00F114C3" w:rsidRPr="00F114C3">
        <w:rPr>
          <w:rStyle w:val="EndnoteReference"/>
        </w:rPr>
        <w:t xml:space="preserve"> </w:t>
      </w:r>
      <w:r w:rsidR="00F114C3" w:rsidRPr="0002075C">
        <w:rPr>
          <w:rStyle w:val="EndnoteReference"/>
          <w:color w:val="FFFFFF" w:themeColor="background1"/>
        </w:rPr>
        <w:endnoteReference w:id="1"/>
      </w:r>
      <w:r w:rsidR="00F114C3" w:rsidRPr="0002075C">
        <w:rPr>
          <w:rStyle w:val="EndnoteReference"/>
          <w:color w:val="FFFFFF" w:themeColor="background1"/>
        </w:rPr>
        <w:endnoteReference w:id="2"/>
      </w:r>
      <w:r w:rsidR="00F114C3" w:rsidRPr="0002075C">
        <w:rPr>
          <w:rStyle w:val="EndnoteReference"/>
          <w:color w:val="FFFFFF" w:themeColor="background1"/>
        </w:rPr>
        <w:endnoteReference w:id="3"/>
      </w:r>
    </w:p>
    <w:p w:rsidR="00C166C3" w:rsidRPr="00FD4A3C" w:rsidRDefault="00C166C3" w:rsidP="00F60BF2">
      <w:pPr>
        <w:pStyle w:val="Basictext"/>
        <w:sectPr w:rsidR="00C166C3" w:rsidRPr="00FD4A3C" w:rsidSect="006C4952">
          <w:headerReference w:type="default" r:id="rId13"/>
          <w:footerReference w:type="default" r:id="rId14"/>
          <w:headerReference w:type="first" r:id="rId15"/>
          <w:footerReference w:type="first" r:id="rId16"/>
          <w:endnotePr>
            <w:numRestart w:val="eachSect"/>
          </w:endnotePr>
          <w:type w:val="continuous"/>
          <w:pgSz w:w="11906" w:h="16838"/>
          <w:pgMar w:top="851" w:right="720" w:bottom="720" w:left="720" w:header="0" w:footer="0" w:gutter="0"/>
          <w:cols w:space="708"/>
          <w:titlePg/>
          <w:docGrid w:linePitch="360"/>
        </w:sectPr>
      </w:pPr>
    </w:p>
    <w:p w:rsidR="00F156B4" w:rsidRDefault="00F156B4" w:rsidP="0053596B">
      <w:pPr>
        <w:pStyle w:val="Listbullet1"/>
        <w:numPr>
          <w:ilvl w:val="0"/>
          <w:numId w:val="0"/>
        </w:numPr>
        <w:ind w:left="360"/>
      </w:pPr>
    </w:p>
    <w:p w:rsidR="00F156B4" w:rsidRPr="00F156B4" w:rsidRDefault="00F156B4" w:rsidP="0053596B">
      <w:pPr>
        <w:pStyle w:val="Listbullet1"/>
      </w:pPr>
      <w:r w:rsidRPr="00F156B4">
        <w:t xml:space="preserve">Security maturity monitoring is a continuous cycle and the information collected informs the entity security plan and the PSPF policy: </w:t>
      </w:r>
      <w:hyperlink r:id="rId17" w:history="1">
        <w:r>
          <w:rPr>
            <w:rStyle w:val="Hyperlink"/>
          </w:rPr>
          <w:t>Reporting on security</w:t>
        </w:r>
      </w:hyperlink>
      <w:r w:rsidRPr="00F156B4">
        <w:t>.</w:t>
      </w:r>
    </w:p>
    <w:p w:rsidR="00B95357" w:rsidRDefault="00E127AD" w:rsidP="00B95357">
      <w:pPr>
        <w:pStyle w:val="Heading2"/>
      </w:pPr>
      <w:r>
        <w:t>Find out more</w:t>
      </w:r>
    </w:p>
    <w:p w:rsidR="00B95357" w:rsidRPr="0053596B" w:rsidRDefault="0053596B" w:rsidP="0053596B">
      <w:pPr>
        <w:pStyle w:val="Listbullet1"/>
      </w:pPr>
      <w:r w:rsidRPr="00FD1489">
        <w:t>Other</w:t>
      </w:r>
      <w:r w:rsidRPr="001C006B">
        <w:rPr>
          <w:lang w:eastAsia="en-AU"/>
        </w:rPr>
        <w:t xml:space="preserve"> </w:t>
      </w:r>
      <w:r>
        <w:rPr>
          <w:lang w:eastAsia="en-AU"/>
        </w:rPr>
        <w:t>standards</w:t>
      </w:r>
      <w:r w:rsidRPr="001C006B">
        <w:rPr>
          <w:lang w:eastAsia="en-AU"/>
        </w:rPr>
        <w:t xml:space="preserve"> that may </w:t>
      </w:r>
      <w:r>
        <w:rPr>
          <w:lang w:eastAsia="en-AU"/>
        </w:rPr>
        <w:t>be relevant:</w:t>
      </w:r>
    </w:p>
    <w:p w:rsidR="0053596B" w:rsidRPr="0053596B" w:rsidRDefault="0081005F" w:rsidP="0053596B">
      <w:pPr>
        <w:pStyle w:val="ListBullet2"/>
        <w:numPr>
          <w:ilvl w:val="0"/>
          <w:numId w:val="33"/>
        </w:numPr>
        <w:rPr>
          <w:rStyle w:val="Hyperlink"/>
          <w:rFonts w:asciiTheme="minorHAnsi" w:hAnsiTheme="minorHAnsi"/>
          <w:color w:val="auto"/>
        </w:rPr>
      </w:pPr>
      <w:hyperlink r:id="rId18" w:history="1">
        <w:r w:rsidR="0053596B" w:rsidRPr="0053596B">
          <w:rPr>
            <w:rStyle w:val="Hyperlink"/>
            <w:rFonts w:asciiTheme="minorHAnsi" w:hAnsiTheme="minorHAnsi"/>
          </w:rPr>
          <w:t>Australian Standards HB 167 Security risk management</w:t>
        </w:r>
      </w:hyperlink>
    </w:p>
    <w:p w:rsidR="0053596B" w:rsidRPr="0053596B" w:rsidRDefault="0081005F" w:rsidP="0053596B">
      <w:pPr>
        <w:pStyle w:val="ListBullet2"/>
        <w:rPr>
          <w:rFonts w:asciiTheme="minorHAnsi" w:hAnsiTheme="minorHAnsi"/>
        </w:rPr>
      </w:pPr>
      <w:hyperlink r:id="rId19" w:history="1">
        <w:r w:rsidR="0053596B" w:rsidRPr="0053596B">
          <w:rPr>
            <w:rStyle w:val="Hyperlink"/>
            <w:rFonts w:asciiTheme="minorHAnsi" w:eastAsia="Times New Roman" w:hAnsiTheme="minorHAnsi"/>
            <w:lang w:val="en-US"/>
          </w:rPr>
          <w:t>AS/NZS ISO 31000 – Risk Management – Guidelines</w:t>
        </w:r>
      </w:hyperlink>
      <w:r w:rsidR="0053596B">
        <w:t>.</w:t>
      </w:r>
    </w:p>
    <w:p w:rsidR="00F62A59" w:rsidRDefault="00F62A59" w:rsidP="00F62A59">
      <w:pPr>
        <w:pStyle w:val="Heading3"/>
      </w:pPr>
      <w:r>
        <w:t>Change log</w:t>
      </w:r>
    </w:p>
    <w:p w:rsidR="00F156B4" w:rsidRPr="00116E26" w:rsidRDefault="00F156B4" w:rsidP="00F156B4">
      <w:pPr>
        <w:pStyle w:val="Caption"/>
      </w:pPr>
      <w:r w:rsidRPr="00FB5CFE">
        <w:t xml:space="preserve">Table </w:t>
      </w:r>
      <w:fldSimple w:instr=" SEQ Table \* ARABIC ">
        <w:r w:rsidR="00DD5ABD">
          <w:rPr>
            <w:noProof/>
          </w:rPr>
          <w:t>1</w:t>
        </w:r>
      </w:fldSimple>
      <w:r>
        <w:t xml:space="preserve"> Amendments in this policy</w:t>
      </w:r>
    </w:p>
    <w:tbl>
      <w:tblPr>
        <w:tblStyle w:val="LightShading-Accent4"/>
        <w:tblW w:w="0" w:type="auto"/>
        <w:jc w:val="center"/>
        <w:tblLook w:val="04A0" w:firstRow="1" w:lastRow="0" w:firstColumn="1" w:lastColumn="0" w:noHBand="0" w:noVBand="1"/>
        <w:tblCaption w:val="Amendments in this policy"/>
        <w:tblDescription w:val="Version v2018.0&#10;Amendments not applicable. This is the first issue of this policy."/>
      </w:tblPr>
      <w:tblGrid>
        <w:gridCol w:w="1384"/>
        <w:gridCol w:w="1559"/>
        <w:gridCol w:w="1418"/>
        <w:gridCol w:w="6321"/>
      </w:tblGrid>
      <w:tr w:rsidR="00F156B4" w:rsidTr="00986BD2">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384" w:type="dxa"/>
          </w:tcPr>
          <w:p w:rsidR="00F156B4" w:rsidRPr="00424209" w:rsidRDefault="00F156B4" w:rsidP="00986BD2">
            <w:pPr>
              <w:rPr>
                <w:rStyle w:val="Strong"/>
                <w:b/>
              </w:rPr>
            </w:pPr>
            <w:r w:rsidRPr="00424209">
              <w:rPr>
                <w:rStyle w:val="Strong"/>
                <w:b/>
              </w:rPr>
              <w:t>Version</w:t>
            </w:r>
          </w:p>
        </w:tc>
        <w:tc>
          <w:tcPr>
            <w:tcW w:w="1559" w:type="dxa"/>
          </w:tcPr>
          <w:p w:rsidR="00F156B4" w:rsidRPr="00424209" w:rsidRDefault="00F156B4" w:rsidP="00986BD2">
            <w:pPr>
              <w:cnfStyle w:val="100000000000" w:firstRow="1" w:lastRow="0" w:firstColumn="0" w:lastColumn="0" w:oddVBand="0" w:evenVBand="0" w:oddHBand="0" w:evenHBand="0" w:firstRowFirstColumn="0" w:firstRowLastColumn="0" w:lastRowFirstColumn="0" w:lastRowLastColumn="0"/>
              <w:rPr>
                <w:rStyle w:val="Strong"/>
                <w:b/>
              </w:rPr>
            </w:pPr>
            <w:r w:rsidRPr="00424209">
              <w:rPr>
                <w:rStyle w:val="Strong"/>
                <w:b/>
              </w:rPr>
              <w:t>Date</w:t>
            </w:r>
          </w:p>
        </w:tc>
        <w:tc>
          <w:tcPr>
            <w:tcW w:w="1418" w:type="dxa"/>
          </w:tcPr>
          <w:p w:rsidR="00F156B4" w:rsidRPr="00424209" w:rsidRDefault="00F156B4" w:rsidP="00986BD2">
            <w:pPr>
              <w:cnfStyle w:val="100000000000" w:firstRow="1" w:lastRow="0" w:firstColumn="0" w:lastColumn="0" w:oddVBand="0" w:evenVBand="0" w:oddHBand="0" w:evenHBand="0" w:firstRowFirstColumn="0" w:firstRowLastColumn="0" w:lastRowFirstColumn="0" w:lastRowLastColumn="0"/>
              <w:rPr>
                <w:rStyle w:val="Strong"/>
                <w:b/>
              </w:rPr>
            </w:pPr>
            <w:r w:rsidRPr="00424209">
              <w:rPr>
                <w:rStyle w:val="Strong"/>
                <w:b/>
              </w:rPr>
              <w:t>Section</w:t>
            </w:r>
          </w:p>
        </w:tc>
        <w:tc>
          <w:tcPr>
            <w:tcW w:w="6321" w:type="dxa"/>
          </w:tcPr>
          <w:p w:rsidR="00F156B4" w:rsidRPr="00424209" w:rsidRDefault="00F156B4" w:rsidP="00986BD2">
            <w:pPr>
              <w:cnfStyle w:val="100000000000" w:firstRow="1" w:lastRow="0" w:firstColumn="0" w:lastColumn="0" w:oddVBand="0" w:evenVBand="0" w:oddHBand="0" w:evenHBand="0" w:firstRowFirstColumn="0" w:firstRowLastColumn="0" w:lastRowFirstColumn="0" w:lastRowLastColumn="0"/>
              <w:rPr>
                <w:rStyle w:val="Strong"/>
                <w:bCs w:val="0"/>
              </w:rPr>
            </w:pPr>
            <w:r w:rsidRPr="00424209">
              <w:rPr>
                <w:rStyle w:val="Strong"/>
                <w:b/>
              </w:rPr>
              <w:t>Amendment</w:t>
            </w:r>
          </w:p>
        </w:tc>
      </w:tr>
      <w:tr w:rsidR="00F156B4" w:rsidTr="00986BD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rsidR="00F156B4" w:rsidRPr="00424209" w:rsidRDefault="007B535A" w:rsidP="00986BD2">
            <w:pPr>
              <w:pStyle w:val="Tablebody"/>
              <w:rPr>
                <w:b w:val="0"/>
              </w:rPr>
            </w:pPr>
            <w:r>
              <w:rPr>
                <w:b w:val="0"/>
              </w:rPr>
              <w:t>v2018.1</w:t>
            </w:r>
            <w:r w:rsidR="00F156B4" w:rsidRPr="00424209">
              <w:rPr>
                <w:b w:val="0"/>
              </w:rPr>
              <w:t xml:space="preserve"> </w:t>
            </w:r>
          </w:p>
        </w:tc>
        <w:tc>
          <w:tcPr>
            <w:tcW w:w="1559" w:type="dxa"/>
          </w:tcPr>
          <w:p w:rsidR="00F156B4" w:rsidRPr="00424209" w:rsidRDefault="007B535A" w:rsidP="00986BD2">
            <w:pPr>
              <w:pStyle w:val="Tablebody"/>
              <w:cnfStyle w:val="000000100000" w:firstRow="0" w:lastRow="0" w:firstColumn="0" w:lastColumn="0" w:oddVBand="0" w:evenVBand="0" w:oddHBand="1" w:evenHBand="0" w:firstRowFirstColumn="0" w:firstRowLastColumn="0" w:lastRowFirstColumn="0" w:lastRowLastColumn="0"/>
            </w:pPr>
            <w:r>
              <w:t>Sep 2018</w:t>
            </w:r>
          </w:p>
        </w:tc>
        <w:tc>
          <w:tcPr>
            <w:tcW w:w="1418" w:type="dxa"/>
          </w:tcPr>
          <w:p w:rsidR="00F156B4" w:rsidRPr="00424209" w:rsidRDefault="00F156B4" w:rsidP="00986BD2">
            <w:pPr>
              <w:pStyle w:val="Tablebody"/>
              <w:cnfStyle w:val="000000100000" w:firstRow="0" w:lastRow="0" w:firstColumn="0" w:lastColumn="0" w:oddVBand="0" w:evenVBand="0" w:oddHBand="1" w:evenHBand="0" w:firstRowFirstColumn="0" w:firstRowLastColumn="0" w:lastRowFirstColumn="0" w:lastRowLastColumn="0"/>
            </w:pPr>
            <w:r w:rsidRPr="00424209">
              <w:t>Throughout</w:t>
            </w:r>
          </w:p>
        </w:tc>
        <w:tc>
          <w:tcPr>
            <w:tcW w:w="6321" w:type="dxa"/>
          </w:tcPr>
          <w:p w:rsidR="00F156B4" w:rsidRPr="00424209" w:rsidRDefault="00F156B4" w:rsidP="00986BD2">
            <w:pPr>
              <w:pStyle w:val="Tablebody"/>
              <w:cnfStyle w:val="000000100000" w:firstRow="0" w:lastRow="0" w:firstColumn="0" w:lastColumn="0" w:oddVBand="0" w:evenVBand="0" w:oddHBand="1" w:evenHBand="0" w:firstRowFirstColumn="0" w:firstRowLastColumn="0" w:lastRowFirstColumn="0" w:lastRowLastColumn="0"/>
            </w:pPr>
            <w:r w:rsidRPr="00424209">
              <w:t>Not applicable. This is the first issue of this policy</w:t>
            </w:r>
          </w:p>
        </w:tc>
      </w:tr>
    </w:tbl>
    <w:p w:rsidR="00693A88" w:rsidRDefault="00693A88" w:rsidP="0053596B">
      <w:pPr>
        <w:pStyle w:val="ListBullet2"/>
        <w:numPr>
          <w:ilvl w:val="0"/>
          <w:numId w:val="0"/>
        </w:numPr>
      </w:pPr>
    </w:p>
    <w:sectPr w:rsidR="00693A88" w:rsidSect="00041E32">
      <w:footerReference w:type="default" r:id="rId20"/>
      <w:type w:val="continuous"/>
      <w:pgSz w:w="11906" w:h="16838"/>
      <w:pgMar w:top="822" w:right="720" w:bottom="720" w:left="72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3D9" w:rsidRDefault="005623D9" w:rsidP="007D070A">
      <w:pPr>
        <w:spacing w:after="0"/>
      </w:pPr>
      <w:r>
        <w:separator/>
      </w:r>
    </w:p>
  </w:endnote>
  <w:endnote w:type="continuationSeparator" w:id="0">
    <w:p w:rsidR="005623D9" w:rsidRDefault="005623D9" w:rsidP="007D070A">
      <w:pPr>
        <w:spacing w:after="0"/>
      </w:pPr>
      <w:r>
        <w:continuationSeparator/>
      </w:r>
    </w:p>
  </w:endnote>
  <w:endnote w:id="1">
    <w:p w:rsidR="00F114C3" w:rsidRDefault="00F114C3" w:rsidP="00F114C3">
      <w:pPr>
        <w:pStyle w:val="Tablenotes"/>
      </w:pPr>
      <w:r>
        <w:rPr>
          <w:rStyle w:val="EndnoteReference"/>
        </w:rPr>
        <w:endnoteRef/>
      </w:r>
      <w:r>
        <w:t xml:space="preserve"> Step 1 sources of information collection include:</w:t>
      </w:r>
    </w:p>
    <w:p w:rsidR="00F114C3" w:rsidRDefault="00F114C3" w:rsidP="00F114C3">
      <w:pPr>
        <w:pStyle w:val="Tablenotes"/>
        <w:numPr>
          <w:ilvl w:val="0"/>
          <w:numId w:val="28"/>
        </w:numPr>
      </w:pPr>
      <w:r>
        <w:t>pre-existing information</w:t>
      </w:r>
    </w:p>
    <w:p w:rsidR="00F114C3" w:rsidRDefault="00F114C3" w:rsidP="00F114C3">
      <w:pPr>
        <w:pStyle w:val="Tablenotes"/>
        <w:numPr>
          <w:ilvl w:val="1"/>
          <w:numId w:val="29"/>
        </w:numPr>
      </w:pPr>
      <w:r>
        <w:t>systematic and routine audits of entity security practices</w:t>
      </w:r>
    </w:p>
    <w:p w:rsidR="00F114C3" w:rsidRDefault="00F114C3" w:rsidP="00F114C3">
      <w:pPr>
        <w:pStyle w:val="Tablenotes"/>
        <w:numPr>
          <w:ilvl w:val="1"/>
          <w:numId w:val="29"/>
        </w:numPr>
      </w:pPr>
      <w:r>
        <w:t>security incident and near miss reporting</w:t>
      </w:r>
    </w:p>
    <w:p w:rsidR="00F114C3" w:rsidRDefault="00F114C3" w:rsidP="00F114C3">
      <w:pPr>
        <w:pStyle w:val="Tablenotes"/>
        <w:numPr>
          <w:ilvl w:val="1"/>
          <w:numId w:val="29"/>
        </w:numPr>
      </w:pPr>
      <w:r>
        <w:t>direct observations and security facility inspections</w:t>
      </w:r>
    </w:p>
    <w:p w:rsidR="00F114C3" w:rsidRDefault="00F114C3" w:rsidP="00F114C3">
      <w:pPr>
        <w:pStyle w:val="Tablenotes"/>
        <w:numPr>
          <w:ilvl w:val="1"/>
          <w:numId w:val="29"/>
        </w:numPr>
      </w:pPr>
      <w:r>
        <w:t>informal and formal security networks</w:t>
      </w:r>
    </w:p>
    <w:p w:rsidR="00F114C3" w:rsidRDefault="00F114C3" w:rsidP="00F114C3">
      <w:pPr>
        <w:pStyle w:val="Tablenotes"/>
        <w:numPr>
          <w:ilvl w:val="0"/>
          <w:numId w:val="28"/>
        </w:numPr>
      </w:pPr>
      <w:r>
        <w:t>tasks to derive information</w:t>
      </w:r>
    </w:p>
    <w:p w:rsidR="00F114C3" w:rsidRDefault="00F114C3" w:rsidP="00F114C3">
      <w:pPr>
        <w:pStyle w:val="Tablenotes"/>
        <w:numPr>
          <w:ilvl w:val="0"/>
          <w:numId w:val="30"/>
        </w:numPr>
      </w:pPr>
      <w:r>
        <w:t>reviews of entity security practices and commissioned research</w:t>
      </w:r>
    </w:p>
    <w:p w:rsidR="00F114C3" w:rsidRDefault="00F114C3" w:rsidP="00F114C3">
      <w:pPr>
        <w:pStyle w:val="Tablenotes"/>
        <w:numPr>
          <w:ilvl w:val="0"/>
          <w:numId w:val="30"/>
        </w:numPr>
      </w:pPr>
      <w:r>
        <w:t xml:space="preserve">internal focus groups and security questionnaires </w:t>
      </w:r>
    </w:p>
    <w:p w:rsidR="00F114C3" w:rsidRDefault="00F114C3" w:rsidP="00F114C3">
      <w:pPr>
        <w:pStyle w:val="Tablenotes"/>
        <w:numPr>
          <w:ilvl w:val="0"/>
          <w:numId w:val="30"/>
        </w:numPr>
      </w:pPr>
      <w:r>
        <w:t>stakeholder consultation</w:t>
      </w:r>
    </w:p>
    <w:p w:rsidR="00F114C3" w:rsidRDefault="00F114C3" w:rsidP="00F114C3">
      <w:pPr>
        <w:pStyle w:val="Tablenotes"/>
        <w:numPr>
          <w:ilvl w:val="0"/>
          <w:numId w:val="30"/>
        </w:numPr>
      </w:pPr>
      <w:r>
        <w:t>horizon scanning for early identification of emerging security issues internal and external to government that may impact security maturity.</w:t>
      </w:r>
    </w:p>
  </w:endnote>
  <w:endnote w:id="2">
    <w:p w:rsidR="00F114C3" w:rsidRDefault="00F114C3" w:rsidP="00F114C3">
      <w:pPr>
        <w:pStyle w:val="Tablenotes"/>
      </w:pPr>
      <w:r>
        <w:rPr>
          <w:rStyle w:val="EndnoteReference"/>
        </w:rPr>
        <w:endnoteRef/>
      </w:r>
      <w:r>
        <w:t xml:space="preserve"> Where an entity has been identified as a lead security entity (see the PSPF policy: </w:t>
      </w:r>
      <w:hyperlink r:id="rId1" w:history="1">
        <w:r w:rsidRPr="00041E32">
          <w:rPr>
            <w:rStyle w:val="Hyperlink"/>
          </w:rPr>
          <w:t>Management structures and responsibilities</w:t>
        </w:r>
      </w:hyperlink>
      <w:r>
        <w:t>), the Attorney-General’s Department recommends additional information is collected and assessed on the entity’s:</w:t>
      </w:r>
    </w:p>
    <w:p w:rsidR="00F114C3" w:rsidRDefault="00F114C3" w:rsidP="00F114C3">
      <w:pPr>
        <w:pStyle w:val="Tablenotes"/>
        <w:numPr>
          <w:ilvl w:val="0"/>
          <w:numId w:val="31"/>
        </w:numPr>
      </w:pPr>
      <w:r>
        <w:t xml:space="preserve">provision of effective and timely advice, guidance and services related to the entity’s area of security expertise </w:t>
      </w:r>
    </w:p>
    <w:p w:rsidR="00F114C3" w:rsidRDefault="00F114C3" w:rsidP="00F114C3">
      <w:pPr>
        <w:pStyle w:val="Tablenotes"/>
        <w:numPr>
          <w:ilvl w:val="0"/>
          <w:numId w:val="31"/>
        </w:numPr>
      </w:pPr>
      <w:r>
        <w:t>management of responsibilities and accountabilities for partnerships and security service arrangements with other entities.</w:t>
      </w:r>
    </w:p>
  </w:endnote>
  <w:endnote w:id="3">
    <w:p w:rsidR="00F114C3" w:rsidRDefault="00F114C3" w:rsidP="00F114C3">
      <w:pPr>
        <w:pStyle w:val="Tablenotes"/>
      </w:pPr>
      <w:r>
        <w:rPr>
          <w:rStyle w:val="EndnoteReference"/>
        </w:rPr>
        <w:endnoteRef/>
      </w:r>
      <w:r>
        <w:t xml:space="preserve"> Relevant s</w:t>
      </w:r>
      <w:r w:rsidRPr="0083259F">
        <w:t xml:space="preserve">takeholders </w:t>
      </w:r>
      <w:r>
        <w:t xml:space="preserve">to advise under Step 3 </w:t>
      </w:r>
      <w:r w:rsidRPr="0083259F">
        <w:t xml:space="preserve">may include the </w:t>
      </w:r>
      <w:r>
        <w:t>a</w:t>
      </w:r>
      <w:r w:rsidRPr="0083259F">
        <w:t xml:space="preserve">ccountable </w:t>
      </w:r>
      <w:r>
        <w:t>a</w:t>
      </w:r>
      <w:r w:rsidRPr="0083259F">
        <w:t>uthority, the C</w:t>
      </w:r>
      <w:r>
        <w:t xml:space="preserve">hief </w:t>
      </w:r>
      <w:r w:rsidRPr="0083259F">
        <w:t>S</w:t>
      </w:r>
      <w:r>
        <w:t xml:space="preserve">ecurity </w:t>
      </w:r>
      <w:r w:rsidRPr="0083259F">
        <w:t>O</w:t>
      </w:r>
      <w:r>
        <w:t>fficer</w:t>
      </w:r>
      <w:r w:rsidRPr="0083259F">
        <w:t>, audit committee and relevant security governance committees (if established in the entity).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3997913"/>
      <w:docPartObj>
        <w:docPartGallery w:val="Page Numbers (Bottom of Page)"/>
        <w:docPartUnique/>
      </w:docPartObj>
    </w:sdtPr>
    <w:sdtEndPr>
      <w:rPr>
        <w:noProof/>
        <w:sz w:val="20"/>
        <w:szCs w:val="20"/>
      </w:rPr>
    </w:sdtEndPr>
    <w:sdtContent>
      <w:sdt>
        <w:sdtPr>
          <w:id w:val="211779235"/>
          <w:docPartObj>
            <w:docPartGallery w:val="Page Numbers (Bottom of Page)"/>
            <w:docPartUnique/>
          </w:docPartObj>
        </w:sdtPr>
        <w:sdtEndPr>
          <w:rPr>
            <w:noProof/>
            <w:sz w:val="20"/>
            <w:szCs w:val="20"/>
          </w:rPr>
        </w:sdtEndPr>
        <w:sdtContent>
          <w:p w:rsidR="00563082" w:rsidRPr="00563082" w:rsidRDefault="0081005F"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1685428469"/>
                <w:docPartObj>
                  <w:docPartGallery w:val="Page Numbers (Bottom of Page)"/>
                  <w:docPartUnique/>
                </w:docPartObj>
              </w:sdtPr>
              <w:sdtEndPr>
                <w:rPr>
                  <w:noProof/>
                </w:rPr>
              </w:sdtEndPr>
              <w:sdtContent>
                <w:r w:rsidR="00041E32">
                  <w:rPr>
                    <w:sz w:val="20"/>
                    <w:szCs w:val="20"/>
                  </w:rPr>
                  <w:t>v</w:t>
                </w:r>
                <w:r w:rsidR="005E20D2">
                  <w:rPr>
                    <w:sz w:val="20"/>
                    <w:szCs w:val="20"/>
                  </w:rPr>
                  <w:t>2018.1</w:t>
                </w:r>
                <w:r w:rsidR="00041E32" w:rsidRPr="006F61B7">
                  <w:rPr>
                    <w:sz w:val="20"/>
                    <w:szCs w:val="20"/>
                  </w:rPr>
                  <w:tab/>
                </w:r>
                <w:r w:rsidR="00041E32" w:rsidRPr="006F61B7">
                  <w:rPr>
                    <w:noProof/>
                    <w:w w:val="100"/>
                    <w:sz w:val="20"/>
                    <w:szCs w:val="20"/>
                    <w:lang w:eastAsia="en-AU"/>
                  </w:rPr>
                  <mc:AlternateContent>
                    <mc:Choice Requires="wps">
                      <w:drawing>
                        <wp:anchor distT="0" distB="0" distL="114300" distR="114300" simplePos="0" relativeHeight="251711488" behindDoc="0" locked="0" layoutInCell="1" allowOverlap="1" wp14:anchorId="5C917C45" wp14:editId="54593855">
                          <wp:simplePos x="0" y="0"/>
                          <wp:positionH relativeFrom="column">
                            <wp:posOffset>0</wp:posOffset>
                          </wp:positionH>
                          <wp:positionV relativeFrom="paragraph">
                            <wp:posOffset>-73660</wp:posOffset>
                          </wp:positionV>
                          <wp:extent cx="6648450" cy="47625"/>
                          <wp:effectExtent l="0" t="0" r="0" b="9525"/>
                          <wp:wrapNone/>
                          <wp:docPr id="1" name="Rectangle 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0;margin-top:-5.8pt;width:523.5pt;height:3.7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cBkw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dLbcWZF&#10;Q0/0QKQJuzGKjS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" fillcolor="#483a70" stroked="f" strokeweight="2pt"/>
                      </w:pict>
                    </mc:Fallback>
                  </mc:AlternateContent>
                </w:r>
                <w:r w:rsidR="00041E32" w:rsidRPr="006F61B7">
                  <w:rPr>
                    <w:noProof/>
                    <w:w w:val="100"/>
                    <w:sz w:val="20"/>
                    <w:szCs w:val="20"/>
                    <w:lang w:eastAsia="en-AU"/>
                  </w:rPr>
                  <mc:AlternateContent>
                    <mc:Choice Requires="wps">
                      <w:drawing>
                        <wp:anchor distT="0" distB="0" distL="114300" distR="114300" simplePos="0" relativeHeight="251712512" behindDoc="0" locked="0" layoutInCell="1" allowOverlap="1" wp14:anchorId="7DD309D7" wp14:editId="242D6BB4">
                          <wp:simplePos x="0" y="0"/>
                          <wp:positionH relativeFrom="column">
                            <wp:posOffset>0</wp:posOffset>
                          </wp:positionH>
                          <wp:positionV relativeFrom="paragraph">
                            <wp:posOffset>-73660</wp:posOffset>
                          </wp:positionV>
                          <wp:extent cx="6648450" cy="47625"/>
                          <wp:effectExtent l="0" t="0" r="0" b="9525"/>
                          <wp:wrapNone/>
                          <wp:docPr id="2" name="Rectangle 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0;margin-top:-5.8pt;width:523.5pt;height:3.7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Fa6iv6UAgAAhAUAAA4AAAAAAAAAAAAAAAAALgIAAGRycy9lMm9Eb2MueG1sUEsB&#10;Ai0AFAAGAAgAAAAhAATLDOraAAAACAEAAA8AAAAAAAAAAAAAAAAA7gQAAGRycy9kb3ducmV2Lnht&#10;bFBLBQYAAAAABAAEAPMAAAD1BQAAAAA=&#10;" fillcolor="#483a70" stroked="f" strokeweight="2pt"/>
                      </w:pict>
                    </mc:Fallback>
                  </mc:AlternateContent>
                </w:r>
                <w:r w:rsidR="00041E32" w:rsidRPr="006F61B7">
                  <w:rPr>
                    <w:sz w:val="20"/>
                    <w:szCs w:val="20"/>
                  </w:rPr>
                  <w:fldChar w:fldCharType="begin"/>
                </w:r>
                <w:r w:rsidR="00041E32" w:rsidRPr="006F61B7">
                  <w:rPr>
                    <w:sz w:val="20"/>
                    <w:szCs w:val="20"/>
                  </w:rPr>
                  <w:instrText xml:space="preserve"> REF _Ref513635588 \h </w:instrText>
                </w:r>
                <w:r w:rsidR="00041E32">
                  <w:rPr>
                    <w:sz w:val="20"/>
                    <w:szCs w:val="20"/>
                  </w:rPr>
                  <w:instrText xml:space="preserve"> \* MERGEFORMAT </w:instrText>
                </w:r>
                <w:r w:rsidR="00041E32" w:rsidRPr="006F61B7">
                  <w:rPr>
                    <w:sz w:val="20"/>
                    <w:szCs w:val="20"/>
                  </w:rPr>
                </w:r>
                <w:r w:rsidR="00041E32" w:rsidRPr="006F61B7">
                  <w:rPr>
                    <w:sz w:val="20"/>
                    <w:szCs w:val="20"/>
                  </w:rPr>
                  <w:fldChar w:fldCharType="separate"/>
                </w:r>
                <w:r w:rsidR="00DD5ABD" w:rsidRPr="00DD5ABD">
                  <w:rPr>
                    <w:sz w:val="20"/>
                    <w:szCs w:val="20"/>
                  </w:rPr>
                  <w:t>4 Security maturity monitoring</w:t>
                </w:r>
                <w:r w:rsidR="00041E32" w:rsidRPr="006F61B7">
                  <w:rPr>
                    <w:sz w:val="20"/>
                    <w:szCs w:val="20"/>
                  </w:rPr>
                  <w:fldChar w:fldCharType="end"/>
                </w:r>
                <w:r w:rsidR="00041E32" w:rsidRPr="006F61B7">
                  <w:rPr>
                    <w:noProof/>
                    <w:w w:val="100"/>
                    <w:sz w:val="20"/>
                    <w:szCs w:val="20"/>
                    <w:lang w:eastAsia="en-AU"/>
                  </w:rPr>
                  <mc:AlternateContent>
                    <mc:Choice Requires="wps">
                      <w:drawing>
                        <wp:anchor distT="0" distB="0" distL="114300" distR="114300" simplePos="0" relativeHeight="251709440" behindDoc="0" locked="0" layoutInCell="1" allowOverlap="1" wp14:anchorId="7D898FC2" wp14:editId="215D0E99">
                          <wp:simplePos x="0" y="0"/>
                          <wp:positionH relativeFrom="column">
                            <wp:posOffset>0</wp:posOffset>
                          </wp:positionH>
                          <wp:positionV relativeFrom="paragraph">
                            <wp:posOffset>-73660</wp:posOffset>
                          </wp:positionV>
                          <wp:extent cx="6648450" cy="47625"/>
                          <wp:effectExtent l="0" t="0" r="0" b="9525"/>
                          <wp:wrapNone/>
                          <wp:docPr id="3" name="Rectangle 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0;margin-top:-5.8pt;width:523.5pt;height:3.7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AkGrquUAgAAhAUAAA4AAAAAAAAAAAAAAAAALgIAAGRycy9lMm9Eb2MueG1sUEsB&#10;Ai0AFAAGAAgAAAAhAATLDOraAAAACAEAAA8AAAAAAAAAAAAAAAAA7gQAAGRycy9kb3ducmV2Lnht&#10;bFBLBQYAAAAABAAEAPMAAAD1BQAAAAA=&#10;" fillcolor="#483a70" stroked="f" strokeweight="2pt"/>
                      </w:pict>
                    </mc:Fallback>
                  </mc:AlternateContent>
                </w:r>
                <w:r w:rsidR="00041E32" w:rsidRPr="006F61B7">
                  <w:rPr>
                    <w:noProof/>
                    <w:w w:val="100"/>
                    <w:sz w:val="20"/>
                    <w:szCs w:val="20"/>
                    <w:lang w:eastAsia="en-AU"/>
                  </w:rPr>
                  <mc:AlternateContent>
                    <mc:Choice Requires="wps">
                      <w:drawing>
                        <wp:anchor distT="0" distB="0" distL="114300" distR="114300" simplePos="0" relativeHeight="251710464" behindDoc="0" locked="0" layoutInCell="1" allowOverlap="1" wp14:anchorId="0A05C67F" wp14:editId="1A9CB17C">
                          <wp:simplePos x="0" y="0"/>
                          <wp:positionH relativeFrom="column">
                            <wp:posOffset>0</wp:posOffset>
                          </wp:positionH>
                          <wp:positionV relativeFrom="paragraph">
                            <wp:posOffset>-73660</wp:posOffset>
                          </wp:positionV>
                          <wp:extent cx="6648450" cy="47625"/>
                          <wp:effectExtent l="0" t="0" r="0" b="9525"/>
                          <wp:wrapNone/>
                          <wp:docPr id="4" name="Rectangle 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0;margin-top:-5.8pt;width:523.5pt;height:3.7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Db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Y858yK&#10;hp7ogUgTdmMUyy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4xp7ziZrtE+mONVIzTPtDSWMSqphJUUu+Ay4FG4Ct2GoLUj1XKZzGhcnQi3&#10;9tHJCB5ZjX35tH8W6PrmDdT1d3CcWjF/08OdbfS0sNwG0HVq8Bdee75p1FPj9Gsp7pLXcrJ6WZ6L&#10;3wA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U1INuUAgAAhAUAAA4AAAAAAAAAAAAAAAAALgIAAGRycy9lMm9Eb2MueG1sUEsB&#10;Ai0AFAAGAAgAAAAhAATLDOraAAAACAEAAA8AAAAAAAAAAAAAAAAA7gQAAGRycy9kb3ducmV2Lnht&#10;bFBLBQYAAAAABAAEAPMAAAD1BQAAAAA=&#10;" fillcolor="#483a70" stroked="f" strokeweight="2pt"/>
                      </w:pict>
                    </mc:Fallback>
                  </mc:AlternateContent>
                </w:r>
                <w:r w:rsidR="00041E32" w:rsidRPr="006F61B7">
                  <w:rPr>
                    <w:sz w:val="20"/>
                    <w:szCs w:val="20"/>
                  </w:rPr>
                  <w:tab/>
                </w:r>
                <w:r w:rsidR="00041E32">
                  <w:rPr>
                    <w:sz w:val="20"/>
                    <w:szCs w:val="20"/>
                  </w:rPr>
                  <w:tab/>
                </w:r>
                <w:r w:rsidR="00041E32">
                  <w:rPr>
                    <w:sz w:val="20"/>
                    <w:szCs w:val="20"/>
                  </w:rPr>
                  <w:tab/>
                </w:r>
                <w:r w:rsidR="00041E32" w:rsidRPr="006F61B7">
                  <w:rPr>
                    <w:sz w:val="20"/>
                    <w:szCs w:val="20"/>
                  </w:rPr>
                  <w:fldChar w:fldCharType="begin"/>
                </w:r>
                <w:r w:rsidR="00041E32" w:rsidRPr="006F61B7">
                  <w:rPr>
                    <w:sz w:val="20"/>
                    <w:szCs w:val="20"/>
                  </w:rPr>
                  <w:instrText xml:space="preserve"> PAGE   \* MERGEFORMAT </w:instrText>
                </w:r>
                <w:r w:rsidR="00041E32" w:rsidRPr="006F61B7">
                  <w:rPr>
                    <w:sz w:val="20"/>
                    <w:szCs w:val="20"/>
                  </w:rPr>
                  <w:fldChar w:fldCharType="separate"/>
                </w:r>
                <w:r>
                  <w:rPr>
                    <w:noProof/>
                    <w:sz w:val="20"/>
                    <w:szCs w:val="20"/>
                  </w:rPr>
                  <w:t>4</w:t>
                </w:r>
                <w:r w:rsidR="00041E32" w:rsidRPr="006F61B7">
                  <w:rPr>
                    <w:noProof/>
                    <w:sz w:val="20"/>
                    <w:szCs w:val="20"/>
                  </w:rPr>
                  <w:fldChar w:fldCharType="end"/>
                </w:r>
              </w:sdtContent>
            </w:sdt>
            <w:r w:rsidR="00041E32" w:rsidRPr="006F61B7">
              <w:rPr>
                <w:noProof/>
                <w:sz w:val="20"/>
                <w:szCs w:val="20"/>
              </w:rPr>
              <w:br/>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6267109"/>
      <w:docPartObj>
        <w:docPartGallery w:val="Page Numbers (Bottom of Page)"/>
        <w:docPartUnique/>
      </w:docPartObj>
    </w:sdtPr>
    <w:sdtEndPr>
      <w:rPr>
        <w:noProof/>
        <w:sz w:val="20"/>
        <w:szCs w:val="20"/>
      </w:rPr>
    </w:sdtEndPr>
    <w:sdtContent>
      <w:p w:rsidR="00563082" w:rsidRPr="00563082" w:rsidRDefault="0081005F"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1418315884"/>
            <w:docPartObj>
              <w:docPartGallery w:val="Page Numbers (Bottom of Page)"/>
              <w:docPartUnique/>
            </w:docPartObj>
          </w:sdtPr>
          <w:sdtEndPr>
            <w:rPr>
              <w:noProof/>
            </w:rPr>
          </w:sdtEndPr>
          <w:sdtContent>
            <w:r w:rsidR="00DE000A">
              <w:rPr>
                <w:sz w:val="20"/>
                <w:szCs w:val="20"/>
              </w:rPr>
              <w:t>v</w:t>
            </w:r>
            <w:r w:rsidR="005E20D2">
              <w:rPr>
                <w:sz w:val="20"/>
                <w:szCs w:val="20"/>
              </w:rPr>
              <w:t>2018.1</w:t>
            </w:r>
            <w:r w:rsidR="00563082" w:rsidRPr="006F61B7">
              <w:rPr>
                <w:sz w:val="20"/>
                <w:szCs w:val="20"/>
              </w:rPr>
              <w:tab/>
            </w:r>
            <w:r w:rsidR="00563082" w:rsidRPr="006F61B7">
              <w:rPr>
                <w:noProof/>
                <w:w w:val="100"/>
                <w:sz w:val="20"/>
                <w:szCs w:val="20"/>
                <w:lang w:eastAsia="en-AU"/>
              </w:rPr>
              <mc:AlternateContent>
                <mc:Choice Requires="wps">
                  <w:drawing>
                    <wp:anchor distT="0" distB="0" distL="114300" distR="114300" simplePos="0" relativeHeight="251706368" behindDoc="0" locked="0" layoutInCell="1" allowOverlap="1" wp14:anchorId="78016870" wp14:editId="69107E4E">
                      <wp:simplePos x="0" y="0"/>
                      <wp:positionH relativeFrom="column">
                        <wp:posOffset>0</wp:posOffset>
                      </wp:positionH>
                      <wp:positionV relativeFrom="paragraph">
                        <wp:posOffset>-73660</wp:posOffset>
                      </wp:positionV>
                      <wp:extent cx="6648450" cy="47625"/>
                      <wp:effectExtent l="0" t="0" r="0" b="9525"/>
                      <wp:wrapNone/>
                      <wp:docPr id="38" name="Rectangle 3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8" o:spid="_x0000_s1026" style="position:absolute;margin-left:0;margin-top:-5.8pt;width:523.5pt;height:3.7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5u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ybx5ulQIAAIYFAAAOAAAAAAAAAAAAAAAAAC4CAABkcnMvZTJvRG9jLnhtbFBL&#10;AQItABQABgAIAAAAIQAEywzq2gAAAAgBAAAPAAAAAAAAAAAAAAAAAO8EAABkcnMvZG93bnJldi54&#10;bWxQSwUGAAAAAAQABADzAAAA9gUAAAAA&#10;" fillcolor="#483a70" stroked="f" strokeweight="2pt"/>
                  </w:pict>
                </mc:Fallback>
              </mc:AlternateContent>
            </w:r>
            <w:r w:rsidR="00563082" w:rsidRPr="006F61B7">
              <w:rPr>
                <w:noProof/>
                <w:w w:val="100"/>
                <w:sz w:val="20"/>
                <w:szCs w:val="20"/>
                <w:lang w:eastAsia="en-AU"/>
              </w:rPr>
              <mc:AlternateContent>
                <mc:Choice Requires="wps">
                  <w:drawing>
                    <wp:anchor distT="0" distB="0" distL="114300" distR="114300" simplePos="0" relativeHeight="251707392" behindDoc="0" locked="0" layoutInCell="1" allowOverlap="1" wp14:anchorId="38CA6CA6" wp14:editId="48B6EEE0">
                      <wp:simplePos x="0" y="0"/>
                      <wp:positionH relativeFrom="column">
                        <wp:posOffset>0</wp:posOffset>
                      </wp:positionH>
                      <wp:positionV relativeFrom="paragraph">
                        <wp:posOffset>-73660</wp:posOffset>
                      </wp:positionV>
                      <wp:extent cx="6648450" cy="47625"/>
                      <wp:effectExtent l="0" t="0" r="0" b="9525"/>
                      <wp:wrapNone/>
                      <wp:docPr id="39" name="Rectangle 3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26" style="position:absolute;margin-left:0;margin-top:-5.8pt;width:523.5pt;height:3.7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NBn4IlQIAAIYFAAAOAAAAAAAAAAAAAAAAAC4CAABkcnMvZTJvRG9jLnhtbFBL&#10;AQItABQABgAIAAAAIQAEywzq2gAAAAgBAAAPAAAAAAAAAAAAAAAAAO8EAABkcnMvZG93bnJldi54&#10;bWxQSwUGAAAAAAQABADzAAAA9gUAAAAA&#10;" fillcolor="#483a70" stroked="f" strokeweight="2pt"/>
                  </w:pict>
                </mc:Fallback>
              </mc:AlternateContent>
            </w:r>
            <w:r w:rsidR="00563082" w:rsidRPr="006F61B7">
              <w:rPr>
                <w:sz w:val="20"/>
                <w:szCs w:val="20"/>
              </w:rPr>
              <w:fldChar w:fldCharType="begin"/>
            </w:r>
            <w:r w:rsidR="00563082" w:rsidRPr="006F61B7">
              <w:rPr>
                <w:sz w:val="20"/>
                <w:szCs w:val="20"/>
              </w:rPr>
              <w:instrText xml:space="preserve"> REF _Ref513635588 \h </w:instrText>
            </w:r>
            <w:r w:rsidR="00563082">
              <w:rPr>
                <w:sz w:val="20"/>
                <w:szCs w:val="20"/>
              </w:rPr>
              <w:instrText xml:space="preserve"> \* MERGEFORMAT </w:instrText>
            </w:r>
            <w:r w:rsidR="00563082" w:rsidRPr="006F61B7">
              <w:rPr>
                <w:sz w:val="20"/>
                <w:szCs w:val="20"/>
              </w:rPr>
            </w:r>
            <w:r w:rsidR="00563082" w:rsidRPr="006F61B7">
              <w:rPr>
                <w:sz w:val="20"/>
                <w:szCs w:val="20"/>
              </w:rPr>
              <w:fldChar w:fldCharType="separate"/>
            </w:r>
            <w:r w:rsidR="00DD5ABD" w:rsidRPr="00DD5ABD">
              <w:rPr>
                <w:sz w:val="20"/>
                <w:szCs w:val="20"/>
              </w:rPr>
              <w:t>4 Security maturity monitoring</w:t>
            </w:r>
            <w:r w:rsidR="00563082" w:rsidRPr="006F61B7">
              <w:rPr>
                <w:sz w:val="20"/>
                <w:szCs w:val="20"/>
              </w:rPr>
              <w:fldChar w:fldCharType="end"/>
            </w:r>
            <w:r w:rsidR="00563082" w:rsidRPr="006F61B7">
              <w:rPr>
                <w:noProof/>
                <w:w w:val="100"/>
                <w:sz w:val="20"/>
                <w:szCs w:val="20"/>
                <w:lang w:eastAsia="en-AU"/>
              </w:rPr>
              <mc:AlternateContent>
                <mc:Choice Requires="wps">
                  <w:drawing>
                    <wp:anchor distT="0" distB="0" distL="114300" distR="114300" simplePos="0" relativeHeight="251704320" behindDoc="0" locked="0" layoutInCell="1" allowOverlap="1" wp14:anchorId="2CF6E7A9" wp14:editId="17220188">
                      <wp:simplePos x="0" y="0"/>
                      <wp:positionH relativeFrom="column">
                        <wp:posOffset>0</wp:posOffset>
                      </wp:positionH>
                      <wp:positionV relativeFrom="paragraph">
                        <wp:posOffset>-73660</wp:posOffset>
                      </wp:positionV>
                      <wp:extent cx="6648450" cy="47625"/>
                      <wp:effectExtent l="0" t="0" r="0" b="9525"/>
                      <wp:wrapNone/>
                      <wp:docPr id="40" name="Rectangle 4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0" o:spid="_x0000_s1026" style="position:absolute;margin-left:0;margin-top:-5.8pt;width:523.5pt;height:3.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BcEeMSUAgAAhgUAAA4AAAAAAAAAAAAAAAAALgIAAGRycy9lMm9Eb2MueG1sUEsB&#10;Ai0AFAAGAAgAAAAhAATLDOraAAAACAEAAA8AAAAAAAAAAAAAAAAA7gQAAGRycy9kb3ducmV2Lnht&#10;bFBLBQYAAAAABAAEAPMAAAD1BQAAAAA=&#10;" fillcolor="#483a70" stroked="f" strokeweight="2pt"/>
                  </w:pict>
                </mc:Fallback>
              </mc:AlternateContent>
            </w:r>
            <w:r w:rsidR="00563082" w:rsidRPr="006F61B7">
              <w:rPr>
                <w:noProof/>
                <w:w w:val="100"/>
                <w:sz w:val="20"/>
                <w:szCs w:val="20"/>
                <w:lang w:eastAsia="en-AU"/>
              </w:rPr>
              <mc:AlternateContent>
                <mc:Choice Requires="wps">
                  <w:drawing>
                    <wp:anchor distT="0" distB="0" distL="114300" distR="114300" simplePos="0" relativeHeight="251705344" behindDoc="0" locked="0" layoutInCell="1" allowOverlap="1" wp14:anchorId="0EA18EA8" wp14:editId="66EA8B1C">
                      <wp:simplePos x="0" y="0"/>
                      <wp:positionH relativeFrom="column">
                        <wp:posOffset>0</wp:posOffset>
                      </wp:positionH>
                      <wp:positionV relativeFrom="paragraph">
                        <wp:posOffset>-73660</wp:posOffset>
                      </wp:positionV>
                      <wp:extent cx="6648450" cy="47625"/>
                      <wp:effectExtent l="0" t="0" r="0" b="9525"/>
                      <wp:wrapNone/>
                      <wp:docPr id="41" name="Rectangle 4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1" o:spid="_x0000_s1026" style="position:absolute;margin-left:0;margin-top:-5.8pt;width:523.5pt;height:3.7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ii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fMy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UD9TNll47RPpjjUSM0z7Q2ljEqqYSVFLvgMuBRuArdjqDFI9VymcxoYJ0I&#10;t/bRyQgeWY19+bR/Fuj65g3U9XdwnFsxf9PDnW30tLDcBtB1avAXXnu+adhT4/SLKW6T13Kyelmf&#10;i9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obRiilQIAAIYFAAAOAAAAAAAAAAAAAAAAAC4CAABkcnMvZTJvRG9jLnhtbFBL&#10;AQItABQABgAIAAAAIQAEywzq2gAAAAgBAAAPAAAAAAAAAAAAAAAAAO8EAABkcnMvZG93bnJldi54&#10;bWxQSwUGAAAAAAQABADzAAAA9gUAAAAA&#10;" fillcolor="#483a70" stroked="f" strokeweight="2pt"/>
                  </w:pict>
                </mc:Fallback>
              </mc:AlternateContent>
            </w:r>
            <w:r w:rsidR="00563082" w:rsidRPr="006F61B7">
              <w:rPr>
                <w:sz w:val="20"/>
                <w:szCs w:val="20"/>
              </w:rPr>
              <w:tab/>
            </w:r>
            <w:r w:rsidR="007A01AA">
              <w:rPr>
                <w:sz w:val="20"/>
                <w:szCs w:val="20"/>
              </w:rPr>
              <w:tab/>
            </w:r>
            <w:r w:rsidR="007A01AA">
              <w:rPr>
                <w:sz w:val="20"/>
                <w:szCs w:val="20"/>
              </w:rPr>
              <w:tab/>
            </w:r>
            <w:r w:rsidR="00563082" w:rsidRPr="006F61B7">
              <w:rPr>
                <w:sz w:val="20"/>
                <w:szCs w:val="20"/>
              </w:rPr>
              <w:fldChar w:fldCharType="begin"/>
            </w:r>
            <w:r w:rsidR="00563082" w:rsidRPr="006F61B7">
              <w:rPr>
                <w:sz w:val="20"/>
                <w:szCs w:val="20"/>
              </w:rPr>
              <w:instrText xml:space="preserve"> PAGE   \* MERGEFORMAT </w:instrText>
            </w:r>
            <w:r w:rsidR="00563082" w:rsidRPr="006F61B7">
              <w:rPr>
                <w:sz w:val="20"/>
                <w:szCs w:val="20"/>
              </w:rPr>
              <w:fldChar w:fldCharType="separate"/>
            </w:r>
            <w:r>
              <w:rPr>
                <w:noProof/>
                <w:sz w:val="20"/>
                <w:szCs w:val="20"/>
              </w:rPr>
              <w:t>1</w:t>
            </w:r>
            <w:r w:rsidR="00563082" w:rsidRPr="006F61B7">
              <w:rPr>
                <w:noProof/>
                <w:sz w:val="20"/>
                <w:szCs w:val="20"/>
              </w:rPr>
              <w:fldChar w:fldCharType="end"/>
            </w:r>
          </w:sdtContent>
        </w:sdt>
        <w:r w:rsidR="00563082" w:rsidRPr="006F61B7">
          <w:rPr>
            <w:noProof/>
            <w:sz w:val="20"/>
            <w:szCs w:val="20"/>
          </w:rPr>
          <w:br/>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106198198"/>
      <w:docPartObj>
        <w:docPartGallery w:val="Page Numbers (Bottom of Page)"/>
        <w:docPartUnique/>
      </w:docPartObj>
    </w:sdtPr>
    <w:sdtEndPr>
      <w:rPr>
        <w:noProof/>
      </w:rPr>
    </w:sdtEndPr>
    <w:sdtContent>
      <w:p w:rsidR="00E127AD" w:rsidRPr="006F61B7" w:rsidRDefault="0081005F" w:rsidP="00D24E4D">
        <w:pPr>
          <w:pStyle w:val="Footer"/>
          <w:tabs>
            <w:tab w:val="clear" w:pos="4513"/>
            <w:tab w:val="clear" w:pos="9026"/>
            <w:tab w:val="center" w:pos="5529"/>
            <w:tab w:val="left" w:pos="8222"/>
            <w:tab w:val="left" w:pos="9498"/>
          </w:tabs>
          <w:ind w:right="-24"/>
          <w:jc w:val="both"/>
          <w:rPr>
            <w:sz w:val="20"/>
            <w:szCs w:val="20"/>
          </w:rPr>
        </w:pPr>
        <w:sdt>
          <w:sdtPr>
            <w:rPr>
              <w:sz w:val="20"/>
              <w:szCs w:val="20"/>
            </w:rPr>
            <w:id w:val="-1896112714"/>
            <w:docPartObj>
              <w:docPartGallery w:val="Page Numbers (Bottom of Page)"/>
              <w:docPartUnique/>
            </w:docPartObj>
          </w:sdtPr>
          <w:sdtEndPr>
            <w:rPr>
              <w:noProof/>
            </w:rPr>
          </w:sdtEndPr>
          <w:sdtContent>
            <w:r w:rsidR="00DE000A">
              <w:rPr>
                <w:sz w:val="20"/>
                <w:szCs w:val="20"/>
              </w:rPr>
              <w:t>v</w:t>
            </w:r>
            <w:r w:rsidR="005E20D2">
              <w:rPr>
                <w:sz w:val="20"/>
                <w:szCs w:val="20"/>
              </w:rPr>
              <w:t>2018.1</w:t>
            </w:r>
            <w:r w:rsidR="006F61B7" w:rsidRPr="006F61B7">
              <w:rPr>
                <w:sz w:val="20"/>
                <w:szCs w:val="20"/>
              </w:rPr>
              <w:tab/>
            </w:r>
            <w:r w:rsidR="006F61B7" w:rsidRPr="006F61B7">
              <w:rPr>
                <w:noProof/>
                <w:w w:val="100"/>
                <w:sz w:val="20"/>
                <w:szCs w:val="20"/>
                <w:lang w:eastAsia="en-AU"/>
              </w:rPr>
              <mc:AlternateContent>
                <mc:Choice Requires="wps">
                  <w:drawing>
                    <wp:anchor distT="0" distB="0" distL="114300" distR="114300" simplePos="0" relativeHeight="251698176" behindDoc="0" locked="0" layoutInCell="1" allowOverlap="1" wp14:anchorId="1879D696" wp14:editId="152A08E5">
                      <wp:simplePos x="0" y="0"/>
                      <wp:positionH relativeFrom="column">
                        <wp:posOffset>0</wp:posOffset>
                      </wp:positionH>
                      <wp:positionV relativeFrom="paragraph">
                        <wp:posOffset>-73660</wp:posOffset>
                      </wp:positionV>
                      <wp:extent cx="6648450" cy="47625"/>
                      <wp:effectExtent l="0" t="0" r="0" b="9525"/>
                      <wp:wrapNone/>
                      <wp:docPr id="32" name="Rectangle 3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2" o:spid="_x0000_s1026" style="position:absolute;margin-left:0;margin-top:-5.8pt;width:523.5pt;height:3.7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8nlg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dvo/J5YCAACGBQAADgAAAAAAAAAAAAAAAAAuAgAAZHJzL2Uyb0RvYy54bWxQ&#10;SwECLQAUAAYACAAAACEABMsM6toAAAAIAQAADwAAAAAAAAAAAAAAAADwBAAAZHJzL2Rvd25yZXYu&#10;eG1sUEsFBgAAAAAEAAQA8wAAAPcFAAAAAA==&#10;" fillcolor="#483a70" stroked="f" strokeweight="2pt"/>
                  </w:pict>
                </mc:Fallback>
              </mc:AlternateContent>
            </w:r>
            <w:r w:rsidR="006F61B7" w:rsidRPr="006F61B7">
              <w:rPr>
                <w:noProof/>
                <w:w w:val="100"/>
                <w:sz w:val="20"/>
                <w:szCs w:val="20"/>
                <w:lang w:eastAsia="en-AU"/>
              </w:rPr>
              <mc:AlternateContent>
                <mc:Choice Requires="wps">
                  <w:drawing>
                    <wp:anchor distT="0" distB="0" distL="114300" distR="114300" simplePos="0" relativeHeight="251699200" behindDoc="0" locked="0" layoutInCell="1" allowOverlap="1" wp14:anchorId="08A3E8D9" wp14:editId="13289464">
                      <wp:simplePos x="0" y="0"/>
                      <wp:positionH relativeFrom="column">
                        <wp:posOffset>0</wp:posOffset>
                      </wp:positionH>
                      <wp:positionV relativeFrom="paragraph">
                        <wp:posOffset>-73660</wp:posOffset>
                      </wp:positionV>
                      <wp:extent cx="6648450" cy="47625"/>
                      <wp:effectExtent l="0" t="0" r="0" b="9525"/>
                      <wp:wrapNone/>
                      <wp:docPr id="33" name="Rectangle 3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3" o:spid="_x0000_s1026" style="position:absolute;margin-left:0;margin-top:-5.8pt;width:523.5pt;height:3.7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19Blg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CZNfQZYCAACGBQAADgAAAAAAAAAAAAAAAAAuAgAAZHJzL2Uyb0RvYy54bWxQ&#10;SwECLQAUAAYACAAAACEABMsM6toAAAAIAQAADwAAAAAAAAAAAAAAAADwBAAAZHJzL2Rvd25yZXYu&#10;eG1sUEsFBgAAAAAEAAQA8wAAAPcFAAAAAA==&#10;" fillcolor="#483a70" stroked="f" strokeweight="2pt"/>
                  </w:pict>
                </mc:Fallback>
              </mc:AlternateContent>
            </w:r>
            <w:r w:rsidR="006F61B7" w:rsidRPr="006F61B7">
              <w:rPr>
                <w:sz w:val="20"/>
                <w:szCs w:val="20"/>
              </w:rPr>
              <w:fldChar w:fldCharType="begin"/>
            </w:r>
            <w:r w:rsidR="006F61B7" w:rsidRPr="006F61B7">
              <w:rPr>
                <w:sz w:val="20"/>
                <w:szCs w:val="20"/>
              </w:rPr>
              <w:instrText xml:space="preserve"> REF _Ref513635588 \h </w:instrText>
            </w:r>
            <w:r w:rsidR="006F61B7">
              <w:rPr>
                <w:sz w:val="20"/>
                <w:szCs w:val="20"/>
              </w:rPr>
              <w:instrText xml:space="preserve"> \* MERGEFORMAT </w:instrText>
            </w:r>
            <w:r w:rsidR="006F61B7" w:rsidRPr="006F61B7">
              <w:rPr>
                <w:sz w:val="20"/>
                <w:szCs w:val="20"/>
              </w:rPr>
            </w:r>
            <w:r w:rsidR="006F61B7" w:rsidRPr="006F61B7">
              <w:rPr>
                <w:sz w:val="20"/>
                <w:szCs w:val="20"/>
              </w:rPr>
              <w:fldChar w:fldCharType="separate"/>
            </w:r>
            <w:r w:rsidR="00DD5ABD" w:rsidRPr="00DD5ABD">
              <w:rPr>
                <w:sz w:val="20"/>
                <w:szCs w:val="20"/>
              </w:rPr>
              <w:t>4 Security maturity monitoring</w:t>
            </w:r>
            <w:r w:rsidR="006F61B7" w:rsidRPr="006F61B7">
              <w:rPr>
                <w:sz w:val="20"/>
                <w:szCs w:val="20"/>
              </w:rPr>
              <w:fldChar w:fldCharType="end"/>
            </w:r>
            <w:r w:rsidR="00D24E4D">
              <w:rPr>
                <w:sz w:val="20"/>
                <w:szCs w:val="20"/>
              </w:rPr>
              <w:tab/>
            </w:r>
            <w:bookmarkStart w:id="3" w:name="_GoBack"/>
            <w:r w:rsidR="00E127AD" w:rsidRPr="006F61B7">
              <w:rPr>
                <w:noProof/>
                <w:w w:val="100"/>
                <w:sz w:val="20"/>
                <w:szCs w:val="20"/>
                <w:lang w:eastAsia="en-AU"/>
              </w:rPr>
              <mc:AlternateContent>
                <mc:Choice Requires="wps">
                  <w:drawing>
                    <wp:anchor distT="0" distB="0" distL="114300" distR="114300" simplePos="0" relativeHeight="251685888" behindDoc="0" locked="0" layoutInCell="1" allowOverlap="1" wp14:anchorId="16D185B7" wp14:editId="7F037898">
                      <wp:simplePos x="0" y="0"/>
                      <wp:positionH relativeFrom="column">
                        <wp:posOffset>0</wp:posOffset>
                      </wp:positionH>
                      <wp:positionV relativeFrom="paragraph">
                        <wp:posOffset>-73660</wp:posOffset>
                      </wp:positionV>
                      <wp:extent cx="6648450" cy="47625"/>
                      <wp:effectExtent l="0" t="0" r="0" b="9525"/>
                      <wp:wrapNone/>
                      <wp:docPr id="24" name="Rectangle 2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4" o:spid="_x0000_s1026" style="position:absolute;margin-left:0;margin-top:-5.8pt;width:523.5pt;height: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9Np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Sc6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xh9NplQIAAIYFAAAOAAAAAAAAAAAAAAAAAC4CAABkcnMvZTJvRG9jLnhtbFBL&#10;AQItABQABgAIAAAAIQAEywzq2gAAAAgBAAAPAAAAAAAAAAAAAAAAAO8EAABkcnMvZG93bnJldi54&#10;bWxQSwUGAAAAAAQABADzAAAA9gUAAAAA&#10;" fillcolor="#483a70" stroked="f" strokeweight="2pt"/>
                  </w:pict>
                </mc:Fallback>
              </mc:AlternateContent>
            </w:r>
            <w:bookmarkEnd w:id="3"/>
            <w:r w:rsidR="00E127AD" w:rsidRPr="006F61B7">
              <w:rPr>
                <w:noProof/>
                <w:w w:val="100"/>
                <w:sz w:val="20"/>
                <w:szCs w:val="20"/>
                <w:lang w:eastAsia="en-AU"/>
              </w:rPr>
              <mc:AlternateContent>
                <mc:Choice Requires="wps">
                  <w:drawing>
                    <wp:anchor distT="0" distB="0" distL="114300" distR="114300" simplePos="0" relativeHeight="251686912" behindDoc="0" locked="0" layoutInCell="1" allowOverlap="1" wp14:anchorId="43366B7C" wp14:editId="19C64F16">
                      <wp:simplePos x="0" y="0"/>
                      <wp:positionH relativeFrom="column">
                        <wp:posOffset>0</wp:posOffset>
                      </wp:positionH>
                      <wp:positionV relativeFrom="paragraph">
                        <wp:posOffset>-73660</wp:posOffset>
                      </wp:positionV>
                      <wp:extent cx="6648450" cy="47625"/>
                      <wp:effectExtent l="0" t="0" r="0" b="9525"/>
                      <wp:wrapNone/>
                      <wp:docPr id="25" name="Rectangle 2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26" style="position:absolute;margin-left:0;margin-top:-5.8pt;width:523.5pt;height:3.7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" fillcolor="#483a70" stroked="f" strokeweight="2pt"/>
                  </w:pict>
                </mc:Fallback>
              </mc:AlternateContent>
            </w:r>
            <w:r w:rsidR="00E127AD" w:rsidRPr="006F61B7">
              <w:rPr>
                <w:sz w:val="20"/>
                <w:szCs w:val="20"/>
              </w:rPr>
              <w:tab/>
            </w:r>
            <w:r w:rsidR="00E127AD" w:rsidRPr="006F61B7">
              <w:rPr>
                <w:sz w:val="20"/>
                <w:szCs w:val="20"/>
              </w:rPr>
              <w:fldChar w:fldCharType="begin"/>
            </w:r>
            <w:r w:rsidR="00E127AD" w:rsidRPr="006F61B7">
              <w:rPr>
                <w:sz w:val="20"/>
                <w:szCs w:val="20"/>
              </w:rPr>
              <w:instrText xml:space="preserve"> REF _Ref513642296 \r \h </w:instrText>
            </w:r>
            <w:r w:rsidR="006F61B7">
              <w:rPr>
                <w:sz w:val="20"/>
                <w:szCs w:val="20"/>
              </w:rPr>
              <w:instrText xml:space="preserve"> \* MERGEFORMAT </w:instrText>
            </w:r>
            <w:r w:rsidR="00E127AD" w:rsidRPr="006F61B7">
              <w:rPr>
                <w:sz w:val="20"/>
                <w:szCs w:val="20"/>
              </w:rPr>
            </w:r>
            <w:r w:rsidR="00E127AD" w:rsidRPr="006F61B7">
              <w:rPr>
                <w:sz w:val="20"/>
                <w:szCs w:val="20"/>
              </w:rPr>
              <w:fldChar w:fldCharType="separate"/>
            </w:r>
            <w:r w:rsidR="00DD5ABD">
              <w:rPr>
                <w:b/>
                <w:bCs/>
                <w:sz w:val="20"/>
                <w:szCs w:val="20"/>
                <w:lang w:val="en-US"/>
              </w:rPr>
              <w:t>Error! Reference source not found.</w:t>
            </w:r>
            <w:r w:rsidR="00E127AD" w:rsidRPr="006F61B7">
              <w:rPr>
                <w:sz w:val="20"/>
                <w:szCs w:val="20"/>
              </w:rPr>
              <w:fldChar w:fldCharType="end"/>
            </w:r>
            <w:r w:rsidR="00E127AD" w:rsidRPr="006F61B7">
              <w:rPr>
                <w:sz w:val="20"/>
                <w:szCs w:val="20"/>
              </w:rPr>
              <w:t>-</w:t>
            </w:r>
            <w:r w:rsidR="00E127AD" w:rsidRPr="006F61B7">
              <w:rPr>
                <w:sz w:val="20"/>
                <w:szCs w:val="20"/>
              </w:rPr>
              <w:fldChar w:fldCharType="begin"/>
            </w:r>
            <w:r w:rsidR="00E127AD" w:rsidRPr="006F61B7">
              <w:rPr>
                <w:sz w:val="20"/>
                <w:szCs w:val="20"/>
              </w:rPr>
              <w:instrText xml:space="preserve"> PAGE   \* MERGEFORMAT </w:instrText>
            </w:r>
            <w:r w:rsidR="00E127AD" w:rsidRPr="006F61B7">
              <w:rPr>
                <w:sz w:val="20"/>
                <w:szCs w:val="20"/>
              </w:rPr>
              <w:fldChar w:fldCharType="separate"/>
            </w:r>
            <w:r w:rsidR="0002075C">
              <w:rPr>
                <w:noProof/>
                <w:sz w:val="20"/>
                <w:szCs w:val="20"/>
              </w:rPr>
              <w:t>4</w:t>
            </w:r>
            <w:r w:rsidR="00E127AD" w:rsidRPr="006F61B7">
              <w:rPr>
                <w:noProof/>
                <w:sz w:val="20"/>
                <w:szCs w:val="20"/>
              </w:rPr>
              <w:fldChar w:fldCharType="end"/>
            </w:r>
          </w:sdtContent>
        </w:sdt>
        <w:r w:rsidR="00E127AD" w:rsidRPr="006F61B7">
          <w:rPr>
            <w:noProof/>
            <w:sz w:val="20"/>
            <w:szCs w:val="20"/>
          </w:rPr>
          <w:b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3D9" w:rsidRDefault="005623D9" w:rsidP="007D070A">
      <w:pPr>
        <w:spacing w:after="0"/>
      </w:pPr>
      <w:r>
        <w:separator/>
      </w:r>
    </w:p>
  </w:footnote>
  <w:footnote w:type="continuationSeparator" w:id="0">
    <w:p w:rsidR="005623D9" w:rsidRDefault="005623D9" w:rsidP="007D07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52" w:rsidRDefault="00DE000A" w:rsidP="00DE000A">
    <w:pPr>
      <w:pStyle w:val="Header"/>
      <w:spacing w:before="240"/>
    </w:pPr>
    <w:r w:rsidRPr="006F61B7">
      <w:rPr>
        <w:sz w:val="20"/>
        <w:szCs w:val="20"/>
      </w:rPr>
      <w:t>Protective Security Policy Framework</w:t>
    </w:r>
    <w:r>
      <w:rPr>
        <w:noProof/>
        <w:w w:val="100"/>
        <w:lang w:eastAsia="en-A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082" w:rsidRDefault="00563082" w:rsidP="00563082">
    <w:pPr>
      <w:pStyle w:val="Header"/>
    </w:pPr>
    <w:r>
      <w:rPr>
        <w:noProof/>
        <w:w w:val="100"/>
        <w:lang w:eastAsia="en-AU"/>
      </w:rPr>
      <mc:AlternateContent>
        <mc:Choice Requires="wps">
          <w:drawing>
            <wp:anchor distT="0" distB="0" distL="114300" distR="114300" simplePos="0" relativeHeight="251702272" behindDoc="0" locked="0" layoutInCell="1" allowOverlap="1" wp14:anchorId="08519022" wp14:editId="3C1310AA">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63082" w:rsidRPr="00361D34" w:rsidRDefault="00563082"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6" o:spid="_x0000_s1026" type="#_x0000_t202" style="position:absolute;margin-left:159pt;margin-top:80.25pt;width:409.5pt;height:5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QTMeQIAAGQ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" filled="f" stroked="f" strokeweight=".5pt">
              <v:textbox>
                <w:txbxContent>
                  <w:p w:rsidR="00563082" w:rsidRPr="00361D34" w:rsidRDefault="00563082"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01248" behindDoc="1" locked="0" layoutInCell="1" allowOverlap="1" wp14:anchorId="427318F5" wp14:editId="5491489E">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5" name="Picture 5"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BD9CC27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70DC2200"/>
    <w:lvl w:ilvl="0">
      <w:start w:val="1"/>
      <w:numFmt w:val="bullet"/>
      <w:lvlText w:val=""/>
      <w:lvlJc w:val="left"/>
      <w:pPr>
        <w:tabs>
          <w:tab w:val="num" w:pos="926"/>
        </w:tabs>
        <w:ind w:left="926" w:hanging="360"/>
      </w:pPr>
      <w:rPr>
        <w:rFonts w:ascii="Symbol" w:hAnsi="Symbol" w:hint="default"/>
      </w:rPr>
    </w:lvl>
  </w:abstractNum>
  <w:abstractNum w:abstractNumId="2">
    <w:nsid w:val="00D4049B"/>
    <w:multiLevelType w:val="hybridMultilevel"/>
    <w:tmpl w:val="DEC6DEB8"/>
    <w:lvl w:ilvl="0" w:tplc="F9142DD0">
      <w:start w:val="1"/>
      <w:numFmt w:val="lowerRoman"/>
      <w:pStyle w:val="Tablebodybullet2"/>
      <w:lvlText w:val="%1."/>
      <w:lvlJc w:val="right"/>
      <w:pPr>
        <w:ind w:left="144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nsid w:val="01E8506E"/>
    <w:multiLevelType w:val="hybridMultilevel"/>
    <w:tmpl w:val="9414493A"/>
    <w:lvl w:ilvl="0" w:tplc="0C090019">
      <w:start w:val="1"/>
      <w:numFmt w:val="lowerLetter"/>
      <w:lvlText w:val="%1."/>
      <w:lvlJc w:val="left"/>
      <w:pPr>
        <w:ind w:left="720" w:hanging="360"/>
      </w:p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D0B5F64"/>
    <w:multiLevelType w:val="hybridMultilevel"/>
    <w:tmpl w:val="87DED3D0"/>
    <w:lvl w:ilvl="0" w:tplc="0C090019">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1E333438"/>
    <w:multiLevelType w:val="hybridMultilevel"/>
    <w:tmpl w:val="E6DC246E"/>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8">
    <w:nsid w:val="364C473F"/>
    <w:multiLevelType w:val="hybridMultilevel"/>
    <w:tmpl w:val="E6DC246E"/>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39A12370"/>
    <w:multiLevelType w:val="hybridMultilevel"/>
    <w:tmpl w:val="7722F624"/>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11">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nsid w:val="504E7A51"/>
    <w:multiLevelType w:val="hybridMultilevel"/>
    <w:tmpl w:val="9C9EDDAA"/>
    <w:lvl w:ilvl="0" w:tplc="55FC2BF2">
      <w:start w:val="1"/>
      <w:numFmt w:val="lowerLetter"/>
      <w:pStyle w:val="ListBullet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E077327"/>
    <w:multiLevelType w:val="hybridMultilevel"/>
    <w:tmpl w:val="10D6339A"/>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4">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15">
    <w:nsid w:val="63A15FB9"/>
    <w:multiLevelType w:val="multilevel"/>
    <w:tmpl w:val="63066030"/>
    <w:lvl w:ilvl="0">
      <w:start w:val="1"/>
      <w:numFmt w:val="decimal"/>
      <w:pStyle w:val="Listbullet1"/>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5A77CC3"/>
    <w:multiLevelType w:val="multilevel"/>
    <w:tmpl w:val="FF42316C"/>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75686220"/>
    <w:multiLevelType w:val="hybridMultilevel"/>
    <w:tmpl w:val="461AA046"/>
    <w:lvl w:ilvl="0" w:tplc="0F348542">
      <w:start w:val="1"/>
      <w:numFmt w:val="lowerLetter"/>
      <w:pStyle w:val="Tablebodybullet1"/>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5"/>
  </w:num>
  <w:num w:numId="2">
    <w:abstractNumId w:val="4"/>
  </w:num>
  <w:num w:numId="3">
    <w:abstractNumId w:val="1"/>
  </w:num>
  <w:num w:numId="4">
    <w:abstractNumId w:val="0"/>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5"/>
  </w:num>
  <w:num w:numId="8">
    <w:abstractNumId w:val="17"/>
  </w:num>
  <w:num w:numId="9">
    <w:abstractNumId w:val="2"/>
  </w:num>
  <w:num w:numId="10">
    <w:abstractNumId w:val="13"/>
  </w:num>
  <w:num w:numId="11">
    <w:abstractNumId w:val="11"/>
  </w:num>
  <w:num w:numId="12">
    <w:abstractNumId w:val="7"/>
  </w:num>
  <w:num w:numId="13">
    <w:abstractNumId w:val="12"/>
  </w:num>
  <w:num w:numId="14">
    <w:abstractNumId w:val="10"/>
  </w:num>
  <w:num w:numId="15">
    <w:abstractNumId w:val="14"/>
  </w:num>
  <w:num w:numId="16">
    <w:abstractNumId w:val="12"/>
    <w:lvlOverride w:ilvl="0">
      <w:startOverride w:val="1"/>
    </w:lvlOverride>
  </w:num>
  <w:num w:numId="17">
    <w:abstractNumId w:val="10"/>
    <w:lvlOverride w:ilvl="0">
      <w:startOverride w:val="1"/>
    </w:lvlOverride>
  </w:num>
  <w:num w:numId="18">
    <w:abstractNumId w:val="14"/>
    <w:lvlOverride w:ilvl="0">
      <w:startOverride w:val="1"/>
    </w:lvlOverride>
  </w:num>
  <w:num w:numId="19">
    <w:abstractNumId w:val="17"/>
    <w:lvlOverride w:ilvl="0">
      <w:startOverride w:val="1"/>
    </w:lvlOverride>
  </w:num>
  <w:num w:numId="20">
    <w:abstractNumId w:val="16"/>
  </w:num>
  <w:num w:numId="21">
    <w:abstractNumId w:val="15"/>
  </w:num>
  <w:num w:numId="22">
    <w:abstractNumId w:val="17"/>
  </w:num>
  <w:num w:numId="23">
    <w:abstractNumId w:val="12"/>
    <w:lvlOverride w:ilvl="0">
      <w:startOverride w:val="1"/>
    </w:lvlOverride>
  </w:num>
  <w:num w:numId="24">
    <w:abstractNumId w:val="12"/>
    <w:lvlOverride w:ilvl="0">
      <w:startOverride w:val="1"/>
    </w:lvlOverride>
  </w:num>
  <w:num w:numId="25">
    <w:abstractNumId w:val="10"/>
    <w:lvlOverride w:ilvl="0">
      <w:startOverride w:val="1"/>
    </w:lvlOverride>
  </w:num>
  <w:num w:numId="26">
    <w:abstractNumId w:val="12"/>
    <w:lvlOverride w:ilvl="0">
      <w:startOverride w:val="1"/>
    </w:lvlOverride>
  </w:num>
  <w:num w:numId="27">
    <w:abstractNumId w:val="10"/>
    <w:lvlOverride w:ilvl="0">
      <w:startOverride w:val="1"/>
    </w:lvlOverride>
  </w:num>
  <w:num w:numId="28">
    <w:abstractNumId w:val="6"/>
  </w:num>
  <w:num w:numId="29">
    <w:abstractNumId w:val="3"/>
  </w:num>
  <w:num w:numId="30">
    <w:abstractNumId w:val="9"/>
  </w:num>
  <w:num w:numId="31">
    <w:abstractNumId w:val="8"/>
  </w:num>
  <w:num w:numId="32">
    <w:abstractNumId w:val="5"/>
  </w:num>
  <w:num w:numId="33">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20"/>
  <w:characterSpacingControl w:val="doNotCompress"/>
  <w:hdrShapeDefaults>
    <o:shapedefaults v:ext="edit" spidmax="4097"/>
  </w:hdrShapeDefaults>
  <w:footnotePr>
    <w:footnote w:id="-1"/>
    <w:footnote w:id="0"/>
  </w:footnotePr>
  <w:endnotePr>
    <w:pos w:val="sectEnd"/>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6B4"/>
    <w:rsid w:val="0002075C"/>
    <w:rsid w:val="00032AA3"/>
    <w:rsid w:val="000417CA"/>
    <w:rsid w:val="00041E32"/>
    <w:rsid w:val="000B60A9"/>
    <w:rsid w:val="000D5309"/>
    <w:rsid w:val="00104039"/>
    <w:rsid w:val="00116E26"/>
    <w:rsid w:val="001A66C9"/>
    <w:rsid w:val="002002FE"/>
    <w:rsid w:val="00227A31"/>
    <w:rsid w:val="00264763"/>
    <w:rsid w:val="0028047D"/>
    <w:rsid w:val="002B74C0"/>
    <w:rsid w:val="002D0D7F"/>
    <w:rsid w:val="002F6FC7"/>
    <w:rsid w:val="00321AAA"/>
    <w:rsid w:val="00361D34"/>
    <w:rsid w:val="00364E88"/>
    <w:rsid w:val="0044340A"/>
    <w:rsid w:val="004540EF"/>
    <w:rsid w:val="00494ED2"/>
    <w:rsid w:val="004B6E18"/>
    <w:rsid w:val="004D0C20"/>
    <w:rsid w:val="004E3F39"/>
    <w:rsid w:val="0051519C"/>
    <w:rsid w:val="0053596B"/>
    <w:rsid w:val="00555668"/>
    <w:rsid w:val="005623D9"/>
    <w:rsid w:val="00563082"/>
    <w:rsid w:val="00583024"/>
    <w:rsid w:val="005A311A"/>
    <w:rsid w:val="005B028C"/>
    <w:rsid w:val="005D27CC"/>
    <w:rsid w:val="005E20D2"/>
    <w:rsid w:val="005F46FF"/>
    <w:rsid w:val="0068552B"/>
    <w:rsid w:val="00692C74"/>
    <w:rsid w:val="00693A88"/>
    <w:rsid w:val="006C4952"/>
    <w:rsid w:val="006C6589"/>
    <w:rsid w:val="006D23A5"/>
    <w:rsid w:val="006F61B7"/>
    <w:rsid w:val="007423F9"/>
    <w:rsid w:val="00746F70"/>
    <w:rsid w:val="00794775"/>
    <w:rsid w:val="007A01AA"/>
    <w:rsid w:val="007A0D74"/>
    <w:rsid w:val="007A5540"/>
    <w:rsid w:val="007B450D"/>
    <w:rsid w:val="007B535A"/>
    <w:rsid w:val="007D070A"/>
    <w:rsid w:val="0081005F"/>
    <w:rsid w:val="00822F3F"/>
    <w:rsid w:val="008974E7"/>
    <w:rsid w:val="008B3F3E"/>
    <w:rsid w:val="009250D1"/>
    <w:rsid w:val="00944990"/>
    <w:rsid w:val="00983C79"/>
    <w:rsid w:val="00A013AF"/>
    <w:rsid w:val="00A01CB4"/>
    <w:rsid w:val="00A05362"/>
    <w:rsid w:val="00A742F1"/>
    <w:rsid w:val="00AC0F6E"/>
    <w:rsid w:val="00AF0947"/>
    <w:rsid w:val="00B12627"/>
    <w:rsid w:val="00B25707"/>
    <w:rsid w:val="00B404E8"/>
    <w:rsid w:val="00B5653A"/>
    <w:rsid w:val="00B649DD"/>
    <w:rsid w:val="00B95357"/>
    <w:rsid w:val="00BD1895"/>
    <w:rsid w:val="00C166C3"/>
    <w:rsid w:val="00C3547D"/>
    <w:rsid w:val="00C625F7"/>
    <w:rsid w:val="00CE1D87"/>
    <w:rsid w:val="00D06CDC"/>
    <w:rsid w:val="00D24E4D"/>
    <w:rsid w:val="00D36B8F"/>
    <w:rsid w:val="00D47E88"/>
    <w:rsid w:val="00D575DF"/>
    <w:rsid w:val="00D61220"/>
    <w:rsid w:val="00D9331D"/>
    <w:rsid w:val="00DA5924"/>
    <w:rsid w:val="00DC4297"/>
    <w:rsid w:val="00DD5ABD"/>
    <w:rsid w:val="00DE000A"/>
    <w:rsid w:val="00E127AD"/>
    <w:rsid w:val="00E56A7A"/>
    <w:rsid w:val="00E75D3F"/>
    <w:rsid w:val="00EE0CF7"/>
    <w:rsid w:val="00EF0F0C"/>
    <w:rsid w:val="00F114C3"/>
    <w:rsid w:val="00F156B4"/>
    <w:rsid w:val="00F41C4C"/>
    <w:rsid w:val="00F552E9"/>
    <w:rsid w:val="00F5763E"/>
    <w:rsid w:val="00F60BF2"/>
    <w:rsid w:val="00F62A59"/>
    <w:rsid w:val="00F81F31"/>
    <w:rsid w:val="00FB5CFE"/>
    <w:rsid w:val="00FC5A06"/>
    <w:rsid w:val="00FD4A3C"/>
    <w:rsid w:val="00FF1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Bullet 2" w:qFormat="1"/>
    <w:lsdException w:name="List Bullet 3" w:qFormat="1"/>
    <w:lsdException w:name="List Bullet 4" w:qFormat="1"/>
    <w:lsdException w:name="Title" w:semiHidden="0" w:uiPriority="10" w:unhideWhenUsed="0"/>
    <w:lsdException w:name="Default Paragraph Font" w:uiPriority="1"/>
    <w:lsdException w:name="Subtitle" w:semiHidden="0" w:uiPriority="11" w:unhideWhenUsed="0"/>
    <w:lsdException w:name="Hyperlink"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013AF"/>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6"/>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6"/>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6"/>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AF0947"/>
    <w:pPr>
      <w:numPr>
        <w:numId w:val="1"/>
      </w:numPr>
    </w:pPr>
  </w:style>
  <w:style w:type="paragraph" w:styleId="ListBullet2">
    <w:name w:val="List Bullet 2"/>
    <w:basedOn w:val="ListBullet"/>
    <w:autoRedefine/>
    <w:uiPriority w:val="99"/>
    <w:unhideWhenUsed/>
    <w:qFormat/>
    <w:rsid w:val="0053596B"/>
    <w:pPr>
      <w:numPr>
        <w:numId w:val="13"/>
      </w:numPr>
      <w:contextualSpacing w:val="0"/>
    </w:p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14"/>
      </w:numPr>
    </w:pPr>
  </w:style>
  <w:style w:type="paragraph" w:styleId="ListBullet4">
    <w:name w:val="List Bullet 4"/>
    <w:basedOn w:val="Normal"/>
    <w:uiPriority w:val="99"/>
    <w:unhideWhenUsed/>
    <w:qFormat/>
    <w:rsid w:val="00C166C3"/>
    <w:pPr>
      <w:numPr>
        <w:numId w:val="15"/>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A742F1"/>
    <w:pPr>
      <w:numPr>
        <w:numId w:val="8"/>
      </w:numPr>
    </w:pPr>
    <w:rPr>
      <w:bCs w:val="0"/>
    </w:rPr>
  </w:style>
  <w:style w:type="paragraph" w:customStyle="1" w:styleId="Tablebodybullet2">
    <w:name w:val="Table body bullet 2"/>
    <w:basedOn w:val="Tablebodybullet1"/>
    <w:qFormat/>
    <w:rsid w:val="00A742F1"/>
    <w:pPr>
      <w:numPr>
        <w:numId w:val="9"/>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semiHidden/>
    <w:unhideWhenUsed/>
    <w:rsid w:val="00116E26"/>
    <w:pPr>
      <w:spacing w:after="0"/>
    </w:pPr>
    <w:rPr>
      <w:sz w:val="20"/>
      <w:szCs w:val="20"/>
    </w:rPr>
  </w:style>
  <w:style w:type="character" w:customStyle="1" w:styleId="FootnoteTextChar">
    <w:name w:val="Footnote Text Char"/>
    <w:basedOn w:val="DefaultParagraphFont"/>
    <w:link w:val="FootnoteText"/>
    <w:uiPriority w:val="99"/>
    <w:semiHidden/>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B028C"/>
    <w:rPr>
      <w:w w:val="100"/>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numPr>
        <w:numId w:val="12"/>
      </w:numPr>
    </w:pPr>
  </w:style>
  <w:style w:type="paragraph" w:customStyle="1" w:styleId="Dot1">
    <w:name w:val="Dot 1"/>
    <w:basedOn w:val="Normal"/>
    <w:link w:val="Dot1Char"/>
    <w:qFormat/>
    <w:rsid w:val="0053596B"/>
    <w:pPr>
      <w:spacing w:before="120" w:after="0"/>
    </w:pPr>
    <w:rPr>
      <w:rFonts w:eastAsiaTheme="minorHAnsi" w:cs="Times New Roman"/>
      <w:w w:val="100"/>
      <w:kern w:val="0"/>
      <w:lang w:eastAsia="en-AU"/>
    </w:rPr>
  </w:style>
  <w:style w:type="character" w:customStyle="1" w:styleId="Dot1Char">
    <w:name w:val="Dot 1 Char"/>
    <w:link w:val="Dot1"/>
    <w:locked/>
    <w:rsid w:val="0053596B"/>
    <w:rPr>
      <w:rFonts w:ascii="Calibri" w:hAnsi="Calibri" w:cs="Times New Roman"/>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Bullet 2" w:qFormat="1"/>
    <w:lsdException w:name="List Bullet 3" w:qFormat="1"/>
    <w:lsdException w:name="List Bullet 4" w:qFormat="1"/>
    <w:lsdException w:name="Title" w:semiHidden="0" w:uiPriority="10" w:unhideWhenUsed="0"/>
    <w:lsdException w:name="Default Paragraph Font" w:uiPriority="1"/>
    <w:lsdException w:name="Subtitle" w:semiHidden="0" w:uiPriority="11" w:unhideWhenUsed="0"/>
    <w:lsdException w:name="Hyperlink"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013AF"/>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6"/>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6"/>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6"/>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AF0947"/>
    <w:pPr>
      <w:numPr>
        <w:numId w:val="1"/>
      </w:numPr>
    </w:pPr>
  </w:style>
  <w:style w:type="paragraph" w:styleId="ListBullet2">
    <w:name w:val="List Bullet 2"/>
    <w:basedOn w:val="ListBullet"/>
    <w:autoRedefine/>
    <w:uiPriority w:val="99"/>
    <w:unhideWhenUsed/>
    <w:qFormat/>
    <w:rsid w:val="0053596B"/>
    <w:pPr>
      <w:numPr>
        <w:numId w:val="13"/>
      </w:numPr>
      <w:contextualSpacing w:val="0"/>
    </w:p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14"/>
      </w:numPr>
    </w:pPr>
  </w:style>
  <w:style w:type="paragraph" w:styleId="ListBullet4">
    <w:name w:val="List Bullet 4"/>
    <w:basedOn w:val="Normal"/>
    <w:uiPriority w:val="99"/>
    <w:unhideWhenUsed/>
    <w:qFormat/>
    <w:rsid w:val="00C166C3"/>
    <w:pPr>
      <w:numPr>
        <w:numId w:val="15"/>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A742F1"/>
    <w:pPr>
      <w:numPr>
        <w:numId w:val="8"/>
      </w:numPr>
    </w:pPr>
    <w:rPr>
      <w:bCs w:val="0"/>
    </w:rPr>
  </w:style>
  <w:style w:type="paragraph" w:customStyle="1" w:styleId="Tablebodybullet2">
    <w:name w:val="Table body bullet 2"/>
    <w:basedOn w:val="Tablebodybullet1"/>
    <w:qFormat/>
    <w:rsid w:val="00A742F1"/>
    <w:pPr>
      <w:numPr>
        <w:numId w:val="9"/>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semiHidden/>
    <w:unhideWhenUsed/>
    <w:rsid w:val="00116E26"/>
    <w:pPr>
      <w:spacing w:after="0"/>
    </w:pPr>
    <w:rPr>
      <w:sz w:val="20"/>
      <w:szCs w:val="20"/>
    </w:rPr>
  </w:style>
  <w:style w:type="character" w:customStyle="1" w:styleId="FootnoteTextChar">
    <w:name w:val="Footnote Text Char"/>
    <w:basedOn w:val="DefaultParagraphFont"/>
    <w:link w:val="FootnoteText"/>
    <w:uiPriority w:val="99"/>
    <w:semiHidden/>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B028C"/>
    <w:rPr>
      <w:w w:val="100"/>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numPr>
        <w:numId w:val="12"/>
      </w:numPr>
    </w:pPr>
  </w:style>
  <w:style w:type="paragraph" w:customStyle="1" w:styleId="Dot1">
    <w:name w:val="Dot 1"/>
    <w:basedOn w:val="Normal"/>
    <w:link w:val="Dot1Char"/>
    <w:qFormat/>
    <w:rsid w:val="0053596B"/>
    <w:pPr>
      <w:spacing w:before="120" w:after="0"/>
    </w:pPr>
    <w:rPr>
      <w:rFonts w:eastAsiaTheme="minorHAnsi" w:cs="Times New Roman"/>
      <w:w w:val="100"/>
      <w:kern w:val="0"/>
      <w:lang w:eastAsia="en-AU"/>
    </w:rPr>
  </w:style>
  <w:style w:type="character" w:customStyle="1" w:styleId="Dot1Char">
    <w:name w:val="Dot 1 Char"/>
    <w:link w:val="Dot1"/>
    <w:locked/>
    <w:rsid w:val="0053596B"/>
    <w:rPr>
      <w:rFonts w:ascii="Calibri" w:hAnsi="Calibri" w:cs="Times New Roman"/>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tectivesecurity.gov.au/governance/roleofaccountableauthority/Pages/default.aspx" TargetMode="External"/><Relationship Id="rId13" Type="http://schemas.openxmlformats.org/officeDocument/2006/relationships/header" Target="header1.xml"/><Relationship Id="rId18" Type="http://schemas.openxmlformats.org/officeDocument/2006/relationships/hyperlink" Target="http://infostore.saiglobal.com/store/Details.aspx?ProductID=568733"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www.protectivesecurity.gov.au/governance/reporting-on-security/Pages/default.aspx" TargetMode="Externa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protectivesecurity.gov.au/governance/management-structures-and-responsibilities/Pages/default.aspx"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1.xml"/><Relationship Id="rId10" Type="http://schemas.openxmlformats.org/officeDocument/2006/relationships/hyperlink" Target="https://www.protectivesecurity.gov.au/governance/reporting-on-security/Pages/default.aspx" TargetMode="External"/><Relationship Id="rId19" Type="http://schemas.openxmlformats.org/officeDocument/2006/relationships/hyperlink" Target="http://www.standards.org.au/SearchandBuyAStandard/Pages/default.aspx" TargetMode="External"/><Relationship Id="rId4" Type="http://schemas.openxmlformats.org/officeDocument/2006/relationships/settings" Target="settings.xml"/><Relationship Id="rId9" Type="http://schemas.openxmlformats.org/officeDocument/2006/relationships/hyperlink" Target="https://www.protectivesecurity.gov.au/governance/security-planning-risk-management/Pages/default.aspx" TargetMode="External"/><Relationship Id="rId14" Type="http://schemas.openxmlformats.org/officeDocument/2006/relationships/footer" Target="footer1.xml"/><Relationship Id="rId22"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https://www.protectivesecurity.gov.au/governance/management-structures-and-responsibilities/Pages/default.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6A79C709C94946B183CDCB68772F5F" ma:contentTypeVersion="1" ma:contentTypeDescription="Create a new document." ma:contentTypeScope="" ma:versionID="c0efed54642b2c413c78dae284952d69">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EDF7049-84D0-4D10-9F92-ECB68DC5677D}"/>
</file>

<file path=customXml/itemProps2.xml><?xml version="1.0" encoding="utf-8"?>
<ds:datastoreItem xmlns:ds="http://schemas.openxmlformats.org/officeDocument/2006/customXml" ds:itemID="{C77C224D-42DB-4D70-97EC-DDB2CF34D2E6}"/>
</file>

<file path=customXml/itemProps3.xml><?xml version="1.0" encoding="utf-8"?>
<ds:datastoreItem xmlns:ds="http://schemas.openxmlformats.org/officeDocument/2006/customXml" ds:itemID="{C86B0A39-F113-48C2-8AF6-32CEA90CB834}"/>
</file>

<file path=docProps/app.xml><?xml version="1.0" encoding="utf-8"?>
<Properties xmlns="http://schemas.openxmlformats.org/officeDocument/2006/extended-properties" xmlns:vt="http://schemas.openxmlformats.org/officeDocument/2006/docPropsVTypes">
  <Template>Normal</Template>
  <TotalTime>0</TotalTime>
  <Pages>4</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GOVSEC - 04 - Security maturity monitoring</dc:title>
  <dc:subject/>
  <dc:creator/>
  <cp:keywords/>
  <cp:lastModifiedBy/>
  <cp:revision>1</cp:revision>
  <dcterms:created xsi:type="dcterms:W3CDTF">2018-09-26T00:43:00Z</dcterms:created>
  <dcterms:modified xsi:type="dcterms:W3CDTF">2018-09-26T00:44:00Z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0x010100296A79C709C94946B183CDCB68772F5F</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